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91"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fiscal year ended: March 31,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75"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001-37761</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40" w:type="dxa"/>
            <w:vAlign w:val="bottom"/>
            <w:gridSpan w:val="4"/>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38"/>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2"/>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200" w:type="dxa"/>
            <w:vAlign w:val="bottom"/>
          </w:tcPr>
          <w:p>
            <w:pPr>
              <w:spacing w:after="0"/>
              <w:rPr>
                <w:sz w:val="20"/>
                <w:szCs w:val="20"/>
                <w:color w:val="auto"/>
              </w:rPr>
            </w:pPr>
          </w:p>
        </w:tc>
        <w:tc>
          <w:tcPr>
            <w:tcW w:w="28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3"/>
          </w:tcPr>
          <w:p>
            <w:pPr>
              <w:jc w:val="center"/>
              <w:ind w:right="1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343 Allerton Avenue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20"/>
        </w:trPr>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(650) 577-3600</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4"/>
        </w:trPr>
        <w:tc>
          <w:tcPr>
            <w:tcW w:w="1200" w:type="dxa"/>
            <w:vAlign w:val="bottom"/>
          </w:tcPr>
          <w:p>
            <w:pPr>
              <w:spacing w:after="0"/>
              <w:rPr>
                <w:sz w:val="20"/>
                <w:szCs w:val="20"/>
                <w:color w:val="auto"/>
              </w:rPr>
            </w:pPr>
          </w:p>
        </w:tc>
        <w:tc>
          <w:tcPr>
            <w:tcW w:w="9840" w:type="dxa"/>
            <w:vAlign w:val="bottom"/>
            <w:gridSpan w:val="10"/>
          </w:tcPr>
          <w:p>
            <w:pPr>
              <w:jc w:val="center"/>
              <w:ind w:right="910"/>
              <w:spacing w:after="0"/>
              <w:rPr>
                <w:sz w:val="20"/>
                <w:szCs w:val="20"/>
                <w:color w:val="auto"/>
              </w:rPr>
            </w:pPr>
            <w:r>
              <w:rPr>
                <w:rFonts w:ascii="Times New Roman" w:cs="Times New Roman" w:eastAsia="Times New Roman" w:hAnsi="Times New Roman"/>
                <w:sz w:val="18"/>
                <w:szCs w:val="18"/>
                <w:color w:val="auto"/>
                <w:w w:val="99"/>
              </w:rPr>
              <w:t>(Address, including zip code, and telephone number, including area code, of registrant’s principal executive office)</w:t>
            </w:r>
          </w:p>
        </w:tc>
      </w:tr>
      <w:tr>
        <w:trPr>
          <w:trHeight w:val="391"/>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5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r>
      <w:tr>
        <w:trPr>
          <w:trHeight w:val="425"/>
        </w:trPr>
        <w:tc>
          <w:tcPr>
            <w:tcW w:w="1200" w:type="dxa"/>
            <w:vAlign w:val="bottom"/>
          </w:tcPr>
          <w:p>
            <w:pPr>
              <w:spacing w:after="0"/>
              <w:rPr>
                <w:sz w:val="24"/>
                <w:szCs w:val="24"/>
                <w:color w:val="auto"/>
              </w:rPr>
            </w:pPr>
          </w:p>
        </w:tc>
        <w:tc>
          <w:tcPr>
            <w:tcW w:w="226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4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40" w:type="dxa"/>
            <w:vAlign w:val="bottom"/>
            <w:gridSpan w:val="2"/>
            <w:shd w:val="clear" w:color="auto" w:fill="000000"/>
          </w:tcPr>
          <w:p>
            <w:pPr>
              <w:spacing w:after="0" w:line="20" w:lineRule="exact"/>
              <w:rPr>
                <w:sz w:val="1"/>
                <w:szCs w:val="1"/>
                <w:color w:val="auto"/>
              </w:rPr>
            </w:pPr>
          </w:p>
        </w:tc>
      </w:tr>
      <w:tr>
        <w:trPr>
          <w:trHeight w:val="277"/>
        </w:trPr>
        <w:tc>
          <w:tcPr>
            <w:tcW w:w="400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900" w:type="dxa"/>
            <w:vAlign w:val="bottom"/>
          </w:tcPr>
          <w:p>
            <w:pPr>
              <w:spacing w:after="0"/>
              <w:rPr>
                <w:sz w:val="24"/>
                <w:szCs w:val="24"/>
                <w:color w:val="auto"/>
              </w:rPr>
            </w:pPr>
          </w:p>
        </w:tc>
        <w:tc>
          <w:tcPr>
            <w:tcW w:w="25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VTGN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432"/>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80" w:type="dxa"/>
            <w:vAlign w:val="bottom"/>
            <w:gridSpan w:val="7"/>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c>
          <w:tcPr>
            <w:tcW w:w="2500" w:type="dxa"/>
            <w:vAlign w:val="bottom"/>
          </w:tcPr>
          <w:p>
            <w:pPr>
              <w:spacing w:after="0"/>
              <w:rPr>
                <w:sz w:val="24"/>
                <w:szCs w:val="24"/>
                <w:color w:val="auto"/>
              </w:rPr>
            </w:pPr>
          </w:p>
        </w:tc>
      </w:tr>
      <w:tr>
        <w:trPr>
          <w:trHeight w:val="453"/>
        </w:trPr>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32"/>
        </w:trPr>
        <w:tc>
          <w:tcPr>
            <w:tcW w:w="8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tc>
      </w:tr>
      <w:tr>
        <w:trPr>
          <w:trHeight w:val="432"/>
        </w:trPr>
        <w:tc>
          <w:tcPr>
            <w:tcW w:w="85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15(d) of the Act.  Yes</w:t>
            </w:r>
          </w:p>
        </w:tc>
        <w:tc>
          <w:tcPr>
            <w:tcW w:w="2500" w:type="dxa"/>
            <w:vAlign w:val="bottom"/>
          </w:tcPr>
          <w:p>
            <w:pPr>
              <w:ind w:left="10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No</w:t>
            </w:r>
            <w:r>
              <w:rPr>
                <w:rFonts w:ascii="Wingdings" w:cs="Wingdings" w:eastAsia="Wingdings" w:hAnsi="Wingdings"/>
                <w:sz w:val="18"/>
                <w:szCs w:val="18"/>
                <w:b w:val="1"/>
                <w:bCs w:val="1"/>
                <w:color w:val="auto"/>
              </w:rPr>
              <w:t xml:space="preserve">  x</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913" w:orient="portrait"/>
          <w:cols w:equalWidth="0" w:num="1">
            <w:col w:w="11240"/>
          </w:cols>
          <w:pgMar w:left="320" w:top="337" w:right="339" w:bottom="0" w:gutter="0" w:footer="0" w:header="0"/>
        </w:sectPr>
      </w:pPr>
    </w:p>
    <w:p>
      <w:pPr>
        <w:spacing w:after="0" w:line="2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9" w:lineRule="exact"/>
        <w:rPr>
          <w:sz w:val="24"/>
          <w:szCs w:val="24"/>
          <w:color w:val="auto"/>
        </w:rPr>
      </w:pPr>
    </w:p>
    <w:p>
      <w:pPr>
        <w:sectPr>
          <w:pgSz w:w="11900" w:h="16913" w:orient="portrait"/>
          <w:cols w:equalWidth="0" w:num="4">
            <w:col w:w="1640" w:space="140"/>
            <w:col w:w="4220" w:space="720"/>
            <w:col w:w="1200" w:space="140"/>
            <w:col w:w="3180"/>
          </w:cols>
          <w:pgMar w:left="320" w:top="337" w:right="339" w:bottom="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8"/>
          <w:szCs w:val="18"/>
          <w:b w:val="1"/>
          <w:bCs w:val="1"/>
          <w:color w:val="auto"/>
        </w:rPr>
        <w:t>x</w:t>
      </w:r>
    </w:p>
    <w:p>
      <w:pPr>
        <w:spacing w:after="0" w:line="40" w:lineRule="exact"/>
        <w:rPr>
          <w:sz w:val="24"/>
          <w:szCs w:val="24"/>
          <w:color w:val="auto"/>
        </w:rPr>
      </w:pPr>
    </w:p>
    <w:p>
      <w:pPr>
        <w:sectPr>
          <w:pgSz w:w="11900" w:h="16913" w:orient="portrait"/>
          <w:cols w:equalWidth="0" w:num="4">
            <w:col w:w="1540" w:space="140"/>
            <w:col w:w="4320" w:space="720"/>
            <w:col w:w="1980" w:space="120"/>
            <w:col w:w="2420"/>
          </w:cols>
          <w:pgMar w:left="320" w:top="337" w:right="339" w:bottom="0" w:gutter="0" w:footer="0" w:header="0"/>
          <w:type w:val="continuous"/>
        </w:sectPr>
      </w:pPr>
    </w:p>
    <w:p>
      <w:pPr>
        <w:ind w:left="6720"/>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913" w:orient="portrait"/>
          <w:cols w:equalWidth="0" w:num="2">
            <w:col w:w="8720" w:space="140"/>
            <w:col w:w="2380"/>
          </w:cols>
          <w:pgMar w:left="320" w:top="337" w:right="339" w:bottom="0" w:gutter="0" w:footer="0" w:header="0"/>
          <w:type w:val="continuous"/>
        </w:sectPr>
      </w:pPr>
    </w:p>
    <w:p>
      <w:pPr>
        <w:spacing w:after="0" w:line="9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913" w:orient="portrait"/>
          <w:cols w:equalWidth="0" w:num="1">
            <w:col w:w="11240"/>
          </w:cols>
          <w:pgMar w:left="320" w:top="337" w:right="339" w:bottom="0" w:gutter="0" w:footer="0" w:header="0"/>
          <w:type w:val="continuous"/>
        </w:sectPr>
      </w:pPr>
    </w:p>
    <w:bookmarkStart w:id="1" w:name="page2"/>
    <w:bookmarkEnd w:id="1"/>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62" w:lineRule="exact"/>
        <w:rPr>
          <w:sz w:val="20"/>
          <w:szCs w:val="20"/>
          <w:color w:val="auto"/>
        </w:rPr>
      </w:pPr>
    </w:p>
    <w:p>
      <w:pPr>
        <w:spacing w:after="0"/>
        <w:tabs>
          <w:tab w:leader="none" w:pos="7580" w:val="left"/>
          <w:tab w:leader="none" w:pos="8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Yes</w:t>
      </w:r>
      <w:r>
        <w:rPr>
          <w:sz w:val="20"/>
          <w:szCs w:val="20"/>
          <w:color w:val="auto"/>
        </w:rPr>
        <w:tab/>
      </w:r>
      <w:r>
        <w:rPr>
          <w:rFonts w:ascii="Wingdings" w:cs="Wingdings" w:eastAsia="Wingdings" w:hAnsi="Wingdings"/>
          <w:sz w:val="15"/>
          <w:szCs w:val="15"/>
          <w:b w:val="1"/>
          <w:bCs w:val="1"/>
          <w:color w:val="auto"/>
        </w:rPr>
        <w:t xml:space="preserve">o </w:t>
      </w:r>
      <w:r>
        <w:rPr>
          <w:rFonts w:ascii="Times New Roman" w:cs="Times New Roman" w:eastAsia="Times New Roman" w:hAnsi="Times New Roman"/>
          <w:sz w:val="15"/>
          <w:szCs w:val="15"/>
          <w:color w:val="auto"/>
        </w:rPr>
        <w:t>No</w:t>
      </w:r>
      <w:r>
        <w:rPr>
          <w:rFonts w:ascii="Wingdings" w:cs="Wingdings" w:eastAsia="Wingdings" w:hAnsi="Wingdings"/>
          <w:sz w:val="15"/>
          <w:szCs w:val="15"/>
          <w:b w:val="1"/>
          <w:bCs w:val="1"/>
          <w:color w:val="auto"/>
        </w:rPr>
        <w:t xml:space="preserve">  x</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of the registrant on September 30, 2023, the last business day of the registrant’s second fiscal quarter, was approximately $62.7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7, 2024, there were 27,025,209 shares of the registrant’s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047"/>
        </w:trPr>
        <w:tc>
          <w:tcPr>
            <w:tcW w:w="1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784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20" w:type="dxa"/>
            <w:vAlign w:val="bottom"/>
          </w:tcPr>
          <w:p>
            <w:pPr>
              <w:spacing w:after="0"/>
              <w:rPr>
                <w:sz w:val="24"/>
                <w:szCs w:val="24"/>
                <w:color w:val="auto"/>
              </w:rPr>
            </w:pPr>
          </w:p>
        </w:tc>
      </w:tr>
      <w:tr>
        <w:trPr>
          <w:trHeight w:val="493"/>
        </w:trPr>
        <w:tc>
          <w:tcPr>
            <w:tcW w:w="1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78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43"/>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240" w:type="dxa"/>
            <w:vAlign w:val="bottom"/>
            <w:gridSpan w:val="2"/>
            <w:shd w:val="clear" w:color="auto" w:fill="CCEEFF"/>
          </w:tcPr>
          <w:p>
            <w:pPr>
              <w:spacing w:after="0"/>
              <w:rPr>
                <w:sz w:val="21"/>
                <w:szCs w:val="21"/>
                <w:color w:val="auto"/>
              </w:rPr>
            </w:pPr>
          </w:p>
        </w:tc>
        <w:tc>
          <w:tcPr>
            <w:tcW w:w="7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1A.</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1B.</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1C.</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Cyber Security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2</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4</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11"/>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1020" w:type="dxa"/>
            <w:vAlign w:val="bottom"/>
          </w:tcPr>
          <w:p>
            <w:pPr>
              <w:spacing w:after="0"/>
              <w:rPr>
                <w:sz w:val="18"/>
                <w:szCs w:val="18"/>
                <w:color w:val="auto"/>
              </w:rPr>
            </w:pPr>
          </w:p>
        </w:tc>
      </w:tr>
      <w:tr>
        <w:trPr>
          <w:trHeight w:val="241"/>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5</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7</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7A.</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8</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9</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0"/>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9A.</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63"/>
        </w:trPr>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9B.</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66"/>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9C.</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10</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11</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Compensation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12</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13</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14</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238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15</w:t>
            </w:r>
          </w:p>
        </w:tc>
        <w:tc>
          <w:tcPr>
            <w:tcW w:w="7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63"/>
        </w:trPr>
        <w:tc>
          <w:tcPr>
            <w:tcW w:w="238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16</w:t>
            </w:r>
          </w:p>
        </w:tc>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10-K Summary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0"/>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78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63"/>
        </w:trPr>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78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statements in this Annual Report on Form 10-K (Annual Report or Report) may constitute “forward-looking statements” for purposes of the federal securities laws, including the safe harbor provisions of Section 27A of the Securities Act of 1933, as amended (the Securities Act), and Section 21E of the Securities Exchange Act of 1934, as amended (the Exchange Act), that involve substantial risks and uncertainties.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also forward-looking statements. The words “anticipate,” “believe,” “can,” “contemplate,” continue,” “could,” “estimate,” “expect,” “future,” “intends,” “may,” “might,” “plan,” “possible,” “potential,” “predict,” “project,” “should,” “strategy,” “target,” “will,” “would,” or the negative of these terms or similar expressions may identify forward-looking statements, but the absence of these words does not mean that a statement is not forward-looking. Forward-looking statements in this Annual Report may include, for example, statements about:</w:t>
      </w:r>
    </w:p>
    <w:p>
      <w:pPr>
        <w:spacing w:after="0" w:line="21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anticipate our available financial resources will enable us to fund our operating expense;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including funding necessary to complete further development, approval and, if approved, commercialization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 objectives, strategy, likelihood of success, and cost of our preclinical studies and clinical trials and other product development activities, including the design of our preclinical studies and clinical trials;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initiation of our preclinical studies and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enroll suitable patients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our preclinical studies and clinical trials and related preparatory work;</w:t>
      </w:r>
    </w:p>
    <w:p>
      <w:pPr>
        <w:spacing w:after="0" w:line="238"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and interpret preclinical and clinical data;</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interactions, including whether trials meet the criteria to enable early-stage clinical development or serve as registrational;</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attributes and benefits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obtained, maintain regulatory approval for our product candidates, and any related restrictions, limitations or warnings on the label of an approved product candidate;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business development efforts to optimize the potential value of our neuroscience pipeline;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of treatments for the indications that we are pursuing for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 and the duration of such protection;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and rely on third-parties to assist in conducting our preclinical studies and clinical trials and manufacturing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either alone or in partnership with others;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accounting standards, regulatory requirements, judicial decisions and guidance issued by authoritative bodies;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medical, commercial and management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and needs for additional financing;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our License and Collaboration Agreement with AffaMed Therapeutics, Inc. (including our ability to receive future payments thereunder) and any other future financing or business development transactions;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adverse market or macroeconomic conditions, including, among others, inflation, interest rates and economic uncertainty, market volatility resulting from global political or economic developments, war, international hostilities and terrorism, any future public health epidemics or outbreaks of infectious disease, the residual post-COVID environment and other factors on any of the foregoing or other aspects of our business operations, including but not limited to our preclinical studies, clinical trials and other product development activities, healthcare systems and the global economy as a whole;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of this Annual Report titled “Risk Factors.”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or important factors that may cause actual results or performance to be materially different from those expressed or implied by these forward-looking statements. These risks and uncertainties include, but are not limited to, those factors described in the sections titled “Risk Factors” and “Management’s Discussion and Analysis of Financial Condition and Results of Operations,” set forth in this Annual Report.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Annual Report completely and with the understanding that our actual future results may be materially different from what we expect.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Unless the context otherwise requires, reference in this Annual Report to the terms “Vistagen,” “the Company,” “we,” “us,” “our,” and similar designations refer to Vistagen Therapeutics, Inc., a Nevada corporation, and where appropriate, our consolidated subsidiaries.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Annual Report may contain references to trademarks, trade names and service marks belonging to other entities. Solely for convenience, trademarks, trade names and service marks referred to in this Annual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or disorders, including estimates regarding the potential size of those markets and the estimated incidence and prevalence of certain medical conditions. Information that is based on estimates, forecasts, market research, projections, or similar methodologies is inherently subject to uncertainties, and actual circumstances, events or numbers, including actual disease prevalence rates and market size, may differ materially from the information reflected in this Annual Report. Unless otherwise expressly stated, we obtained the industry, market and competitive position data from our internal estimates and research, or from independent market research, industry and general publications and surveys, governmental agencies and publicly available information in addition to research, surveys and studies conducted by third parties that have not been independently verified which may, in the future, prove not to have been accurate.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 brand names or trademarks appearing in this Annual Report are the property of their respective holders. 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Vistagen Therapeutics, Inc., a Nevada corporation. All references to future quarters and years in this Annual Report refer to calendar quarters and calendar years, unless reference is made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a neuroscience-focused biopharmaceutical company dedicated to pursuing a pioneering approach to the development and commercialization of groundbreaking therapies for psychiatric and neurological disorders based on our deep understanding of nose-to-brain neurocircuitry. Our clinical-stage pipeline consists of intranasal product candidates from a new class of potential neuroscience therapies called pherines. Designed exclusively as nasal sprays, each of our pherine product candidates is centered on our innovative approach to addressing neuroscience disorders with the nose as a new portal for the administration of novel, rapid-onset neuroactive therapies that do not require systemic absorption or binding to neurons in the brain to achieve desired therapeutic effects. Microgram-level doses of our pherine nasal sprays rapidly activate chemosensory neurons in the nasal cavity to impact fundamental neurocircuitry in the olfactory system and the brain with a differentiated safety profile observed in all clinical studies completed to date. Our goal is to develop and commercialize a broad and diversified pipeline of innovative neuroactive pherine therapies for multiple highly prevalent neuroscience indications, such as social anxiety disorder, major depressive disorder, and vasomotor symptoms (hot flashes) associated with menopause, with limited or inadequate current treatment options to meet the needs of millions of underserved patients in the U.S. and worldwide. See “Our Neuroscience Pipeline” below.</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pursue our goal to efficiently develop and commercialize novel, differentiated neuroactive pherine therapies for psychiatric and neurological disorders, our primary strategy is as follows:</w:t>
      </w:r>
    </w:p>
    <w:p>
      <w:pPr>
        <w:spacing w:after="0" w:line="173"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i w:val="1"/>
          <w:iCs w:val="1"/>
          <w:color w:val="auto"/>
        </w:rPr>
        <w:t>Target High-Growth Neuroscience Markets</w:t>
      </w:r>
      <w:r>
        <w:rPr>
          <w:rFonts w:ascii="Times New Roman" w:cs="Times New Roman" w:eastAsia="Times New Roman" w:hAnsi="Times New Roman"/>
          <w:sz w:val="18"/>
          <w:szCs w:val="18"/>
          <w:color w:val="auto"/>
        </w:rPr>
        <w:t>: Pursue commercially attractive, high-prevalence, high-growth neuroscience markets with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differentiated FDA-approved treatment options, as to both efficacy and safety, and an inadequate or non-existent standard of care.</w:t>
      </w:r>
    </w:p>
    <w:p>
      <w:pPr>
        <w:spacing w:after="0" w:line="199"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i w:val="1"/>
          <w:iCs w:val="1"/>
          <w:color w:val="auto"/>
        </w:rPr>
        <w:t>Develop Differentiated Neuroscience Products</w:t>
      </w:r>
      <w:r>
        <w:rPr>
          <w:rFonts w:ascii="Times New Roman" w:cs="Times New Roman" w:eastAsia="Times New Roman" w:hAnsi="Times New Roman"/>
          <w:sz w:val="18"/>
          <w:szCs w:val="18"/>
          <w:color w:val="auto"/>
        </w:rPr>
        <w:t>: Apply our unique understanding of olfactory and brain neurocircuitry to develop a broad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diversified neuroscience pherine pipeline with novel mechanisms of action (MOAs), clearly differentiated efficacy and safety profiles, and groundbreaking potential to transform lives across multiple therapeutic areas.</w:t>
      </w:r>
    </w:p>
    <w:p>
      <w:pPr>
        <w:spacing w:after="0" w:line="215"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i w:val="1"/>
          <w:iCs w:val="1"/>
          <w:color w:val="auto"/>
        </w:rPr>
        <w:t>Retain U.S. Rights and Partner Ex-U.S. Rights</w:t>
      </w:r>
      <w:r>
        <w:rPr>
          <w:rFonts w:ascii="Times New Roman" w:cs="Times New Roman" w:eastAsia="Times New Roman" w:hAnsi="Times New Roman"/>
          <w:sz w:val="18"/>
          <w:szCs w:val="18"/>
          <w:color w:val="auto"/>
        </w:rPr>
        <w:t>: We plan to retain all U.S. commercial rights to the pherine product candidates in our neuroscience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pipeline, and develop and commercialize our pherine portfolio in the U.S. on our own; when advantageous to us, selectively partner development and commercialization of our pherine product candidates outside the U.S.; and selectively partner rights to develop and commercialize AV-101 in the U.S.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Clinical-Stage Neuroscience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5657850" cy="3162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Pherines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pherines are a novel class of synthetic neurocircuitry-focused drug candidates for psychiatric and neurological disorders. They are odorless and tasteless neuroactive steroids, delivered only intranasally, each with a differentiated MOA and safety profile from all currently approved drugs. Our neuroactive pherines rapidly activate olfactory system neurocircuitry to achieve therapeutic effects via nose-to-brain neural connections. Through these connections, pherines activate neural circuitry to specific brain regions that impact the neuroscience disorders we are targeting, without requiring apparent systemic absorption or central nervous system (CNS) uptake. As a result of their novel non-systemic MOAs, we believe our pherine drug candidates have favorable and differentiated safety profiles, and have been observed to be well-tolerated in all clinical trials completed to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Lead Clinical-Stage Programs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Anxiety Disorder (SAD)</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Based on the 2023 National Health and Wellness Survey, an estimated 31 million adults, or approximately 12% of the adult population in the U.S., are affected by SAD. SAD can be viewed as a chronic series of acute, socially stressful events in which patients exhibit excessive anxiety and fear of embarrassment, humiliation, scrutiny, evaluation, or rejection by others (Liebowitz, Gorman, Fyer, &amp; Klein, 1985). The avoidance, fear, or anxious anticipation of these situations interferes significantly with the person’s daily routine, having a marked impact on occupational functioning and/or social life. In the absence of anxiety-provoking social or performance events, generally, patients with SAD are asymptomatic.</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SAD typically does not resolve naturally, and may lead to alcohol use disorder, major depressive disorder (MDD), suicidal ideation and suicide as sequalae. A key psychotherapy mechanism by which individuals with SAD overcome this disorder, or lessen their symptoms, is believed to be by gradually exposing themselves to feared or avoided situations. This is a key component of cognitive-behavioral treatment (CBT) for SAD. However, it is difficult for most individuals with SAD to even consider engaging in stressful, anxiety-provoking social or performance situations, preventing initiation and continuation of CBT as a psychotherapeutic approach.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three antidepressants currently approved by the U.S. Food and Drug Administration (FDA) for the treatment of SAD were approved over 20 years ago. If successful, they exert their therapeutic effect over time with the objective of gradually reducing the anxiety and physical symptoms that SAD patients experience when they find themselves in feared or avoided situations. If these oral antidepressants begin to produce a clinical therapeutic benefit, usually many weeks following the start of daily systemic dosing, they require long-term daily maintenance dosing, regardless of whether the SAD patient actually experiences social anxiety on a given day. Chronic treatment is typically associated with a range of bothersome side effects, such as gastrointestinal symptoms, agitation, sleep disturbances, weight changes, and sexual dysfunction. None of the antidepressants approved for the treatment of SAD is approved for the acute treatment of SAD.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Fasedienol for the Acute Treatment of SAD</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Fasedienol is a synthetic investigational neuroactive pherine nasal spray from the androstane family currently in Phase 3 clinical development for the acute treatment of SAD. The proposed MOA of fasedienol is fundamentally differentiated from all currently approved anti-anxiety medications, including the three antidepressants approved by the FDA for the treatment of SAD, as well as all benzodiazepines and beta blockers, which, although not FDA-approved for the treatment of SAD, are sometimes prescribed for treatment of SAD on an off-label basis. When administered intranasally in microgram-level doses, odorless and tasteless fasedienol activates receptors of peripheral nasal chemosensory neurons connected to subsets of neurons in the olfactory bulbs that, in turn, connect to neurons in the limbic amygdala involved in the pathophysiology of SAD, and potentially other acute anxiety and mood disorders. Fasedienol is pharmacologically active without requiring apparent systemic absorption or direct binding on neurons in the brain to achieve its rapid-onset and short-duration anxiolytic effects. Fasedienol does not exert effects on certain cellular receptors that are associated with known drug abuse liability potential (for example, dopamine, nicotinic, and opiate receptors) when activated by certain other pharmaceutical compounds for neuropsychiatric and neurological disorders. Fasedienol also does not produce agonistic or antagonistic effects on GABA</w:t>
      </w:r>
      <w:r>
        <w:rPr>
          <w:rFonts w:ascii="Times New Roman" w:cs="Times New Roman" w:eastAsia="Times New Roman" w:hAnsi="Times New Roman"/>
          <w:sz w:val="11"/>
          <w:szCs w:val="11"/>
          <w:color w:val="auto"/>
        </w:rPr>
        <w:t>A</w:t>
      </w:r>
      <w:r>
        <w:rPr>
          <w:rFonts w:ascii="Times New Roman" w:cs="Times New Roman" w:eastAsia="Times New Roman" w:hAnsi="Times New Roman"/>
          <w:sz w:val="18"/>
          <w:szCs w:val="18"/>
          <w:color w:val="auto"/>
        </w:rPr>
        <w:t xml:space="preserve"> α1/β2/γ2 ion channels. Because of its innovative non-systemic neurocircuitry-focused MOA, we believe fasedienol has the potential to achieve these rapid-onset anxiolytic effects on an as-needed basis rather than chronic daily dosing, and with a significantly reduced risk of unwanted side effects and safety concerns, such as potential drug-drug interactions, abuse, misuse, and addiction, associated with current oral and certain other systemically absorbed neuropsychiatric pharmaceuticals that act directly on neurons in the brain and are sometimes prescribed for anxiety disorders.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Fasedienol PALISADE Phase 3 Program for the Acute Treatment of SAD</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believe fasedienol allows individuals affected by SAD to engage in stressful or previously avoided social or performance situations with fewer or less severe symptoms. A key and substantial difference between fasedienol and each of the three oral antidepressants approved by the FDA for the treatment of SAD is that fasedienol is being developed for use on a patient-tailored as-needed basis, before or during a stressful social or performance situation because of its rapid-onset MOA and pharmacological effect. Hence, acute treatment with fasedienol has the potential to reduce the wave of anxiety usually experienced by SAD patients before engaging in or during a feared social or performance situation. Through more frequent exposure to socially stressful events, we believe treatment with fasedienol may help individuals with SAD to begin to cognitively separate the negative physiological symptoms of anxiety from specific anxiety-provoking events.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Currently, there is no FDA-approved drug therapy for the acute treatment of SAD. Given how fasedienol’s rapid-onset MOA is differentiated from all current FDA-approved anxiety drugs, our initial and primary target indication for fasedienol is the acute treatment of SAD. For that acute indication, we have aligned with the FDA that a clinic-based public speaking challenge and the Subjective Units of Distress Scale (SUDS) are the appropriate study design and primary efficacy endpoint, respectively, to measure anxiety immediately related to the specific stressor, and is the most appropriate and efficient path for our registration-directed PALISADE Phase 3 Program, which is focused on fasedienol’s potential to become the first FDA-approved acute treatment of SAD. Accordingly, our Phase 3 clinical trials in our PALISADE Phase 3 Program are randomized, double-blind, placebo-controlled, clinical trials designed to evaluate the efficacy, safety, and tolerability of a single dose of fasedienol to relieve anxiety symptoms in adult patients with SAD during a simulated, anxiety-provoking public speaking challenge conducted in a clinical setting, as measured using the patient-reported SUDS as the primary efficacy endpoint. Two of the Phase 3 trials in our PALISADE Phase 3 Program were previously concluded, PALISADE-1, concluded in 2022 and did not meet its primary endpoint, and PALISADE-2, concluded in 2023 and successfully met its primary endpoint, and as further described below, two Phase 3 trials, PALISADE-3 and PALISADE-4 are ongoing or will be initiated in 2024. Our PALISADE Phase 3 Program also includes open-label extension safety studies, a small Phase 2 repeat dose study (Repeat Dose Study), certain standard preclinical studies, and a small human factor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early August 2023, we received and reported positive topline results from our PALISADE-2 Phase 3 trial of fasedienol for the acute treatment of SAD. Our PALISADE-2 Phase 3 trial met its primary efficacy endpoint, which was the difference in mean SUDS scores during the public speaking challenge at baseline (Visit 2) and treatment (Visit 3) for subjects treated with fasedienol versus placebo at Visit 3. Fasedienol-treated patients demonstrated a greater mean change from baseline (least-squares (LS) mean = -13.8) compared to placebo (LS mean = -8.0), for a statistically significant, and we believe clinically relevant, difference between groups of -5.8 (p=0.015). The trial also met its secondary endpoint, demonstrating a statistically significant difference in the proportion of clinician-assessed responders between fasedienol and placebo as measured by the Clinical Global Impressions – Improvement (CGI-I) scale. Responders were identified as those who were rated ‘very much less anxious’ or ‘much less anxious’ and 37.7% of fasedienol-treated patients were rated as responders, as compared to 21.4% of those treated with placebo (p=0.033). The trial also met an important exploratory patient-reported endpoint focused on the difference in the proportion of patient-assessed responders between fasedienol and placebo as measured by the Patient’s Global Impression of Change (PGI-C) scale. Responders were identified as those who self-rated ‘very much less anxious’ or ‘much less anxious’ and 40.6% of fasedienol-treated patients were rated as responders, as compared to 18.6% of those treated with placebo (p=0.003). Our PALISADE-2 trial also met an additional exploratory endpoint, the difference in the proportion of patients in each treatment group with a 20-point or greater improvement in patient-assessed SUDS score from baseline (Visit 2) to treatment (Visit 3). Of the fasedienol-treated patients, 35.7% demonstrated this statistically significant and clinically meaningful improvement in SUDS score, as compared to 18.6% in the placebo-treated group (p=0.020). Fasedienol was observed to be well-tolerated with no serious adverse events (SAEs), and the treatment-emergent adverse event (TEAE) profiles were comparable between fasedienol and placebo. Overall, no TEAEs, except for pyrexia in the placebo group (2.49%), was more prevalent than 2.0%.</w:t>
      </w:r>
    </w:p>
    <w:p>
      <w:pPr>
        <w:spacing w:after="0" w:line="2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complement our successful PALISADE-2 Phase 3 trial, we launched our PALISADE-3 Phase 3 trial in March 2024 and we are preparing to launch our PALISADE-4 Phase 3 trial in the second half of 2024. Like PALISADE-2, PALISADE-3 is, and PALISADE-4 will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conducted in a clinical setting, as measured using the patient-reported SUDS as the primary efficacy endpoint. In addition, both PALISADE-3 and PALISADE-4 will have an open-label extension for a period of up to 12 months. We are also planning to initiate the Repeat Dose Study in the second half of 2024. This study will be a small multi-center, randomized, double-blind, placebo-controlled, three-arm Phase 2 clinical trial designed to evaluate repeated dosing (up to two doses within ten minutes) of fasedienol in adult patients with SAD during a single, simulated, anxiety-provoking public speaking challenge in a clinical setting. The Repeat Dose Study will also have an open-label extension for a period of up to 12 months.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either PALISADE-3 or PALISADE-4, if successful, together with PALISADE-2, may establish substantial evidence of the effectiveness of fasedienol in support of a potential fasedienol New Drug Application (NDA) submission to the FDA for the acute treatment of SAD. The FDA has designated fasedienol as a Fast Track product candidate.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Depressive Disorder (MDD)</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Depression is a serious medical illness and a global public health concern that can occur at any time during a person's life. According to the World Health Organization (WHO), depression is the leading cause of disability worldwide, affecting over 250 million people. Statistics reported by the U.S. National Institute of Mental Health (NIMH) indicate that approximately 21 million adults in the U.S., or approximately 8.4% of all adults in the U.S., had at least one major depressive episode in 2020. While most people will experience a depressed mood at some point during their lifetime, MDD is different. MDD is the chronic, pervasive feeling of utter unhappiness and suffering, which impairs daily functioning. In typical depressive episodes, an individual experiences depressed mood, loss of interest and enjoyment, and reduced energy leading to diminished activity and impaired daily functioning for at least two weeks and often much longer. Symptoms of MDD also may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MDD is the psychiatric diagnosis most commonly associated with suicide.</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many people, depression cannot be controlled for any length of time without treatment. Current oral antidepressants have modest efficacy, substantial lag of onset of action, and considerable side effects. Approximately two out of every three depression sufferers do not receive adequate therapeutic benefits from their initial treatment with a standard antidepressant, and the likelihood of achieving remission of depressive symptoms declines with each successive treatment attempt. Even after multiple treatment attempts with current antidepressants, approximately one-third of depression sufferers still fail to find an adequately effective therapy.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Inadequate response to current treatments is among the key reasons MDD is one of the leading public health concerns in the U.S., creating a significant unmet medical need for new agents with fundamentally differentiated MOAs and safety profiles.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Itruvone for the Treatment of MDD</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Itruvone is an odorless, tasteless synthetic investigational neuroactive pherine from the pregnane family with a novel, rapid-onset proposed neurocircuitry-focused MOA that is fundamentally differentiated from the MOA of all currently approved treatments for depression disorders. Itruvone is administered intranasally at low microgram-level doses and is designed to engage and activate chemosensory neurons in the nasal cavity, which are connected to neural circuits in the brain that produce antidepressant effects. Specifically, in a manner similar to fasedienol, itruvone’s proposed MOA involves the regulation of the olfactory-to-amygdala neural circuitry, but, unlike fasdienol, itruvone is believed to increase the activity of the limbic-hypothalamic sympathetic nervous system and increase the release of catecholamines. Unlike all currently approved antidepressant therapies, we believe itruvone does not require systemic absorption or binding to neurons in the brain to produce antidepressant effects and achieve those antidepressant effects without the side effects and safety concerns that may be associated with current antidepressant therapies, including, among others, sexual side effects, sedation, weight gain and suicidal ideation.</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With its potential for rapid-onset activity at a microgram-level dose that we believe does not require systemic absorption and distribution to achieve sustained antidepressant effects, as well as a safety profile in studies completed to date that is fundamentally differentiated from current depression therapeutics, we believe itruvone has transformative potential an innovative stand-alone treatment for MDD and presents potential opportunities for development in multiple additional depression disorders, including postpartum depression, treatment-resistant depression, and suicidal ideation.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a randomized, double-blind, placebo-controlled parallel design exploratory Phase 2A clinical trial of itruvone in MDD, the results of which were published in the peer-reviewed </w:t>
      </w:r>
      <w:r>
        <w:rPr>
          <w:rFonts w:ascii="Times New Roman" w:cs="Times New Roman" w:eastAsia="Times New Roman" w:hAnsi="Times New Roman"/>
          <w:sz w:val="18"/>
          <w:szCs w:val="18"/>
          <w:i w:val="1"/>
          <w:iCs w:val="1"/>
          <w:color w:val="auto"/>
        </w:rPr>
        <w:t>British Journal of Pharmaceutical and Medical Research</w:t>
      </w:r>
      <w:r>
        <w:rPr>
          <w:rFonts w:ascii="Times New Roman" w:cs="Times New Roman" w:eastAsia="Times New Roman" w:hAnsi="Times New Roman"/>
          <w:sz w:val="18"/>
          <w:szCs w:val="18"/>
          <w:color w:val="auto"/>
        </w:rPr>
        <w:t>, at a 6.4 μg dose administered intranasally twice daily for eight weeks, itruvone significantly reduced depressive symptoms as early as one week based on the 17-item Hamilton Depression Scale (HAM-D-17) scores compared to placebo (p=0.022). Itruvone was well-tolerated and did not cause psychological side effects (such as dissociation or hallucinations), sexual side effects, weight gain, or other safety concerns that may be associated with other approved pharmacological therapies for MDD. The trial was sponsored by Pherin Pharmaceuticals, Inc (Pherin), now our wholly-owned subsidiary, and was conducted in Mexico prior to our acquisition of Pherin in February 2023. Positive data from our recent U.S. Investigational New Drug (IND) enabling Phase 1 trial of itruvone demonstrated that there were no reported treatment-related SAEs or discontinuations due to adverse events in the trial. Overall, itruvone was well-tolerated and continued to demonstrate the favorable safety profile seen in all clinical trials to date. As a result, we are currently preparing and planning for U.S. Phase 2B clinical development of itruvone under our U.S. IND as a novel, non-systemic stand-alone treatment for MDD.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for our development of itruvone as a potential treatment for MDD.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Women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 Health Indications - Vasomotor Symptoms (Hot Flashes) due to Menopause</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Vasomotor symptoms are sudden feelings of warmth in the face, neck, and chest, or sudden intense feelings of heat and sweating (hot flashes) commonly experienced by women in menopause. Presentation of hot flashes is directly linked to changes in hormone levels due to menopause, or menopause induced by other medical treatments or co-existing conditions, and the causal mechanism is unclear. Hot flashes are the most common symptom of the menopausal transition, affecting about 75% of menopausal women and about 40% of women in perimenopause. Prevalence of hot flashes is estimated to be about 20 million women in the U.S. with nine million women estimated to be suffering from severe hot flashes. Current pharmacotherapies to treat hot flashes include hormonal therapy (estrogen with or without progesterone, or a synthetic progestin), gabapentins, certain antidepressants, clonidine, and fezolinetant, a neurokinin 3 (NK3) receptor antagonist, all of which are associated with certain potentially serious side effects and safety concerns.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PH80 for the Treatment of Vasomotor Symptoms (Hot Flashes) due to Menopause.</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PH80 is a hormone-free, odorless, tasteless synthetic investigational neuroactive pherine nasal spray with a novel, rapid-onset potential MOA that is fundamentally differentiated from all currently approved treatments for vasomotor symptoms (hot flashes) due to menopause and other women’s health indications. Microgram-level doses of PH80, administered as a nasal spray, engage and activate chemosensory neurons in the nasal cavity connected to neural circuits in the basal forebrain associated with the control of body temperature.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June 2023, we reported positive results from a previously unpublished exploratory Phase 2A study of PH80 for the treatment of vasomotor symptoms (hot flashes) due to menopause. The randomized, double-blind, placebo-controlled exploratory Phase 2A clinical study of PH80 was designed to explore the efficacy, safety, and tolerability of intranasal administration of PH80 for the management of menopausal hot flashes in women. In the study, PH80 (0.8 µg/50 µL) was self-administered by subjects intranasally, with two sprays in each nostril (total dose = 3.2µg) up to four times daily, as-needed for four consecutive weeks. One additional dose was allowed at night if subjects were awakened by hot flashes. Through the course of the study, subjects recorded the number, severity, disruption in function, and sweating related to hot flashes. PH80 induced a significant reduction in the daily number of hot flashes compared to placebo at the end of the first week of treatment, and the improvement was maintained through each treatment week until the end of the treatment period. At baseline, subjects reported a mean daily number of hot flashes of 7.7 (PH80, n=18) and 8.0 (placebo, n=18). After one week of treatment, the number of hot flashes dropped to 2.8 (PH80) and 6.4 (placebo) (p&lt;.001), and after four weeks of treatment, the number of hot flashes dropped to 1.5 (PH80) and 5.1 (placebo) (p&lt;.001).</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PH80 treatment also significantly reduced the severity, disruption in function, and sweating related to hot flashes during the treatment period, as compared with placebo.</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PH80 was well-tolerated with no SAEs, and the adverse event profiles were comparable between PH80 and placebo. All 36 subjects completed four weeks of treatment and no subject discontinued participation in the study as a result of adverse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exploratory Phase 2A study of PH80 was conducted in a real-world setting in Mexico and was sponsored by Pherin prior to our acquisition of Pherin.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 Freeman, Ph.D. of the University of Pennsylvania served as the Principal Investigator of the study.</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conducting customary nonclinical studies necessary to support our planned submission of our U.S. IND to facilitate further Phase 2 clinical development of PH80 in the U.S. novel non-systemic, non-hormonal treatment of vasomotor symptoms (hot flashes) due to menopause.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Other Clinical-Stage Programs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Premenstrual Dysphoric Disorder (PMDD)</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According to the National Institutes of Health (NIH), 5% to 8% of menarcheal individuals have moderate-to-severe symptoms that can cause significant distress and functional impairment, suggestive of PMDD, a severe, sometimes disabling extension of premenstrual syndrome (PMS). PMDD symptoms usually begin in the luteal phase (approximately seven to ten days before a person’s period starts) and continue for the first few days of the period. Like PMS, PMDD can cause bloating, breast tenderness, fatigue, and changes in sleep and eating habits, but distinctively, it can also cause extreme mood shifts that can disrupt daily life and damage relationships. The cause of PMDD is not clearly understood, but it is thought that neurotransmitter systems may trigger PMDD. Brain areas that regulate emotion and behavior are studded with receptors for estrogen, progesterone, and other sex hormones. These hormones affect the functioning of neurotransmitter systems that influence mood and thinking, possibly triggering PMDD. Treatment of PMDD is aimed at preventing or minimizing symptomology.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PH80 for PMDD</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September 2023, we reported positive results from a previously unpublished exploratory Phase 2A clinical study of PH80 for management of the symptoms of PMDD, including negative mood and physical and behavioral symptoms, in subjects with a regular menstrual cycle and at least a one-year history of PMDD. In this randomized, double-blind, placebo-controlled exploratory Phase 2A study, PH80 demonstrated a statistically significant improvement versus placebo in management of the symptoms of PMDD, including negative mood and physical and behavioral symptoms. The initial study visit occurred after the onset of symptoms. All subjects were administered a placebo nasal spray, and those who showed no symptom improvement were eligible to return for the second visit, which occurred after the onset of symptoms during the next menstrual cycle. At the second study visit, subjects were randomized to receive a single dose of 0.9 µg PH80 nasal spray or placebo in the clinic. PH80 demonstrated statistically and clinically significant improvement versus placebo in symptoms of PMDD using the subject-rated Penn Daily Symptom Report (DSR) as early as Day 4 and continuing to Day 6 (p=0.008). PH80 also demonstrated statistically and clinically significant improvement versus placebo at Day 6 on the clinician-rated Premenstrual Tension Scale (PMTS) total score (p=0.006).</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PH80 was well-tolerated with no SAEs. The most common TEAE was headache, reported by 17% in the placebo group and 7% in the PH80 group. No other TEAE occurred more than once per subject. This Phase 2A study was sponsored by Pherin, prior to our acquisition of Pherin in February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Cognitive and Psychomotor Improvement due to Mental Fatigue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Numerous disorders, such as shift work disorder, sleep apnea, and narcolepsy, can lead to debilitating sleep deprivation and mental fatigue. The prevalence of these disorders is high. For example, moderate to severe sleep apnea affects approximately 20% of adult men and 10% of postmenopausal women. The potential consequences of mental fatigue from sleep deprivation are troubling, with higher rates of accidents and increased risk of dementia. Individuals affected by mental fatigue require improved treatment options with a differentiated safety profile, one without the potential for abuse liability or negative and treatment-limiting side effects and safety concerns that may lead to self-treatment and subsequent substance use disorders.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PH15 for Cognitive and Psychomotor Improvement due to Mental Fatigue</w:t>
      </w:r>
    </w:p>
    <w:p>
      <w:pPr>
        <w:spacing w:after="0" w:line="2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PH15 is an odorless, tasteless synthetic investigational neuroactive pherine with a novel, rapid-onset proposed MOA that is fundamentally differentiated from the MOA of all currently approved treatments to improve psychomotor or cognitive impairment caused by mental fatigue. PH15’s proposed MOA targets nasal receptors that activate olfactory-amygdala and olfactory hippocampus neural circuits in the limbic system that are known to be associated with psychomotor activity and cognition, without requiring systemic absorption or direct action on neurons in the brain. PH15 has demonstrated an excellent safety profile in all clinical trials completed to date.</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April 2024, we reported positive results from a Phase 2A pilot study of PH15 for the improvement of psychomotor impairment caused by mental fatigue. In the previously unreported randomized, double-blind, placebo-controlled, crossover Phase 2A pilot study designed to explore the efficacy, safety, and tolerability of intranasal administration of PH15 on psychomotor performance as measured by reaction time in sleep-deprived participants, PH15 demonstrated a statistically significant improvement in reaction time compared to placebo and caffeine in the sleep-deprived study participants.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Phase 2A pilot study, ten participants were randomly administered PH15 (multiple 1.6 µg doses, total dose of 9.6 µg), placebo (nasal spray and oral), or caffeine (single 400 mg oral dose administered one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 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PH15 was well-tolerated in this study, with no SAEs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previously unreported Phase 2A pilot study of PH15 was sponsored by Pherin and conducted at the National Institute of Psychiatry, Sleep Disorders Clinic in Mexico City, Mexico prior to our acquisition of Pherin in February 2023. The late Jose Maria Calvo, MD, formerly Associate Professor, National Institute of Psychiatry in Mexico City, served as the Principal Investigator of the study. We are currently evaluating the potential Phase 2 development path forward for PH15 and a nonclinical program required to support our submission of a U.S. IND to facilitate further potential Phase 2 development of PH15 in the 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Cachexia (Wasting Syndrome)</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Cachexia (also known as wasting syndrome) is a serious but under-recognized and complex syndrome associated with asymmetric energy supply from food and metabolism. It is characterized by significant fatigue, lack of hunger, and loss of appetite, weight, and muscle mass, most often affecting individuals with a severe chronic condition, such as cancer and or heart disease. It </w:t>
      </w:r>
      <w:r>
        <w:rPr>
          <w:rFonts w:ascii="Times New Roman" w:cs="Times New Roman" w:eastAsia="Times New Roman" w:hAnsi="Times New Roman"/>
          <w:sz w:val="18"/>
          <w:szCs w:val="18"/>
          <w:color w:val="202122"/>
        </w:rPr>
        <w:t>is estimated that cachexia from any disease affects more than five million people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2"/>
        </w:rPr>
        <w:t xml:space="preserve">the U.S. The prevalence of cachexia is growing and is estimated at 1% of the U.S. population. </w:t>
      </w:r>
      <w:r>
        <w:rPr>
          <w:rFonts w:ascii="Times New Roman" w:cs="Times New Roman" w:eastAsia="Times New Roman" w:hAnsi="Times New Roman"/>
          <w:sz w:val="18"/>
          <w:szCs w:val="18"/>
          <w:color w:val="000000"/>
        </w:rPr>
        <w:t>Currently, there is no specific treatment for cachexia. Current</w:t>
      </w:r>
      <w:r>
        <w:rPr>
          <w:rFonts w:ascii="Times New Roman" w:cs="Times New Roman" w:eastAsia="Times New Roman" w:hAnsi="Times New Roman"/>
          <w:sz w:val="18"/>
          <w:szCs w:val="18"/>
          <w:color w:val="202122"/>
        </w:rPr>
        <w:t xml:space="preserve"> </w:t>
      </w:r>
      <w:r>
        <w:rPr>
          <w:rFonts w:ascii="Times New Roman" w:cs="Times New Roman" w:eastAsia="Times New Roman" w:hAnsi="Times New Roman"/>
          <w:sz w:val="18"/>
          <w:szCs w:val="18"/>
          <w:color w:val="000000"/>
        </w:rPr>
        <w:t>appetite stimulant medications such as stimulants and cannabinoids are used to treat cachexia to increase food intake, and steroids are sometimes used to stop muscle wasting, but all current options may have detrimental side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PH284 for Cachexia and Appetite-related Disorders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PH284 is an odorless, tasteless synthetic investigational neuroactive pherine nasal spray with a novel, rapid-onset potential MOA that is fundamentally differentiated from the MOA of all current treatments for the loss of appetite associated with chronic disorders, such as cancer or heart disease. Cachexia is a serious but under-recognized consequence of many chronic diseases with body mass loss of &gt;10% and a prevalence of 5 to 15 %. We believe PH284 may have therapeutic potential for improving subjective feelings of hunger in patients with cachexia. We are currently evaluating the potential path forward for PH284, including an assessment of completed studies and studies we believe are necessary to support a U.S. IND for potential further Phase 2 clinical development of PH284 for the treatment of cachexia, including the appropriate patient populations for demonstrating an increase in appetite and weight gain.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Neurological Disorders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for NMDAR-related Neurological Disorders</w:t>
      </w:r>
    </w:p>
    <w:p>
      <w:pPr>
        <w:spacing w:after="0" w:line="2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AV-101 (4-Cl-KYN) is a novel, oral prodrug that targets the NMDAR (N-methyl-D-aspartate receptor), an ionotropic glutamate receptor in the brain. Abnormal NMDAR function is associated with numerous neurological diseases and disorders. The active metabolite of AV-101, 7-chloro-kynurenic acid (7-Cl-KYNA), is a potent and selective full antagonist of the glycine binding site of the NMDAR that inhibits the function of the NMDAR. Unlike ketamine and many other NMDAR antagonists, 7-Cl-KYNA is not an ion channel blocker.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safe and very well-tolerated with no psychological side effects or safety concerns and no treatment-related SAEs that are often observed with classic channel-blocking NMDAR antagonists such as ketamine and amantadine. Nonclinical results also indicate that chronic administration of 4-Cl-KYN induces hippocampal neurogenesis, a hallmark of drugs that have anti-depressive effects, and increases endogenous levels of KYNA, which also is a functional NMDAR glycine site antagonist.</w:t>
      </w:r>
    </w:p>
    <w:p>
      <w:pPr>
        <w:spacing w:after="0" w:line="21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Based on observations and findings from preclinical studies, we believe AV-101 has the potential to become a new oral treatment alternative for multiple neuroscience disorders, including levodopa-induced dyskinesia (LID) and neuropathic pain (NP) among others. We are currently assessing whether there is a path forward for potential Phase 2A clinical development of AV-101 with one or more collaborators, as a treatment for LID associated with Parkinson’s disease therapy and possibly one or more additional neurological disorders involving the NMDAR receptor. The FDA has granted Fast Track designation for the investigation of AV-101 for the treatment of neuropathic pain and for the adjunctive treatment of MDD.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strive to protect the proprietary know-how and technology that we believe is important to our business, including seeking and maintaining patents intended to cover our product candidates and related pharmaceutical compositions, their therapeutic methods of use, including treatment and prognostic methods, as well as processes for their manufacture, and any other aspects of our discoveries and inventions that are commercially important to the development of our business.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may also rely on trade secrets to protect aspects of our business that are not amenable to, or that we do not consider appropriate for, patent protection. We also utilize know-how, continuing technological innovation and in-licensing opportunities to develop and maintain our proprietary position. We seek to obtain domestic and international patent protection in appropriate markets, and endeavor to timely file patent applications for any new commercially valuable inventions.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protect our rights to our proprietary technology, we require all employees, as well as our external collaborators, consultants and CROs when feasible, to enter into agreements that require disclosure and assignment to us of ideas, developments, discoveries and inventions made by these employees, consultants, and CROs in the course of their service to us.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plan to continue to expand our intellectual property portfolio by filing patent applications related to pharmaceutical compositions, methods of use, including treatment and patient selection, formulations, nasal administration devices, and manufacturing processes created or identified from the ongoing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We own granted patents and pending patent applications in the U.S. and in certain foreign countries. As of March 31, 2024, these patent properties consist of the following: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Fasedienol for the Acute Treatment of SAD</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The granted U.S. patents relate to the use of fasedienol for the acute treatment of SAD and nominally will expire either in 2025 or 2028 and foreign patents will nominally expire in 2026, subject to patent term extensions that may be available in the U.S. and in certain foreign countries.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Itruvone for the Treatment of MDD</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121"/>
        </w:rPr>
        <w:t>The granted U.S. and foreign patents relate to the use of itruvone to treat MDD and nominally will expire in 2033, subject to patent term extensions that may be available in the U.S. and certain foreign countries.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PH80 for the Treatment of Vasomotor Symptoms (Hot Flashes) Due to Menopause and Other Indications</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12121"/>
        </w:rPr>
        <w:t>The granted U.S. a</w:t>
      </w:r>
      <w:r>
        <w:rPr>
          <w:rFonts w:ascii="Times New Roman" w:cs="Times New Roman" w:eastAsia="Times New Roman" w:hAnsi="Times New Roman"/>
          <w:sz w:val="18"/>
          <w:szCs w:val="18"/>
          <w:color w:val="000000"/>
        </w:rPr>
        <w:t>nd foreign patents and corresponding pending foreign patents relate to the use of PH80 to treat vasomotor symptoms (hot flashes) due to</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menopause. Patents that have been or may yet be granted will expire in 2029. Because of the development timeline for this drug product candidate, it is unlikely that patent term extensions will be available in the U.S. or foreign countries. However, regulatory and data exclusivity (discussed below) should be available upon product approval in the U.S. and certain foreign countries.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provisional patent application filed by us on April 8, 2024 relates to the use of PH80 to treat dysmenorrhea. We plan to file a Patent Cooperation Treaty (PCT) patent application and non-provisional national phase patent applications in due course. Patents that may be granted on such patent applications nominally will expire in 2045, subject to patent term extensions that may be available in the U.S. and certain foreign countries.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PH15 for the Improvement of Psychomotor and Cognitive Performance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12121"/>
        </w:rPr>
        <w:t>A provisional patent application filed by us on June 4, 2023 relates to the use of PH15 to improve psychomotor impairment caused by mental fatigue. We plan to file a PCT patent application and non-provisional national phase patent applications in due course. Patents that may be granted on such patent applications nominally will expire in 2044, subject to patent term extensions that may be available in the U.S. and certain foreign countries.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AV-101 for the Potential Treatment of LID, NP, and Other Disorders</w:t>
      </w:r>
    </w:p>
    <w:p>
      <w:pPr>
        <w:spacing w:after="0" w:line="24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granted U.S. patents relate collectively to the use of AV-101 to treat depression, LID and neuropathic pain;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patent applications, and foreign granted patents and pending foreign patent applications relate collectively to the use of AV-101 to treat various disorders, including depression, LID, NP, tinnitus and obsessive-compulsive disorder;</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U.S. and foreign patent applications relate to the prognostic identification of high and low responders to the treatment of various neurological disorders with AV-101;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U.S. patents, and granted foreign patents and pending foreign patent applications relate to the manufacture of AV-101.</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The various U.S. and foreign patents related to AV-101 nominally expire between 2034 and 2040, depending on the subject matter claimed in each patent, subject to patent term extensions that may be available in the U.S. and certain foreign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Adjustments and Extensions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12121"/>
        </w:rPr>
        <w:t>The base term of a U.S. patent is 20 years from the filing date of the earliest filed non-provisional patent application from which the patent claims priority. The term of a U.S. patent can be lengthened by patent term adjustment, in case of certain administrative delays at the U.S. Patent and Trademark Office (PTO). In some cases, the term of a U.S. patent may be shortened by a terminal disclaimer that reduces its term to align with that of a related patent.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12121"/>
        </w:rPr>
        <w:t>Depending upon the timing, duration, and specifics of the FDA approval, if any,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to offset the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(testing phase), plus the time between the submission date of an NDA and the approval of that application (approval phase). The FDA may reduce this patent term restoration period if it finds that an applicant did not act with due diligence during the testing phase or the approval phase. Only one patent related to an approved drug is eligible for the extension, and an application for the extension must be submitted prior to the expiration of the patent.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12121"/>
        </w:rPr>
        <w:t>The U.S. PTO, in consultation with the FDA, reviews and approves the application for any patent term extension or restoration. In the future, if circumstances permit, we intend to apply for extension or restoration of patent term for our applicable patents, if any, to extend patent life beyond their nominal expiration dates depending on the length of the clinical trials and other factors that affect the filing date of the relevant NDA. In the future, if and when our pharmaceutical products receive FDA approval, we expect to apply for available patent term extensions on patents related to those products, their methods of use, or methods of manufacture.</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12121"/>
        </w:rPr>
        <w:t>Some foreign jurisdictions, including various countries in Europe and Japan, have similar patent term extension provisions, which allow for the extension of the term of a patent that covers a drug approved by the applicable foreign regulatory agency.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Exclusivity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212121"/>
        </w:rPr>
        <w:t>Some of our products may also be entitled to certain data exclusivity (that is not patent-related) under the Federal Food, Drug and Cosmetic Act (FDCA) and its related regulations. The FDCA provides a five-year period of non-patent data exclusivity within the U.S. to the first applicant to obtain approval for an NDA for a new chemical entity (NCE). An NCE is a new chemical entity if the FDA has not previously approved any other new drug containing the same active moiety, which is the molecule responsible for the pharmacological action of the drug substance. During the data exclusivity period, an abbreviated NDA (ANDA), or a 505(b)(2) NDA submitted by another company may not be approved by the FDA for another drug containing the same active moiety, regardless of whether the drug is intended for the same indication as the original innovator drug or for another indication, where the applicant does not own or have a legal right of reference to all the data that served as the basis of granting the original NDA.</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12121"/>
        </w:rPr>
        <w:t>However, an ANDA or a 505(b)(2) NDA application may be submitted to the FDA for evaluation after four years from the original NDA approval if the innovator NDA holder does not have a patent covering the product listed with the FDA Orange Book or if the application contains a certification of patent invalidity or non-infringement to one of the patents listed with the FDA Orange Book. The FDCA also provides three years of data exclusivity for a full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Three-year exclusivity prevents the FDA from approving ANDAs and 505(b)(2) applications that rely on the information that served as the basis of granting the new full or supplemental NDA. This three-year exclusivity covers only the modification for which the drug received approval on the basis of the new clinical investigations and does not prohibit the FDA from approving ANDAs for drugs containing the active moiety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12121"/>
        </w:rPr>
        <w:t>In addition to patents, we may rely on trade secrets to develop and maintain our competitive position. We protect trade secrets, if any, and also know-how, by establishing confidentiality agreements and invention assignment agreements with our employees, consultants, scientific advisors, contractors (including where appropriate, our CROs) and partners. These agreements provide that all confidential information developed or made known during the course of an individual’s or entity’s employment or other contractual relationship with the Company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the misappropriation of our proprietary information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We also own a registered trademark in the U.S. for “VISTAGEN,” for “biotechnology services” in international class 42, which was renewed in 2021. We have a U.S. registration application pending for VISTAGEN in international class 10 for “human and veterinary preparations for medical uses.”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Transactions and Relationships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Given the depth of clinical development across our neuroscience pipeline and potential additional preclinical candidates from our pherine platform, we have the potential to pursue multiple strategic development and commercialization partnerships across our pipeline to efficiently unlock the full value of our product candidate portfolio. We believe partnerships designed to amplify our ongoing or past internal research and development activities may efficiently advance key development and regulatory milestones for our product candidates, especially outside the U.S.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we believe that our highly selective outsourcing of certain research, development, legal, manufacturing and regulatory advisory activities gives us flexible access to a broad range of capabilities and expertise at a lower overall cost than developing and maintaining certain of such capabilities and expertise internally on a full-time basis. In particular, we retain third parties for certain accounting, legal, manufacturing, nonclinical development, clinical development, and regulatory affairs support.</w:t>
      </w: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entered into, and plan to seek multiple additional global and regional strategic relationships focused on the development and/or commercialization of our product candidates in key pharmaceutical markets in the U.S. and worldwide.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43"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We have customary clinical supply agreements with multiple contract development and manufacturing organizations (CDMOs) and customary agreements with multiple CROs to assist us with the advancement and management of our nonclinical (including manufacturing) and clinical development programs. Each of our commercial agreements 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and we have no material contractual obligations under such agreements, except to the extent we order supplies or request services to be performed under specific work orders that we generate with such third-parties from time to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and Collaboration Agreement with AffaMed Therapeutics, Inc. (formerly EverInsight Therapeutics, Inc.)</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June 2020, we entered into a license and collaboration agreement (the EverInsight License Agreement) with EverInsight Therapeutics Inc., a company incorporated under the laws of the British Virgin Islands (EverInsight), pursuant to which we granted EverInsight an exclusive license to develop, manufacture and commercialize fasedienol for multiple anxiety-related disorders in Greater China (Mainland China, Hong Kong, Macau and Taiwan), South Korea and Southeast Asia (Indonesia, Malaysia, Philippines, Thailand and Vietnam) (collectively, the Territory). Subsequent to entering into the EverInsight License Agreement, in October 2020, EverInsight merged with AffaMed Therapeutics, Inc. (AffaMed), which as a combined, complementary entity is focusing on developing and commercializing therapeutics to address ophthalmologic and neurological disorders in Greater China and beyond. Accordingly, we refer to EverInsight and the EverInsight License Agreement as AffaMed and the AffaMed Agreement, respectively. We retained development, manufacturing and commercialization rights for fasedienol in the rest of the world.</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Under the terms of the AffaMed Agreement, we received an upfront payment of $5.0 million in August 2020. We may also receive up to an additional $172 million in milestone payments upon AffaMed’s achievement of certain developmental, regulatory and sales milestone events related to fasedienol. In addition, we are entitled to receive certain royalties on net sales, if any, of fasedienol in the Territory following receipt of any required regulatory approval. However, AffaMed’s achievement of any of such developmental, regulatory and sales milestone events, or commercial sales of fasedienol in the Territory, cannot be guaranteed. AffaMed has the right to sublicense to affiliates and third parties in the Territory. AffaMed is responsible for all costs related to developing, obtaining regulatory approval of and commercializing fasedienol in the Territory. A joint development committee has been established between the Company and AffaMed to coordinate and review the development, manufacturing and commercialization plans with respect to fasedienol in the Territory. Unless earlier terminated due to certain material breaches of the contract, or otherwise, the AffaMed Agreement will expire on a jurisdiction-by-jurisdiction basis until the latest to occur of expiration of the last valid claim under a licensed patent of fasedienol in such jurisdiction, the expiration of regulatory exclusivity in such jurisdiction or ten years after the first commercial sale of fasedienol in such jurisdiction.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Negotiation Agreement with Fuji Pharma Co., LTD.</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September 1, 2023, we entered into an Exclusive Negotiation Agreement (the Negotiation Agreement) with Fuji Pharma Co., Ltd. (Fuji Pharma), a Tokyo Stock Exchange-listed, Japan-based pharmaceutical company. Pursuant to the terms and conditions of the Negotiation Agreement, we agreed, for a limited period of time, to negotiate exclusively with Fuji Pharma a potential exclusive license agreement, to develop and commercialize our PH80 product candidate in Japan (the Potential Definitive Agreement). The Negotiation Agreement provides for an exclusive negotiation period beginning on the date of formal written notice being received by Fuji Pharma that we have selected a contract development and manufacturing organization to conduct certain toxicology studies for the product candidate (Payment Event), and terminating on the later to occur of (i) fourteen (14) months from the date of the Payment Event or (ii) ninety (90) days from the date that the FDA accepts an IND application for PH80 for the treatment of vasomotor symptoms (hot flashes) due to menopause (Exclusive Negotiation Period).</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consideration for the Exclusive Negotiation Period, we received from Fuji Pharma a payment of $1.5 million (Purchase Price). The Purchase Price is non-refundable, except upon a material breach of the Negotiation Agreement by us, however, should we and Fuji Pharma enter into the Potential Definitive Agreement, the Purchase Price will be credited against any upfront fee due in connection with the execution of such agreement. Neither we nor Fuji Pharma is obligated to enter into the Potential Definitive Agreement, and if we and Fuji Pharma have not entered into the Potential Definitive Agreement on or before the end of the Exclusive Negotiation Period, either party may terminate any further negotiations.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Manufacturing of the drug substance and drug product for our product candidates is performed by CMOs who must comply with current good manufacturing practice (cGMP) regulations. Our product candidates are comprised of synthetic small molecules that are manufactured through a series of organic chemistry steps starting with commercially available organic chemical raw materials. We do not currently own or operate, nor do we plan to own or operate, manufacturing facilities for the production of our drug substances and drug product candidates for nonclinical, clinical or commercial use. We conduct manufacturing and analytical testing activities under individual project work orders with independent CMOs to supply all of our nonclinical and clinical trial needs. We conduct periodic quality audits of each of the CMO’s facilities to ensure that they are fully compliant with cGMPs. We believe that all of our existing CMOs are, or will be, capable of providing sufficient quantities of both drug substance and drug product to meet our nonclinical and clinical development needs. New CMOs may be added to our supply chain strategy in the future to ensure that our nonclinical, clinical and, subject to NDA approval, commercial manufacturing and testing needs are met.</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By design, we do not currently have any fixed contractual arrangements in place with any CMOs, for either long-term supply or redundant supply, of drug substances or drug product for our drug product candidates. If our product candidates are approved for commercial distribution, we intend to execute long-term commercial supply agreement(s) with our CMOs to produce our future commercial supplies on our behalf. We plan to mitigate potential commercial supply risks for any products that are approved in the future through inventory management and through exploring additional back-up manufacturers, both in the U.S. and outside the U.S., to provide drug substance and/or drug product.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neuroscience markets, especially the high unmet need in large and growing global markets for anxiety and depression disorders, make them attractive therapeutic areas for biopharmaceutical businesses. While we believe that our employees and consultants, scientific knowledge, technology, and development experience provide us with competitive advantages, we face potential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large and established research and development and commercial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candidates, if approved, are likely to be their efficacy, safety, tolerability, convenience, price, the level of branded and generic competition, and the availability of reimbursement from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Anxiety Disorder</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Currently there is no FDA-approved acute treatment of SAD, and we are aware of no company developing a potential acute treatment of SAD that is a nasal spray and involves the same neurocircuitry-focused MOA as fasedienol. We are aware of companies that are or may be developing therapies targeting acute treatment in the SAD market, including, among others, Bionomics, Vanda Pharmaceuticals, and Receptor Life Sciences, Ananda Scientific, EmpowerPharm and PureTech. In addition, we may face competition to fasedienol for treatment of anxiety in adult and adolescent patients with SAD from generic antidepressants as well as off-label use of generic benzodiazepines and generic beta blockers even though no drug in either of such generic drug classes has been systematically developed for treatment of SAD, acute or otherwise, and thus no drug in either of such generic drug classes has been FDA-approved for the acute treatment of SAD. Although there are three generic oral antidepressants approved by the FDA for the treatment of SAD, such drugs do not achieve rapid-onset therapeutic effects and are associated with undesirable side effects. Cognitive behavioral therapy is also an important treatment approach to SAD that may be used along with or instead of pharmacological treatments, including antidepressants, benzodiazepines, beta blockers, fasedienol and other drug candidates in clinical development.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Depressive Disorder</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Patients with MDD are typically treated with a variety of oral antidepressant medications or oral atypical antipsychotics. These treatments often include generic antidepressants such as: fluoxetine (Prozac), previously marketed by Eli Lilly and Company; sertraline (Zoloft) and venlaxafine (Effexor), both previously marketed by Pfizer, Inc.; and paroxetine (Paxil) and bupropion (Wellbutrin), both previously marketed by GlaxoSmithKline (now GSK). Treatments may also include currently marketed proprietary branded medications indicated for MDD such as: Trintellix, which is marketed by Takeda Pharmaceuticals America, Inc and H. Lundbeck A/S; Viibryd and Vraylar, which are marketed by Abbvie; and Rexulti which is marketed by Otsuka America. Although currently there are no FDA-approved therapies for MDD with the neurocircuitry-focused MOA of itruvone, we are aware of numerous companies that are developing and commercializing or have commercialized therapies targeting the MDD market, including, among others, Axsome Therapeutics, Sage Therapeutics, Relmada Therapeutics, Xenon, Intra-Cellular Therapies, Johnson &amp; Johnson, Usona Institute, Boehringer Ingelheim, and Sirtsei Pharmaceuticals. Additionally, with respect to MDD, we expect that itruvone will have to compete with a variety of non-pharmacological alternatives for treatment of MDD, such as psychotherapy and electroconvulsive therapy.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Vasomotor Symptoms (hot flashes) due to Menopause</w:t>
      </w:r>
    </w:p>
    <w:p>
      <w:pPr>
        <w:spacing w:after="0" w:line="24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are aware of various current pharmacotherapies for vasomotor symptoms (hot flashes) due to menopause, including hormonal therapy (estrogen with or without progesterone, or a synthetic progestin), gabapentins, certain antidepressants, clonidine, as well as fezolinetant, a newly-approved non-hormonal neurokinin 3 (NK3) receptor antagonist developed and commercialized by Astellas, and a similar product candidate, </w:t>
      </w:r>
      <w:r>
        <w:rPr>
          <w:rFonts w:ascii="Times New Roman" w:cs="Times New Roman" w:eastAsia="Times New Roman" w:hAnsi="Times New Roman"/>
          <w:sz w:val="18"/>
          <w:szCs w:val="18"/>
          <w:color w:val="0D2A40"/>
        </w:rPr>
        <w:t>elinzanetant, a non-hormonal, NK3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D2A40"/>
        </w:rPr>
        <w:t xml:space="preserve">receptor antagonist, </w:t>
      </w:r>
      <w:r>
        <w:rPr>
          <w:rFonts w:ascii="Times New Roman" w:cs="Times New Roman" w:eastAsia="Times New Roman" w:hAnsi="Times New Roman"/>
          <w:sz w:val="18"/>
          <w:szCs w:val="18"/>
          <w:color w:val="000000"/>
        </w:rPr>
        <w:t>in late-stage development by Bayer.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Indications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still assessing our potential competition for PH15 to improve cognitive and/or psychomotor impairment and PH284 for cachexia (wasting syndrome).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supranational regions, extensively regulate, among other things, the research, development, testing, manufacture, quality, packaging, storage, recordkeeping, labeling, advertising, promotion, distribution, marketing, import, and export of pharmaceutical products such as those we are developing. In addition, healthcare regulatory bodies in the U.S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and abuse laws that parallel (and in some cases apply more broadly than) federal laws, and in some cases price transparency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U.S., the FDA regulates drugs under the FDCA and its implementing regulations. The process required by the FDA before product candidates may be marketed in the U.S. generally involves the following:</w:t>
      </w:r>
    </w:p>
    <w:p>
      <w:pPr>
        <w:spacing w:after="0" w:line="162" w:lineRule="exact"/>
        <w:rPr>
          <w:sz w:val="20"/>
          <w:szCs w:val="20"/>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(GLP) regulations;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1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for each clinical site, or through a centralized process, before each trial may be initiated;</w:t>
      </w:r>
    </w:p>
    <w:p>
      <w:pPr>
        <w:spacing w:after="0" w:line="135" w:lineRule="exact"/>
        <w:rPr>
          <w:rFonts w:ascii="Times New Roman" w:cs="Times New Roman" w:eastAsia="Times New Roman" w:hAnsi="Times New Roman"/>
          <w:sz w:val="18"/>
          <w:szCs w:val="18"/>
          <w:color w:val="auto"/>
        </w:rPr>
      </w:pPr>
    </w:p>
    <w:p>
      <w:pPr>
        <w:ind w:left="660" w:hanging="328"/>
        <w:spacing w:after="0" w:line="239" w:lineRule="exact"/>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in accordance with Good Clinical Practice regulations (GCPs) to evaluate the safety and efficacy of the product candidate for its intended use;</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required information and submission to the FDA of a NDA after completion of pivotal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candidate is produced to assess compliance with cGMPs, and to assure that the facilities, methods, and controls are adequate to preserve the drug candidate’s identity, strength, quality, and purity;</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inspection of selected clinical investigation sites to assess compliance with GCPs;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of the product for particular indications for use in the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Once a product candidate is nominated for further development, it enters the preclinical testing stage. Preclinical studies include laboratory evaluation of drug substance chemistry, pharmacology, toxicity, and drug product formulation, as well as animal studies. Prior to commencing the first clinical trial with a product candidate, an IND sponsor must submit the results of the preclinical tests, together with manufacturing information and analytical data, among other things,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will generally continue even after the IND is submitted.</w:t>
      </w:r>
    </w:p>
    <w:p>
      <w:pPr>
        <w:spacing w:after="0" w:line="171"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An IND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notifies the applicant of safety and/or product quality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with applicable requirements, and in either case, the proposed trial or trials may not begin or continue until the FDA notifies the IND sponsor that the hold has been lifted. As a result, submission of an IND may not result in FDA authorization to commence a clinical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GCP requirements, which include, among other things, the requirements that all research subjects provide their informed consent in writing for their participation in any clinical trial, as well as review and approval of the study by an IRB or ethics committee. Investigators must also provide certain information to the clinical trial sponsors to allow the sponsors to make certain financial disclosures to the FDA. Clinical trials are conducted under protocols detailing, among other things, the objectives of the trial, dosing procedures, subject selection and exclusion criteria and the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safety and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an IRB or ethics committee at each study site participating in the clinical trial, or a central IRB, as applicable, must review and approve the plan for each protocol before a clinical trial commences. The applicable IRB or ethics committee must also approve certain information regarding the trial and the consent form that must be provided to each trial subject or his or her legal representative, among other responsibilities. The FDA or the sponsor may suspend a clinical trial at any time on various grounds, including a finding that the research subjects or patients are being exposed to an unacceptable health risk. Similarly, an IRB or ethics committee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checkpoints based on access to certain data from the trial. There are also requirements governing the reporting of ongoing clinical studies and clinical study results to public registries, including ClinicalTrials.gov.</w:t>
      </w: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FDCA.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which may overlap or be combined.</w:t>
      </w:r>
    </w:p>
    <w:p>
      <w:pPr>
        <w:spacing w:after="0" w:line="223" w:lineRule="exact"/>
        <w:rPr>
          <w:sz w:val="20"/>
          <w:szCs w:val="20"/>
          <w:color w:val="auto"/>
        </w:rPr>
      </w:pPr>
    </w:p>
    <w:p>
      <w:pPr>
        <w:jc w:val="both"/>
        <w:ind w:left="660" w:hanging="328"/>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candidate is initially introduced into healthy human volunteers or subjects with the target disease or condition, and tested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safety, dosage tolerance, absorption, metabolism, distribution, and excretion. If possible, Phase 1 trials may also be used to gain an initial indication of effectiveness.</w:t>
      </w:r>
    </w:p>
    <w:p>
      <w:pPr>
        <w:spacing w:after="0" w:line="153"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—the product candidate is evaluated in limited subject populations with a specified disease or condition to evaluate preliminary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optimal dosages, dosage tolerance and schedule, possible adverse effects and safety risks.</w:t>
      </w:r>
    </w:p>
    <w:p>
      <w:pPr>
        <w:spacing w:after="0" w:line="120" w:lineRule="exact"/>
        <w:rPr>
          <w:rFonts w:ascii="Times New Roman" w:cs="Times New Roman" w:eastAsia="Times New Roman" w:hAnsi="Times New Roman"/>
          <w:sz w:val="18"/>
          <w:szCs w:val="18"/>
          <w:color w:val="auto"/>
        </w:rPr>
      </w:pPr>
    </w:p>
    <w:p>
      <w:pPr>
        <w:jc w:val="both"/>
        <w:ind w:left="660" w:right="20" w:hanging="328"/>
        <w:spacing w:after="0" w:line="220" w:lineRule="exact"/>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—the product candidate is evaluated in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in expanded patient populations, generally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to generate enough data to provide substantial evidence of clinical efficacy and to further test for safety. Phase 3 trials are intended to establish the overall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of the product, and to provide adequate information for the labeling of the product. Typically, two successful Phase 3 trials are required by the FDA for product approval.</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so-called Phase 4 studies are often conducted to gain additional experience from the treatment of patients in the intended therapeutic indication and may be required by the FDA as a condition of approval of the NDA.</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Review by the FDA, and Marketing Approval</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chemistry, manufacturing, and control (CMC) information, results from non-clinical studies and clinical trial results, including negative or ambiguous results as well as positive findings, are all submitted to the FDA, along with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proposed labeling, as part of an NDA requesting approval to market the product for one or more indications. In most cases, the submission of an NDA is subject to a substantial application user fee, authorized every five years by Congress under the Prescription Drug User Fee Act (PDUFA). In addition, if the product candidate is approved, program fees must be paid on an annual basis. Waivers of application user fees may be obtained under certain limited circumstances. For example, product candidates that are designated as orphan drugs, which are further described below, are not subject to application user fees unless the application includes an indication other than the orphan indication.</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under the Pediatric Research Equity Act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deemed safe and effective. Under PREA, NDAs and certain supplements must contain a pediatric assessment unless the sponsor has received a deferral or waiver.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may require submission of a risk evaluation and mitigation strategy (REMS) in connection with an NDA to ensure that the benefits of the drug outweigh its risks. If the FDA concludes a REMS is needed, the sponsor of the NDA must submit a proposed REMS plan, which could include medication guides, physician communication plans, and elements to assure safe use, such as restricted distribution methods, patient registries, or other risk minimization tools. An assessment of the REMS must also be conducted at set intervals. A REMS may also be required by the FDA following product approval if the FDA determines that implementation of a REMS is necessary to ensure that the benefits of the drug continue to outweigh its risks.</w:t>
      </w:r>
    </w:p>
    <w:p>
      <w:pPr>
        <w:spacing w:after="0" w:line="212"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8"/>
          <w:szCs w:val="18"/>
          <w:color w:val="auto"/>
        </w:rPr>
        <w:t>Once an NDA has been submitted, the FDA conducts a preliminary review of the application within the first 60 days after submission, before accepting it for filing. If the FDA determines that the NDA is not sufficiently complete to permit a substantive review, the application must be resubmitted with additional information requested by the FDA.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substantive review of the NDA. The FDA reviews an NDA to determine, among other things, whether a product is safe and effective for its intended use and whether its manufacturing is cGMP-compliant to assure and preserve the product’s identity, strength, quality and purity.</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has agreed to a set of performance goals and procedures under PDUFA to review 90% of all applications within ten months from the 60-day filing date for its initial review of a standard NDA for a New Molecular Entity (NME). For non-NME standard applications, the FDA has set the goal of completing its review of 90% of all applications within ten months from the submission receipt date. Such deadlines are referred to as the PDUFA date. The review process and the PDUFA goal date may also be extended for a three-month period if the FDA requests, or the NDA sponsor otherwise provides, substantial additional information or clarifications deemed a “major amendment” to the application.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and/or its drug substance is manufactured. The FDA will not approve an application unless it determines that the manufacturing processes and facilities, including contract manufacturers and subcontractors, are in compliance with cGMP requirements and adequate to assure consistent production of the product within the required specifications. Additionally, before approving an NDA, the FDA may inspect one or more clinical trial sites to assure compliance with GCPs.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after the FDA conducts any inspections of the manufacturing facilities and clinical trial sites, the FDA may issue an approval letter, or, in some cases, a Complete Response Letter (CRL). An approval letter authorizes commercial marketing of the drug for specific indications and with specific prescribing information which was reviewed in connection with the NDA. A CRL indicates that the review cycle of the application is complete, and the application is not ready for approval in its current form. A CRL describes the specific deficiencies that the FDA identified in the NDA and describes the conditions that must be met to secure final approval of a resubmitted NDA. The deficiencies identified may be minor, for example, requiring labeling changes, or major, for example, requiring the sponsor to conduct additional clinical trials. If a CRL is issued, the applicant may either resubmit the NDA, addressing all of the deficiencies identified in the letter; withdraw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application; or request an opportunity for a hearing. If the sponsor resubmits the NDA, the FDA has the goal of reviewing 90% of resubmitted applications in either two or six months (from receipt) depending on the content of the resubmission.</w:t>
      </w:r>
    </w:p>
    <w:p>
      <w:pPr>
        <w:spacing w:after="0" w:line="189"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8"/>
          <w:szCs w:val="18"/>
          <w:color w:val="auto"/>
        </w:rPr>
        <w:t>Even with the submission of additional information, the FDA ultimately may decide that the resubmitted application does not satisfy the regulatory criteria for approval. If and when the issues identified in a CRL have been addressed and resolved to the FDA’s satisfaction, the FDA may issue an approval letter. 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be conducted to further assess a drug’s safety and efficacy, require testing and surveillance programs to monitor the product after commercialization, or impose other conditions, including distribution restrictions or other risk management mechanisms under a REMS, any of which can materially affect the potential market and profitability of the product.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Breakthrough Therapy designation, priority review, and accelerated approval which are intended to expedite or simplify the process for the development and FDA review of certain investigational products that are intended for the treatment of serious or life-threatening diseases or conditions.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candidate is intended to treat a serious or life-threatening disease or condition and demonstrates the potential to address an unmet medical need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sponsor may also request designation of a product candidate as a “Breakthrough Therapy.” A Breakthrough Therapy-designated product candidate is defined as a drug that is intended, alone or in combination with one or more other drugs or biologics, to treat a serious or life-threatening disease or condition, where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cross disciplinary review.</w:t>
      </w:r>
    </w:p>
    <w:p>
      <w:pPr>
        <w:spacing w:after="0" w:line="21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Any product candidate submitted to the FDA for approval, including a product candidate with a Fast Track designation or Breakthrough Therapy designation, may also be eligible for other types of FDA programs intended to expedite development and review, such as Priority Review. The FDA may grant Priority Review to NDAs for drugs that are intended to treat serious conditions and, if approved, would provide significant improvements in the safety or effectiveness of the treatment, diagnosis, or prevention of serious conditions. When an NDA is granted Priority Review, the PDUFA goal for the FDA is to review an NDA within six months, rather than the standard review of ten months, of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NMEs.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a product candidate may be eligible for accelerated approval. Specifically,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In addition, if an orphan designated product receives marketing approval for a disease or condition broader than what is designated, it may not be entitled to orphan exclusivity.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Regulation of Combination Products</w:t>
      </w:r>
    </w:p>
    <w:p>
      <w:pPr>
        <w:spacing w:after="0" w:line="2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Certain product candidates may be comprised of components, such as drug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combination product with a drug primary mode of action generally would be reviewed and approved pursuant to the drug approval processes under the FDCA. In reviewing the NDA for such a product candidate,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drug-device combination products are subject to cGMP requirements applicable to both drugs and devices, including the Quality System Regulation, currently applicable to medical devices.</w:t>
      </w:r>
    </w:p>
    <w:p>
      <w:pPr>
        <w:spacing w:after="0" w:line="1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Approval Requirements</w:t>
      </w:r>
    </w:p>
    <w:p>
      <w:pPr>
        <w:spacing w:after="0" w:line="2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additional clinical trials, REMS, and surveillance to assess safety and effectiveness after commercialization.</w:t>
      </w:r>
    </w:p>
    <w:p>
      <w:pPr>
        <w:spacing w:after="0" w:line="213"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NDA holder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8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product specifications and impose reporting and documentation requirements upon the sponsor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the sponsor may decide to use. Accordingly, manufacturers must continue to expend time, money, and effort in the area of production and quality control to maintain cGMP compliance.</w:t>
      </w:r>
    </w:p>
    <w:p>
      <w:pPr>
        <w:spacing w:after="0" w:line="189"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may be subject to significant liability, including, but not limited to, criminal and civil penalties under the FDCA and False Claims Act, exclusion from participation in federal healthcare programs, mandatory compliance programs under corporate integrity agreements, debarment, and refusal of government contracts.</w:t>
      </w:r>
    </w:p>
    <w:p>
      <w:pPr>
        <w:spacing w:after="0" w:line="21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at any point before or after product approval, may result in significant regulatory actions. Such actions may include:</w:t>
      </w:r>
    </w:p>
    <w:p>
      <w:pPr>
        <w:spacing w:after="0" w:line="20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revocation, or withdrawal of an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or termination of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untitled letters, or mandated modification of promotional materials or labeling;</w:t>
      </w:r>
    </w:p>
    <w:p>
      <w:pPr>
        <w:spacing w:after="0" w:line="197" w:lineRule="exact"/>
        <w:rPr>
          <w:rFonts w:ascii="Times New Roman" w:cs="Times New Roman" w:eastAsia="Times New Roman" w:hAnsi="Times New Roman"/>
          <w:sz w:val="18"/>
          <w:szCs w:val="18"/>
          <w:color w:val="auto"/>
        </w:rPr>
      </w:pPr>
    </w:p>
    <w:p>
      <w:pPr>
        <w:ind w:left="660" w:hanging="328"/>
        <w:spacing w:after="0" w:line="239"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corrective information, issuance of safety alerts, imposition of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requirements, including the need for additional testing, imposition of distribution or other restrictions under a REMS;</w:t>
      </w:r>
    </w:p>
    <w:p>
      <w:pPr>
        <w:spacing w:after="0" w:line="19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product seizures or detentions;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allow imports or exports;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or distribution;</w:t>
      </w:r>
    </w:p>
    <w:p>
      <w:pPr>
        <w:spacing w:after="0" w:line="15" w:lineRule="exact"/>
        <w:rPr>
          <w:rFonts w:ascii="Times New Roman" w:cs="Times New Roman" w:eastAsia="Times New Roman" w:hAnsi="Times New Roman"/>
          <w:sz w:val="18"/>
          <w:szCs w:val="18"/>
          <w:color w:val="auto"/>
        </w:rPr>
      </w:pPr>
    </w:p>
    <w:p>
      <w:pPr>
        <w:ind w:left="660" w:right="20" w:hanging="328"/>
        <w:spacing w:after="0" w:line="24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injunctions, fines, consent decrees, corporate integrity agreements, debarment from receiving government contracts and new orders under existing contracts;</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federal and state healthcare programs, restitution, disgorgement;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including fines and imprisonment.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Non-Patent Exclusivity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FDCA provides five years of non-patent data exclusivity for a drug product approved as a new chemical entity (NCE).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an NDA submitted under Section 505(b)(2) NDA that contains the previously approved active moiety. An ANDA or 505(b)</w:t>
      </w:r>
    </w:p>
    <w:p>
      <w:pPr>
        <w:spacing w:after="0" w:line="1" w:lineRule="exact"/>
        <w:rPr>
          <w:sz w:val="20"/>
          <w:szCs w:val="20"/>
          <w:color w:val="auto"/>
        </w:rPr>
      </w:pPr>
    </w:p>
    <w:p>
      <w:pPr>
        <w:ind w:firstLine="8"/>
        <w:spacing w:after="0" w:line="243" w:lineRule="auto"/>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however, may be submitted one year before NCE exclusivity expires if the application contains a certification of patent invalidity or non-infringement to one of the patents listed with the FDA by the innovator NDA holder.</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to the holder of an NDA, including a 505(b)(2) NDA or supplement to an existing NDA, when the application contains reports of new clinical investigations (NCIs), other than bioavailability studies, conducted by the sponsor that were essential to approval of the application. Changes to an approved drug product that affect its active ingredient(s), strength, dosage form, route of administration or conditions of use may qualify for this exclusivity. During the NCI exclusivity period, FDA may not approve an ANDA or 505(b)(2) NDA by another company for the condition of approval of the drug to which the exclusivity applies. NCE and NCI</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exclusivities will not delay the submission or approval of a full NDA; however, an applicant submitting a full NDA would be required to conduct or obtain a right of reference to all of the preclinical studies and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necessary to demonstrate safety and efficacy.</w:t>
      </w:r>
    </w:p>
    <w:p>
      <w:pPr>
        <w:spacing w:after="0" w:line="184" w:lineRule="exact"/>
        <w:rPr>
          <w:sz w:val="20"/>
          <w:szCs w:val="20"/>
          <w:color w:val="auto"/>
        </w:rPr>
      </w:pPr>
    </w:p>
    <w:p>
      <w:pPr>
        <w:jc w:val="both"/>
        <w:spacing w:after="0" w:line="205" w:lineRule="exact"/>
        <w:rPr>
          <w:sz w:val="20"/>
          <w:szCs w:val="20"/>
          <w:color w:val="auto"/>
        </w:rPr>
      </w:pPr>
      <w:r>
        <w:rPr>
          <w:rFonts w:ascii="Times New Roman" w:cs="Times New Roman" w:eastAsia="Times New Roman" w:hAnsi="Times New Roman"/>
          <w:sz w:val="18"/>
          <w:szCs w:val="18"/>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exclusivity periods described above as well as applicable patent terms. This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Pediatric exclusivity is not a patent term extension, but it effectively extends the period during which the FDA cannot make an ANDA or 505(b)(2) application approval effective as a result of regulatory exclusivity or listed patents. Moreover, pediatric exclusivity attaches to all formulations, dosage forms, and indications for products with existing marketing exclusivity or patent life that contain the same active moiety as that which was studied.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and Transparency Laws and Regulations</w:t>
      </w:r>
    </w:p>
    <w:p>
      <w:pPr>
        <w:spacing w:after="0" w:line="243"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Following product approval, our business activities, including but not limited to research, sales, promotion, marketing, distribution, medical education, sponsorships, relationships with prescribers and other referral sources, and other activities will be subject to regulation by numerous federal and state regulatory and law enforcement authorities in the United States in addition to the FDA, including potentially the Department of Justice, the Department of Health and Human Services and its various divisions (including the Centers for Medicare &amp; Medicaid Services (CMS), the Office of Inspector General (OIG), and the Health Resources and Services Administration (HRSA)), the Department of Veterans Affairs (VA), the Department of Defense (DOD), and certain state and local governmental authorities.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We must comply with numerous healthcare laws, including but not limited to,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and regulations as well as transparency laws and regulations with respect to drug pricing and payments and other transfers of value made to healthcare professionals, which are described below.</w:t>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 to determine whether one purpose of an arrangement involving remuneration is to induce referrals of federal healthcare-covered business. In addition, a person or entity does not need to have actual knowledge of the statute or specific intent to violate it in order to have committed a violation.</w:t>
      </w:r>
    </w:p>
    <w:p>
      <w:pPr>
        <w:spacing w:after="0" w:line="2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Federal Civil False Claims Act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federal Health Insurance Portability and Accountability Act of 1996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payer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In addition, similar to the Anti-Kickback Statute, a person or entity no longer needs to have actual knowledge of the statute or specific intent to violate it.</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civil monetary penalties statute is another potential statute under which biopharmaceutical companies may be subject to enforcement. Among other things, the civil monetary penalties statue imposes fines against any person who is determined to have presented, or caused to be presented, claims to a federal healthcare program that the person knows, or should know, is for an item or service that was not provided as claimed or is false or fraudulent. 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exclusion statute requires the exclusion of entities and individuals who have been convicted of federal- program related crimes or health care felony fraud or controlled substance charges. The statute also permits the exclusion of those that have been convicted of any form of fraud, the anti-kickback statute, for obstructing an investigation or audit, misdemeanor controlled substance charges, those whose health care license has been revoked or suspended, and those who have filed claims for excessive charges or unnecessary services. If a company were to be excluded, its products would be ineligible for coverage and reimbursement from any federal programs, including Medicare and Medicaid, and no other entity participating in those programs would be permitted to enter into contracts with the manufacturer.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manufacturer from engaging those individuals, which could adversely affect operations, and could result in significant reputational harm.</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212" w:lineRule="exact"/>
        <w:rPr>
          <w:sz w:val="20"/>
          <w:szCs w:val="20"/>
          <w:color w:val="auto"/>
        </w:rPr>
      </w:pPr>
    </w:p>
    <w:p>
      <w:pPr>
        <w:jc w:val="both"/>
        <w:spacing w:after="0" w:line="207" w:lineRule="exact"/>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payer, including commercial insurers, and some have transparency laws that require reporting price increases and related information.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items of value to physicians and other healthcare providers. These laws may affect our future sales, marketing, and other promotional activities by imposing administrative and compliance burdens.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Violation of any of the laws or regulations described above or any other applicable laws include significant penalties and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212"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requirements, including safety surveillance,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fraud and abuse laws, and implementation of corporate compliance programs and reporting of payments or transfers of value to healthcare professionals.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Government and other third-party payors are increasingly challenging the prices charged for health care products, examining the cost-effectiveness of new products, in addition to their safety and efficacy, and limiting or attempting to limit both coverage and the level of reimbursement. Further, no uniform policy requirement for coverage and reimbursement exists among third-party payors in the U.S., which causes significant uncertainty related to the insurance coverage and reimbursement of newly approved products. Therefore, coverage and reimbursement can differ significantly from payor to payor and health care provider to health care provider. As a result, the coverage determination process is often time-consuming and costly and may require the provision of scientific and clinical support for the use of new products to each payor separately, with no assurance that coverage and adequate reimbursement will be applied consistently or obtained in the first instance.</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products, and coverage may be more limited than the purposes for which the product is approved by the FDA. Moreover, eligibility for coverage and reimbursement does not imply that a product will be paid for in all cases or at a rate which the health care providers who purchase those products will find cost-effective. We expect pricing pressures in connection with the sale of any of our drug candidates due to the trend toward managed healthcare, the increasing influence of health maintenance organizations, and additional legislative changes.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drug candidate for which we obtain marketing approval. If coverage and reimbursement are not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available or reimbursement is available only to limited levels, we may not successfully commercialize any drug candidate for which we obtain marketing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designed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For example, in March 2010, the ACA was enacted in the U.S. and substantially changed the way healthcare is financed by both the government and private insurers. The ACA contains provisions that may reduce the profitability of drug products. Among other things, the ACA established an annual, nondeductible fee on any entity that manufactures or imports specified branded prescription drugs and biologic agents; extended manufacturers’ Medicaid rebate liability to covered outpatient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place in its current form.</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in the U.S. since the ACA was enacted. These changes included an aggregate reduction in Medicare payments to providers, which went into effect on April 1, 2013 and will remain in effect through 2032, unless additional Congressional action is taken. In addition, the American Taxpayer Relief Act of 2012, which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AMP.</w:t>
      </w:r>
    </w:p>
    <w:p>
      <w:pPr>
        <w:spacing w:after="0" w:line="2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Most recently, on August 16, 2022, President Biden signed the Inflation Reduction Act of 2022 (the IRA) into law.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2024); and replaces the Medicare Part D coverage gap discount program with a new discounting program (beginning in 2025). The IRA permits the Secretary of the Department of Health and Human Services (HHS) to implement many of these provisions through guidance, as opposed to regulation, for the initial years. HHS has issued guidance, and is expected to continue to issue guidance, even while multiple lawsuits challenging the IRA negotiation requirement remain pending. The impact of the IRA on the pharmaceutical industry and our business cannot yet be fully determined but is likely to be significant. However, because our anticipated patient demographic for our product candidates, if approved, is unlikely to include a significant number of Medicare beneficiaries, we do not expect that the IRA will directly impact our ability to commercialize our drug candidates.</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third-party payors also require pre-approval of coverage for new or innovative devices or therapies before they will reimburse healthcare providers that use such therapies.</w:t>
      </w:r>
    </w:p>
    <w:p>
      <w:pPr>
        <w:spacing w:after="0" w:line="21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expect that these initiatives, as well as other healthcare reform measures that may be adopted in the future, as well as the trend toward managed healthcare and increasing influence of managed care organizations,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drug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has been applied to the marketing of drugs and the conduct of clinical trials outside the U.S. The FCPA also obligates companies whose securities are listed in the U.S.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government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Regulation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Numerous state and federal laws, regulations and standards govern the collection, use, access to, confidentiality and security of health-related and other personal information, and could apply now or in the future to our operations or the operations of our partners. Such laws and regulations include data breach notification laws, health information privacy and security laws and consumer protection laws.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43"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8"/>
          <w:szCs w:val="18"/>
          <w:color w:val="auto"/>
        </w:rPr>
        <w:t>To the extent we choose to develop or sell any products outside of the U.S., we will be subject to a variety of foreign regulatory requirements of other countries regarding safety and efficacy and governing, among other things, the collection and use of health-related and other personal information, clinical trials, marketing authorization, commercial sales, and distribution of our products. For example, in the European Union (EU) we must obtain authorization of a clinical trial application in each member state in which we intend to conduct a clinical trial. In addition, certain foreign laws govern the privacy and security of personal data, including health-related data and clinical trial data. Whether or not we obtain U.S.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U.S.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requirements, such as those regarding product manufacture, marketing, or distribution, would apply to any product that is approved outside the U.S.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and Inter-Corporate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we had two wholly-owned subsidiaries, Pherin Pharmaceuticals, Inc., a Delaware corporation, and Vistastem Inc., a California corporation. The operations of these subsidiaries are managed by our senior management team based in South San Francisco,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Vistastem, Inc., a California corporation (formerly VistaGen Therapeutics, Inc.) was incorporated on May 26, 1998, and is our wholly-owned subsidiary. Excaliber Enterprises, Ltd. (Excaliber),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outstanding obligations at that time (the Merger). Shortly after the Merger, Excaliber’s name was changed to “Vistagen Therapeutics, Inc.” (a Nevada corporation).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this Annual Report. Additionally, the Consolidated Balance Sheets reflect the $0.001 par value of Excaliber’s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20, 2022, we entered into an Agreement and Plan of Merger (the Merger Agreement) along with VTGN Merger Sub, Inc., our wholly-owned subsidiary (Merger Sub), Pherin Pharmaceuticals, Inc. (Pherin), and Kevin McCarthy in his capacity of Stockholder Representative, in order to acquire Pherin (the Pherin Acquisition). On February 2, 2023 (the Closing Date), we completed the Pherin Acquisition and Pherin became a wholly-owned subsidiary of the Company. As a result of the Pherin Acquisition, we obtained full ownership of intellectual property rights to all five of our pherine drug candidates.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included in Item 8 of this Annual Report represent the activity of Vistastem from May 26, 1998, the consolidated activity of Vistastem and Excaliber (now Vistagen Therapeutics, Inc., a Nevada corporation), from May 11, 2011 (the date of the Merger) through March 31, 2024, and the activity of Pherin Pharmaceuticals, Inc. from February 2, 2023 (the date of the Pherin Acquisition) through March 31, 2024. For the relevant periods, the Consolidated Financial Statements included in Item 8 of this Annual Report also include the accounts of Vistastem’s two wholly owned inactive subsidiaries, Artemis Neuroscience, Inc., a Maryland corporation which was dissolved in April 2022, and VistaStem Canada, Inc., a corporation organized under the laws of Ontario, Canada which was dissolved in June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approximately $20.0 million and $44.4 million for the years ended March 31, 2024 and 2023, respectively. We expect that our research and development expenses will remain a significant portion of our total operating costs for the foreseeable future as we seek to complete the development of fasedienol, itruvone, PH80 and our other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Governance, and Human Capital</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corporate responsibility is fundamental to our mission and we are committed to holding ourselves to high ethical standards. Beyond our quest to develop innovative therapeutic solutions that combat neurological disorders affecting so many lives and to improve healthcare outcomes, we strive to have a positive impact on our employees, our local communities, our shareholders, patients and the healthcare ecosystem, and society as a whole.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and Leadership</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clinical-stage biopharmaceutical company that is passionate about pioneering neuroscience to transform lives affected by anxiety, depression and other neurological disorders, we believe creating an environment that allows our team to collectively thrive and achieve its full potential begins with our Board of Directors, which consists of directors with diverse and dynamic backgrounds in pharmaceutical research and development, commercialization, finance, law, and corporate governance. Applying the Nasdaq Stock Market’s continued listing standards for director independence, five of our seven directors are currently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strategic roadmap and framework that will guide our operations, to ensure that we are operating in a manner that is consistent with our mission of developing and commercializing groundbreaking therapies for neuroscience disorders.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Values and Ethics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are committed to driving improvement and innovation in the care of patients suffering from neuropsychiatric and neurological disorders. In this pursuit, our core values of integrity, compassion, teamwork, and excellence guide our internal processes and define our mission to radically improve mental and physical health and well-being worldwide. In addition, all of our directors, officers and employees are responsible for upholding these values as set forth in our Code of Business Conduct, which forms the foundation of our policies and practices. Our Code of Business Conduct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Commitment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and 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people are one of our greatest assets. With colleagues who can contribute unique viewpoints and diverse perspectives to all aspects of the business, we believe that our culture can be more collaborative, more accepting of difference and more prepared for overall success as we seek to o develop groundbreaking therapies for psychiatric and neurological disorders.</w:t>
      </w:r>
    </w:p>
    <w:p>
      <w:pPr>
        <w:spacing w:after="0" w:line="18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As of June 10, 2024, we employed 39 full-time employees and one part-time employees. 25 full-time employees work in research and development and laboratory support services and 14 full-time employees work in management, corporate development and communications, legal, human resources, general and administrative roles. Staffing for other functional areas is achieved through our broad and diverse network of strategic relationships with multiple CROs, CDMOs, and other third-party service providers and consultants. These service providers and consultants provide us with support services on a flexible, real-time, as-needed basis, including services related to, among others, payroll, information technology, legal, investor and public relations, manufacturing, product development, regulatory affairs and FDA program management to complement our internal resources in these areas.</w:t>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never had a work stoppage, and none of our employees is represented by a labor organization or under any collective bargaining agreement. We consider our employee relations to be good.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lease our office and laboratory space, which is approximately 10,900 square feet and located in South San Francisco, California, under a lease expiring on July 31, 2027, which provides a five-year option to renew.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and other information with the U.S. Securities and Exchange Commission (SEC), as required by the Securities Exchange Act of 1934, as amended (the Exchange Act). We make available free of charge through our website (</w:t>
      </w:r>
      <w:r>
        <w:rPr>
          <w:rFonts w:ascii="Times New Roman" w:cs="Times New Roman" w:eastAsia="Times New Roman" w:hAnsi="Times New Roman"/>
          <w:sz w:val="18"/>
          <w:szCs w:val="18"/>
          <w:u w:val="single" w:color="auto"/>
          <w:color w:val="auto"/>
        </w:rPr>
        <w:t>http://www.vistagen.com</w:t>
      </w:r>
      <w:r>
        <w:rPr>
          <w:rFonts w:ascii="Times New Roman" w:cs="Times New Roman" w:eastAsia="Times New Roman" w:hAnsi="Times New Roman"/>
          <w:sz w:val="18"/>
          <w:szCs w:val="18"/>
          <w:color w:val="auto"/>
          <w:highlight w:val="white"/>
        </w:rPr>
        <w:t>) our annual reports on Form 10-K, quarterly</w:t>
      </w:r>
      <w:r>
        <w:rPr>
          <w:rFonts w:ascii="Times New Roman" w:cs="Times New Roman" w:eastAsia="Times New Roman" w:hAnsi="Times New Roman"/>
          <w:sz w:val="18"/>
          <w:szCs w:val="18"/>
          <w:color w:val="auto"/>
        </w:rPr>
        <w:t xml:space="preserve"> reports on Form 10-Q, current reports on Form 8-K and any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as a source of information about us. 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You should carefully consider the risks and uncertainties described below, together with the other information in this Annual Report, including our Consolidated Financial Statements and the related notes included in this Annual Report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Annual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elsewhere in this Annual Report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 statements as a result of a number of factors, including the risks described below. See the section titled “Forward-Looking Statements.”</w:t>
      </w:r>
    </w:p>
    <w:p>
      <w:pPr>
        <w:spacing w:after="0" w:line="218" w:lineRule="exact"/>
        <w:rPr>
          <w:sz w:val="20"/>
          <w:szCs w:val="20"/>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or nonclinical studies in any of our development programs may not be sufficient to cause the FDA to approve any NDA that we may submit, or cause any other agency to provide regulatory approval of any of our product candidates, and, even if approved, does not ensure acceptance of such product candidates by clinicians leading to a revenue stream to support our operations;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will continue to incur substantial operating losses for the foreseeable future;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no revenues from product sales or approved products, and limited experience developing new drug candidates, which makes it difficult to assess our future viability;</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financing to execute our long-term business plan, including further development and potential commercialization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in equity-based financing transactions is likely to cause substantial dilution to our existing stockholders, may restrict our operations or require us to relinquish rights, and may require us to seek stockholder approval to authorize additional shares of our common stock;</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future clinical studies of our product candidates, or delays in the commencement or completion of our ongoing or planned clinical trials, could result in increased costs to us and could delay, prevent or limit our ability to generate revenue and continue our business;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our product candidates, and we cannot be certain that we will be able to obtain regulatory approval for, or successfully commercialize, any of our current or future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or attract key management and scientific personnel, we may be unable to successfully produce, develop, and commercialize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we are unable to compete effectively, we may not be able to achieve or maintain significant market penetration or improve our results of operations;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 and</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and uncertainties,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below.</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successful development of pharmaceutical products is highly uncertain.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Successful development of pharmaceutical products is highly uncertain and is dependent on numerous factors, many of which are beyond our control.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that appear promising in the early phases of development may fail to reach the market for several reasons, including:</w:t>
      </w:r>
    </w:p>
    <w:p>
      <w:pPr>
        <w:spacing w:after="0" w:line="219" w:lineRule="exact"/>
        <w:rPr>
          <w:sz w:val="20"/>
          <w:szCs w:val="20"/>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show the product candidates to be less effective than expected (for example, a clinical trial could fail to meet its primary or key secondary endpoint(s)) or have an unacceptable safety or tolerability profile;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3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review of IND, NDA or similar foreign applications, preparation, discussions with the FDA or foreign regulatory authorities, an FDA or foreign regulatory authority request for additional preclinical or clinical data (such as long-term toxicology studies) or unexpected safety or manufacturing issues;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study results may show the product candidate to be less effective than desired or to have harmful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approval requirements; or</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our product candidates from being commercialized.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managed care organizations in the U.S.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cGMPs and similar foreign requirements,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our product candidates post-approval could adversely affect our business, financial condition and results of operations.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candidates. If we are unable to successfully complete clinical development, obtain regulatory approval for or commercialize one or more of our product candidates, or if we experience delays in doing so, our business will be materially harmed.</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of our product candidates. Our future success and ability to generate revenue from our product candidates is dependent on our ability to successfully develop, obtain regulatory approval for and commercialize one or more of our product candidates. All of our product candidates will require substantial additional investment for clinical development, regulatory review and approval in one or more jurisdictions. If any of our product candidates encounters safety or efficacy problems, development delays or regulatory issues or other problems, our development plans and business would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candidates if we experience any issues that delay or prevent regulatory approval of, or our ability to commercialize, our product candidates, including:</w:t>
      </w:r>
    </w:p>
    <w:p>
      <w:pPr>
        <w:spacing w:after="0" w:line="189" w:lineRule="exact"/>
        <w:rPr>
          <w:sz w:val="20"/>
          <w:szCs w:val="20"/>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comparable foreign regulatory authorities that our product candidates are safe and effective;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insufficiency of our financial and other resources to complete the necessary preclinical studies, clinical trials and regulatory submissions;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clinical trials or the clinical trials of others for product candidates similar to ours, leading to a decision or requirement to conduct additional preclinical studies, clinical trials or abandon a program;</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IND or comparable foreign applications or delays or failure in obtaining the necessary approvals or allowances from regulators to commence a clinical trial or a suspension or termination, or hold, of a clinical trial once commenced;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regulatory authorities regarding the scope or design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candidates observed during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candidates or other materials necessary for the conduct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comparable regulatory authority inspection and review of our clinical trial sites;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meet their contractual obligations in a timely manner, or at all;</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including the imposition of additional regulatory oversight around clinical testing generally or with respect to our therapies in particular; or</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comparable foreign regulatory authorities.</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recurring revenues from product sales or approved products. We are not profitable and have incurred losses in each period since our inception. We expect to continue to incur significant losses for the foreseeable future, and we expect these losses to increase as we continue our research and development of, and seek regulatory approvals for, and commercialization of our product candidates.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a clinical-stage biopharmaceutical company. We have no products approved for commercial sale and have generated no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$29.4 million and $59.2 million for the years ended March 31, 2024 and 2023, respectively. We expect to continue to incur significant losses for the foreseeable future, and we expect these losses to increase as we continue our research and development of, and seek regulatory approvals for, and commercialization of our product candidates.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3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candidates through clinical development, including as we advance these candidates into and through later-stage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medical, scientific and other technical personnel to support the clinical development of our product candidates;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 increase in headcount as we expand our research and development organization and market development and pre-commercial planning activities;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preclinical-stage product candidates into clinical development;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or other regulatory authorities to perform preclinical studies or clinical trials in addition to those that we currently anticipate, or if there are any delays in establishing appropriate manufacturing arrangements for or in completing our clinical trials or the development of any of our product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2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ability to become and remain profitable depends on our ability to generate revenue or execute other business development arrangements. We do not expect to generate significant revenue, if any, unless and until we are able to obtain regulatory approval for, and successfully commercialize, one or more product candidates we are developing or may develop. Successful commercialization will require achievement of many key milestones, including demonstrating sufficient evidence of safety and efficacy in clinical trials, obtaining regulatory approval for these product candidates, manufacturing, marketing and selling those products for which we may obtain regulatory approval, satisfying any post-marketing requirements and obtaining reimbursement for our products from private insurance or government payors. Because of the uncertainties and risks associated with these activities, we are unable to accurately and precisely predict the timing and amount of revenues, the extent of any further losses or if or when we might achieve profitability. We may never succeed in these activities, and even if we do, we may never generate revenues that are significant enough for us to achieve profitability. Even if we do achieve profitability, we may not be able to sustain or increase profitability on a quarterly or annual basis.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become and remain profitable may depress the market price of our common stock and could impair our ability to raise capital, expand our business, diversify our product offerings or continue our operations. If we continue to incur losses as we have since our inception, investors may not receive any return on their investment and may lose their entire investment.</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execute our long-term business plan, and if we are unable to raise capital when needed, we could be forced to delay, reduce or terminate our research and development programs or pre-commercialization efforts.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As in prior periods we expect to continue to spend substantial amounts of cash to continue the preclinical and clinical development of our product candidates. These expenditures will include costs associated with general and administrative costs, facilities costs, research and development,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manufacturing, conducting nonclinical experiments and clinical trials, obtaining regulatory approvals and commercialization, should the FDA approve any of our product candidates for sale. We will need to raise substantial additional capital to complete certain of our currently planned preclinical and clinical development programs, including future late-stage clinical trials. If we are able to gain marketing approval for any product candidates that we develop, we will require significant amounts of additional capital in order to launch and commercialize such product candidates. As the outcome of our ongoing research and development activities, including the outcome of future anticipated preclinical studies and clinical trials, is highly uncertain, we cannot reasonably estimate the actual amounts of additional capital necessary to successfully complete the development and commercialization of any product candidate we develop. We do not expect to generate sustainable positive operating cash flows until, and unless, we obtain approval from the FDA and other regulatory authorities and successfully commercialize one or more of our product candidates.</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these and other factors, we will need to seek additional capital to meet our future operating plans and requirements, including capital necessary to develop, obtain regulatory approval for, and commercialize fasedienol and our other product candidates, and may seek additional capital in the event there exists favorable market conditions or strategic considerations, even if we believe we have sufficient funds for our current or future operating plans and requirements.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need for additional funding depends on many factors, including:</w:t>
      </w:r>
    </w:p>
    <w:p>
      <w:pPr>
        <w:spacing w:after="0" w:line="23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we pursue and their development requirements;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developing and commercializing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our product candidates and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21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regulatory approval, revenue, if any, received from commercial sales of our product candidates or any other additional product candidates we may develop and pursue in the future;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formulating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and maintain strategic partnerships, licensing or other collaborative arrangements for the development of our product candidates, on favorable financial terms, if at all;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regulatory approval, market acceptance of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market development and pre-commercial planning activities;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including enforcing and defending intellectual property related claims;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believe that our available financial resources will enable us to fund our operating expense requirements through at least 12 months from the issuance date of our audited consolidated financial statements included elsewhere in this Annual Report. However, our estimate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terms of any future financing may adversely affect the holdings or the rights of our stockholders and the issuance of additional securities, whether equity or debt, by us, or the possibility of such issuance, may cause the market price of our shares to decline. For example,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restrictions that could adversely impact our ability to conduct our business. We may also seek funds through arrangements with collaborative partners in certain territories, including the U.S., or at an earlier stage than otherwise would be desirable or aligned with our business plan, and we may be required to relinquish rights to some of our technologies or product candidates or otherwise agree to terms unfavorable to us, any of which may have a material adverse effect on our business, operating results and prospects.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When necessary, if we are unable to obtain additional funding on a timely basis and on acceptable terms, we may be required to significantly curtail, delay or terminate one or more of our research or product development programs, our pre-commercialization efforts or be unable to continue or expand our operations or otherwise capitalize on our business opportunities, as desired, which could materially affect our business, financial condition and results of operations.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Currently, we are developing or have development plans in place for six clinical-stage product candidates. We seek to maintain a process of prioritization and resource allocation to maintain an optimal balance between aggressively pursuing our most advanced product candidates and indications and ensuring the development of additional potential product candidates and indications, on our own or with strategic collaborators.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any of our product candidates or misread trends in the pharmaceutical industry, in particular for psychiatric and neurological disorders,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disorders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convertible securities or other equity securities, the ownership interest of our stockholders may be diluted, and the terms of these securities could include liquidation or other preferences and anti-dilution protections that could adversely affect the rights of our common stockholders. In addition, royalty-based financing or debt financing, if available, may result in our relinquishing rights to valuable future revenue streams or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team and may divert a disproportionate amount of our attention away from day-to-day activities, which may adversely affect our management team’s ability to oversee the development of our product candidates.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raise additional capital through collaborations, strategic alliances or marketing, distribution or licensing arrangements, or royalty-based financings with third parties, we may have to relinquish valuable rights to our technologies, future revenue streams, research programs or product candidates, or grant licenses on terms that may not be favorable to us. If we are unable to raise additional capital when needed, we may be required to delay, limit, reduce or terminate our research, product development or future commercialization efforts, grant rights to develop and market product candidates that we would otherwise prefer to develop and market ourselves, obtain capital through arrangement with collaborators on terms unfavorable to us or pursue other strategies, all of which could adversely affect the holdings or the rights of our stockholders.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Regulatory Approval</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candidates, our business will be substantially harmed.</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U.S. without obtaining regulatory approval from the FDA. Foreign regulatory authorities impose similar requirements. The time required to obtain approval by the FDA and comparable foreign authorities is inherently unpredictable, but typically takes many years following the commencement of clinical trials and depends upon numerous factors, including substantial discretion of the regulatory authorities and such factors may vary among jurisdictions. For instance, jurisdictions outside of the U.S., such as China, the European Union (EU) or Japan, may have different requirements for regulatory approval, which may require us to conduct additional clinical, nonclinical or chemistry, manufacturing and control studies. In addition, approval policies, regulations, or the type and amount of clinical data necessary to gain approval may change during the course of a product candidate’s clinical development. To date, we have not submitted an NDA to the FDA or similar drug approval submissions to comparable foreign regulatory authorities for any product candidate. We must complete additional preclinical studies and clinical trials to demonstrate the safety and efficacy of our product candidates in humans before we will be able to seek or obtain these approvals.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cannot guarantee that any clinical trials will be conducted as planned or completed on schedule, if at all. The clinical development of our initial and potential additional product candidates is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any of our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our product candidates are toxic or not well tolerated when that is not in fact the case. Serious adverse events or other adverse events, as well as tolerability issues, could hinder or prevent market acceptance of the product candidate at issue.</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substantial discretion in the approval process and determining when or whether regulatory approval will be granted for any product candidate that we develop. Even if we believe the data collected from future clinical trials of our product candidates are promising, such data may not be sufficient to support approval by the FDA or any other regulatory authority.</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or comparable foreign regulatory authorities may disagree with our regulatory plan for our product candidates.</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order to obtain FDA approval of our product candidates, we must, among other things, demonstrate substantial evidence of the effectiveness of such product candidates. FDA has generally considered this demonstration to require data gathered from two or more adequate and well-controlled clinical trials of the product candidate in the relevant patient population, or in some cases, one adequate and well-controlled trial plus other confirmatory evidence. Adequate and well-controlled clinical trials typically involve a large number of patients, have significant costs and take years to complete. The FDA or other regulatory authorities may disagree with us about whether a clinical trial is adequate and well-controlled or may request that we conduct additional clinical trials prior to granting any regulatory approval. In addition, there is no assurance that the doses, endpoints and trial designs that we intend to use for our ongoing and/or future clinical trials, including trials developed based on feedback from the FDA or other regulatory agencies or those that have been used for the approval of similar drugs, will be acceptable for future approvals. For example, while we have designed our registration-directed Phase 3 program for fasedienol after receiving input and feedback from the FDA, there can be no assurance that the design of our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planned clinical trials will be satisfactory to the FDA or that the FDA will not require us to modify our trials or conduct additional testing, or that completing these trials will result in regulatory approval. Even if our ongoing and/or future clinical trials achieve their primary efficacy endpoint, there can be no assurance that the FDA will find them sufficient to support approval. Moreover, there are limited precedents for trial design, trial endpoints and regulatory pathway for certain therapeutic indications we are pursuing through the development of our product candidates, which may make clinical development and regulatory approval for those product candidates more challenging.</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clinical trial results may not support approval of our product candidates. In addition, our product candidates could fail to receive regulatory approval, or regulatory approval could be delayed, for many reasons, including the following:</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file or accept our NDA or marketing application for substantive review;</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dosing regimen, design or implementation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foreign regulatory authorities for approval;</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our preclinical studies or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NDA or other comparable submission in foreign jurisdictions or to obtain regulatory approval in the U.S. or elsewhere;</w:t>
      </w:r>
    </w:p>
    <w:p>
      <w:pPr>
        <w:spacing w:after="0" w:line="20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acquired substantially all of our current product candidates from Pherin as a result of the Pherin Acquisition, for which Pherin undertook research</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and development prior to our acquisition or license. We had no involvement with or control over the preclinical and clinical development of our product candidates prior to acquiring or licensing them from Pherin. Therefore, we are dependent, in part, on Pherin’s prior research and development efforts in accordance with the applicable protocols, legal and regulatory requirements, and scientific standards utilized by them; having accurately reported the results of all preclinical studies and clinical trials conducted with respect to such product candidates and having correctly collected and interpreted the data from these studies and trials. These risks also apply to any additional product candidates that we may acquire or in-license in the future. If these activities were not compliant, accurate or correct, the clinical development, regulatory approval or commercialization of our product candidates will be adversely affected.</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fail to replicate results from earlier preclinical studies or clinical trials conducted by us or third parties, we may be unable to successfully develop, obtain regulatory approval for or commercialize our product candidates.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observed from preclinical studies or early-stage clinical trials of our product candidates may not necessarily be predictive of the results of later-stage clinical trials that we conduct. Similarly, positive results from such preclinical studies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 clinical trials may not be replicated in our subsequent preclinical studies or clinical trials. Furthermore, our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There can be no assurance that any of our clinical trials will ultimately be successful or support further clinical development of any of our product candidates, such as the failure of our PALISADE-1 Phase 3 clinical trial of fasedienol to meet its primary endpoint.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product candidates, we must demonstrate through extensive preclinical studies and clinical trials that our product candidates are safe and effective in humans. We may experience delays in completing our clinical trials or preclinical studies and initiating or completing additional clinical trials or preclinical studies, including as a result of regulators not allowing or delay in allowing clinical trials to proceed under an IND, or not approving or delaying approval for any clinical trial grant or similar approval we need to initiate a clinical trial. We may also experience numerous unforeseen events during our clinical trials that could delay or prevent our ability to receive marketing approval or commercialize the product candidates we develop, including:</w:t>
      </w:r>
    </w:p>
    <w:p>
      <w:pPr>
        <w:spacing w:after="0" w:line="211" w:lineRule="exact"/>
        <w:rPr>
          <w:sz w:val="20"/>
          <w:szCs w:val="20"/>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such as ethics committees may not authorize us or our investigators to commence a clinical trial, or to conduct or continue a clinical trial at a prospective or specific trial site;</w:t>
      </w:r>
    </w:p>
    <w:p>
      <w:pPr>
        <w:spacing w:after="0" w:line="18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challenges or delays in recruiting principal investigators or study sites to lead our clinical trials;</w:t>
      </w:r>
    </w:p>
    <w:p>
      <w:pPr>
        <w:spacing w:after="0" w:line="23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CMOs, CROs or other third-parties acting on our behalf, may fail to comply with regulatory requirements or meet their contractual obligations to us in a timely manner, or at all;</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submitted to regulatory authorities or conduct additional studies to reflect changes in regulatory requirements or guidance, which may be required to resubmit to an IRB and regulatory authorities for re-examination;</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our product candidates may be insufficient, inadequate or not available at an acceptable cost, or we may experience interruptions in supply; and</w:t>
      </w:r>
    </w:p>
    <w:p>
      <w:pPr>
        <w:spacing w:after="0" w:line="19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the applicable foreign regulatory agencies to significantly change in a manner rendering our clinical data insufficient for approval.</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Regulators or IRBs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extent we choose to conduct clinical trials in other indications, could result in changes to or delays in clinical trials of our product candidates in such other indications. We do not know whether any clinical trials that we conduct will demonstrate efficacy and safety results adequate to obtain regulatory approval to market our product candidates for the indications that we are pursuing. If later-stage clinical trials do not produce favorable results, our ability to obtain regulatory approval for our product candidates will be adversely impacted.</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and to demonstrate the efficacy and safety necessary to obtain regulatory approval to market our product candidates would significantly harm our business. Our product candidate development costs will also increase if we experience delays in testing or regulatory approvals and we may be required to obtain additional funds to complete clinical trials. We cannot assure you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Business interruptions resulting from the COVID-19 pandemic, the post-COVID environment and other public health crises could disrupt the development of our product candidates and adversely impact our business.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For instance, the COVID-19 pandemic and the post-COVID environment, including supply chain, labor market and other disruptions, as well as volatility in the global financial markets, in each case, driven by the pandemic, have impacted and may further impact our clinical trials or preclinical studies. In addition, COVID-19, the post-COVID environment or future public health crises may impact our ability to retain principal investigators and site staff for our clinical trials. For instance, healthcare providers may have heightened exposure to COVID-19 or may be impacted due to prioritization of hospital resources toward the pandemic and restrictions on travel. Our clinical trial sites may be located in geographies that are disproportionately affected by the COVID-19 pandemic or actions taken by governmental and health authorities to address the pandemic. Furthermore, as a result of supply chain, labor market and other disruptions driven by the pandemic and the post-COVID environment, COVID-19 has impacted and may further negatively affect our operations or the operations of our vendors, suppliers and business partners, including the third-party CROs, clinical sites and other vendors that we rely upon to carry out our clinical trials or the operations of our third-party manufacturers and other suppliers, which could result in delays or disruptions in the supply of our product candidates. The negative impact COVID-19 or the post-COVID environment has on patient enrollment, site staffing or treatment or the timing and execution of our clinical trials has caused and could cause further delays to our clinical trial activities, which could adversely affect our ability to obtain regulatory approval for and to commercialize our product candidates, increase our operating expenses and have a material adverse effect on our business and financial results. COVID-19 and the post-COVID environment have also caused volatility in the global financial markets, including inflationary headwinds, which may negatively affect our ability to raise additional capital on attractive terms or at all.</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extent to which COVID-19 and the post-COVID environment impact our business, results of operations and financial condition will depend on future developments, including new variants or subvariants, which may impact rates of infection and the extent and effectiveness of actions to contain COVID-19 or treat its impact, including vaccination campaigns, COVID-19 treatments and lockdown measures, among others. In addition, recurrences or additional waves of COVID-19 cases could cause other widespread or more severe impacts depending on where infection rates are highest. We cannot presently predict the scope and severity of any potential business shutdowns or disruptions, but if we or any of the third parties with whom we engage were to experience prolonged business shutdowns or other disruptions, our ability to conduct our business in the manner and on the timelines presently planned could be materially and negatively affected, which could have a material adverse impact on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Patient enrollment is affected by many factors, including:</w:t>
      </w:r>
    </w:p>
    <w:p>
      <w:pPr>
        <w:spacing w:after="0" w:line="23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COVID-19 pandemic and the post-COVID environment on our ability to recruit and retain patients;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any drugs that may be approved for the indications that we are investigating;</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before completion.</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may also experience challenges in recruiting principal investigators and patients to participate in ongoing and future clinical trials for our product candidates if we are unable to sufficiently demonstrate the potential of such product candidates to them. In addition, our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 Finally, business disruptions, including those relating to natural disasters (including as a result of climate change), geopolitical incidents or macroeconomic conditions, may disrupt our clinical trials.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the company to decline and limit our ability to obtain additional financing if needed.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or comparable foreign regulatory authorities notification or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product candidate we develop and the activities associated with its development and commercialization, including its design, testing, manufacture, safety, efficacy, recordkeeping, labeling, storage, approval, advertising, promotion, sale,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distribution, are subject to comprehensive regulation by the FDA and other regulatory authorities in the U.S.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process of obtaining marketing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From time to time, we may publish or publicly disclose interim, topline or preliminary data from our clinical trials. These publications or disclosures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 Further, disclosure of such data by us or by our competitors could result in volatility in the price of our common stock.</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21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enroll and randomize patients who meet clinical trial eligibility criteria;</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to manufacture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development and commercialization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development and commercialization of our product candidates may be delayed, and our business and results of operations may be harmed.</w:t>
      </w:r>
    </w:p>
    <w:p>
      <w:pPr>
        <w:spacing w:after="0" w:line="18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one or more of our current drug candidates and we cannot be certain that we will be able to obtain regulatory approval for any of our product candidates.</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U.S. until we receive approval of an NDA from the FDA, or in any foreign countries until we receive the requisite approval from such countries. Obtaining FDA approval of an NDA is a complex, lengthy, expensive and uncertain process. The FDA may refuse to permit the filing of our NDA, delay, limit or deny approval of an NDA for many reasons, including, among others:</w:t>
      </w:r>
    </w:p>
    <w:p>
      <w:pPr>
        <w:spacing w:after="0" w:line="204" w:lineRule="exact"/>
        <w:rPr>
          <w:sz w:val="20"/>
          <w:szCs w:val="20"/>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submit an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may recommend, or the FDA may require, a Risk Evaluation and Mitigation Strategies (REMS) safety program as a condition of approval or post-approval;</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FDA advisory committee or the FDA or applicable regulatory agency may determine that there is insufficient evidence of overall effectiveness or safety in an NDA and require additional clinical studies;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contract manufacturers with which we contract do not conform to applicable requirements, including cGMPs; 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any current or future drug product candidate we may develop. Any such setback in our pursuit of regulatory approval for any product candidate would have a material adverse effect on our business and prospects.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our pherine product candidates, including fasedienol and itruvone,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regulations applicable to medical devices. Problems associated with the device component of the combination product candidate may delay or prevent approval.</w:t>
      </w: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Undesirable side effects caused by any of our product candidates could cause us or regulatory authorities to interrupt, delay or halt clinical trials and could result in a more restrictive label or the delay or denial of regulatory approval by the FDA or comparable foreign regulatory authorities. We may also observe safety or tolerability issues with our product candidates in ongoing or future clinical trials. Many compounds that initially showed promise in clinical or earlier-stage testing are later found to cause undesirable or unexpected side effects that prevented further development of the compound. Results of future clinical trials of our product candidates could reveal a high and unacceptable severity and prevalence of side effects or unexpected characteristics, despite a favorable tolerability profile observed in earlier-stage testing. 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2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Risk Evaluation and Mitigation Strategy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may also be required to engage in similar actions, such as patient education, certification of health care professionals or specific monitoring, if we or others later identify undesirable side effects caused by any product. Other potentially significant negative consequences associated with adverse events include:</w:t>
      </w:r>
    </w:p>
    <w:p>
      <w:pPr>
        <w:spacing w:after="0" w:line="21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suspend marketing of a product, or we may decide to remove such product from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modify their approvals of our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post-marketing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our product is administered;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be sued and held liable for harm caused to subjects or patients;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may become less competitive,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other regulatory authorities.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Before we can commercialize our product candidates in the U.S. or any market outside the U.S., the U.S. Drug Enforcement Administration (DEA)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candidates to be controlled substances, we cannot yet give any assurance that such product candidates will not be regulated as controlled substances.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any of our product candidates are regulated as controlled substances, depending on the DEA controlled substance schedule in which the product candidates are placed or that of its foreign counterpart, we, our CMOs, and any future distributors,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concentrated our research and development efforts on the treatment of psychiatric and neurological disorders, a field that faces certain challenges in drug development.</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focused our research and development efforts on addressing psychiatric and neurological disorders. Efforts by pharmaceutical companies in this field have faced certain challenges in drug development. In particular, many neuroscience disorders such as anxiety and depression disorders rely on subjective assessments by clinicians and subjective patient-reported outcomes as key endpoints. This makes them more difficult to evaluate than indications with more objective endpoints. Furthermore, these indications are often subject to a placebo effect, which may make it more challenging to isolate the beneficial effects of our product candidates. There can be no guarantee that we will successfully overcome these challenges with our product candidates or that we will not encounter other challenges in the development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regulatory approval, it may fail to achieve the degree of market acceptance by physicians, patients, third-party payors and others in the medical community necessary for commercial success, in which case we may not generate significant revenues or become profitable.</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never commercialized a product, and even if any of our product candidates is approved by the appropriate regulatory authorities for marketing and sale, it may nonetheless fail to achieve sufficient market acceptance by physicians, patients, third-party payors and others in the medical community. Certain of the indications for our product candidates have well-established standards of care that physicians, patients and payors are familiar with and, in some cases, are available generically. Even if our product candidates are successful in registrational clinical trials, they may not be successful in displacing these current standards of care, if any, if we are unable to demonstrate superior efficacy, safety, ease of administration and/or cost-effectiveness. For example, physicians may be reluctant to take their patients off their current medications and switch their treatment regimen to our product candidates. Further, patients often acclimate to the treatment regimen that they are currently taking and do not want to switch unless their physicians recommend switching products or they are required to switch due to lack of coverage and adequate reimbursement. Even if we are able to demonstrate our product candidates’ safety and efficacy to the FDA and other regulators, safety or efficacy concerns in the medical community may hinder market acceptance.</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including management time and financial resources, and may not be successful. For example, even if fasedienol ultimately receives regulatory approval, we may have difficulty in convincing the medical community that fasedienol has the potential to deliver promising therapeutic benefits above and beyond antidepressants. If any product candidate is approved but does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21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competitive therapies;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 second- or third-line therapy;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future collaborators, to offer the product for sale at competitive prices;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adequacy of coverage and reimbursement from government payors, managed care plans and other third-party payors.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 to achieve market acceptance or commercial success would adversely affect our business prospects.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other product candidates, we may be unable to grow our business and our ability to achieve our strategic objectives would be impaired.</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the development and commercialization of our current product candidates are our initial focus, as part of our longer-term growth strategy, we plan to develop other product candidates. We intend to evaluate internal opportunities from our existing product candidates or other potential product candidates, and also may choose to in-license or acquire other product candidates to treat patients suffering from other disorders with significant unmet medical needs and limited treatment options. These other potential product candidates will require additional, time-consuming development efforts prior to commercial sale, including preclinical studies, clinical trials and approval by the FDA and applicable foreign regulatory authorities. All product candidates are prone to the risks of failure that are inherent in pharmaceutical product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successfully commercialized or widely accepted in the marketplace or be more effective than other commercially available alternatives.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we intend to devote substantial capital and resources for basic research to discover and identify additional pherine product candidates. These research programs require substantial technical, financial and human resources, whether or not any product candidates are ultimately identified. Our research programs may initially show promise in identifying potential pherine product candidates, yet fail to yield product candidates for clinical development for many reasons, including the following:</w:t>
      </w:r>
    </w:p>
    <w:p>
      <w:pPr>
        <w:spacing w:after="0" w:line="194"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we develop may nevertheless be covered by third parties’ patents or other exclusive rights;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candidate may not be accepted as safe and effective by patients, the medical community or third-party payors.</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the future, we may also seek to in-license or acquire product candidates or the underlying technology. The process of proposing, negotiating and implementing a license or acquisition is lengthy and complex. Other companies, including some with substantially greater financial, marketing and sales resources, may compete with us for the license or acquisition of product candidates.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future acquisitions may entail numerous operational and financial risks, including:</w:t>
      </w:r>
    </w:p>
    <w:p>
      <w:pPr>
        <w:spacing w:after="0" w:line="23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management’s time and attention to develop acquired products or technologies;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dilutive issuances of securities or depletion of cash to pay for acquisitions;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the operations and personnel of any acquired businesses with our operations and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motivate key employees of any acquired businesses.</w:t>
      </w:r>
    </w:p>
    <w:p>
      <w:pPr>
        <w:spacing w:after="0" w:line="2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are unsuccessful in identifying and developing additional product candidates, either through internal development or licensing or acquisition from third parties, our potential for growth and achieving our strategic objectives may be impaired.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The number of patients with the neuroscience disorders for which we are developing our product candidates has not been established with precision. If the actual number of patients with the disorders we elect to pursue with our product candidates is smaller than we anticipate, we may have difficulties in enrolling patients in our clinical trials, which may delay or prevent development of our product candidates. Even if such product candidates are successfully developed and approved, the markets for our products may be smaller than we expect and our revenue potential and ability to achieve profitability may be materially adversely affected.</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pipeline includes product candidates for a variety of neuroscience disorders. There is no precise method of establishing the actual number of patients with any of these disorders in any geography over any time period. With respect to many of the indications in which we have developed, are developing, or plan to develop our product candidates, we have estimates of the prevalence of the disease or disorder. Our estimates as to prevalence may not be accurate, and the actual prevalence or addressable patient population for some or all of those indications, or any other indication that we elect to pursue, may be significantly smaller than our estimates. In estimating the potential prevalence of indications we are pursuing, or may in the future pursue, including our estimates as to the prevalence of SAD, MDD and vasomotor symptoms (hot flashes) due to menopause, we apply assumptions to available information that may not prove to be accurate. In each case, there is a range of estimates in the published literature and in marketing studies, which include estimates within the range that are lower than our estimates. The actual number of patients with these disease indications may, however, be significantly lower than we believe. Even if our prevalence estimates are correct, our product candidates may be developed for only a subset of patients with the relevant disease or disorder or our products, if approved, may be indicated for or used by only a subset. In the event the number of patients with the diseases and disorders we are studying is significantly lower than we expect, we may have difficulties in enrolling patients in our clinical trials, which may delay or prevent development of our product candidates. If any of our product candidates are approved and our prevalence estimates with respect to any indication or our other market assumptions are not accurate, the markets for our product candidates for these indications may be smaller than we anticipate, which could limit our revenues and our ability to achieve profitability or to meet our expectations with respect to revenues or profits.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Competitive products may reduce or eliminate the commercial opportunity for our product candidates, if approved. If our competitors develop technologies or product candidates more rapidly than we do, or their technologies or product candidates are more effective or safer than ours, our ability to develop and successfully commercialize our product candidates may be adversely affected.</w:t>
      </w:r>
    </w:p>
    <w:p>
      <w:pPr>
        <w:spacing w:after="0" w:line="2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clinical and commercial landscapes for the treatment of neuroscience disorders, including those we are pursuing, are highly competitive and subject to rapid and significant technological change. We face competition with respect to our indications for our product candidates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believe that a significant number of product candidates are currently under development for certain of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entitled “</w:t>
      </w:r>
      <w:r>
        <w:rPr>
          <w:rFonts w:ascii="Times New Roman" w:cs="Times New Roman" w:eastAsia="Times New Roman" w:hAnsi="Times New Roman"/>
          <w:sz w:val="18"/>
          <w:szCs w:val="18"/>
          <w:i w:val="1"/>
          <w:iCs w:val="1"/>
          <w:color w:val="auto"/>
        </w:rPr>
        <w:t>Business—Competition</w:t>
      </w:r>
      <w:r>
        <w:rPr>
          <w:rFonts w:ascii="Times New Roman" w:cs="Times New Roman" w:eastAsia="Times New Roman" w:hAnsi="Times New Roman"/>
          <w:sz w:val="18"/>
          <w:szCs w:val="18"/>
          <w:color w:val="auto"/>
        </w:rPr>
        <w:t>” in this Annual Report for examples of the competition that our product candidates face.</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most cases, we do not currently plan to run head-to-head clinical trials evaluating our product candidates against the current standards of care, which may make it more challenging for our product candidates to compete against the current standards of care due to the lack of head-to-head clinical trial data.</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any product candidate we may commercialize and may render our therapies obsolete or non-competitive before we can recover development and commercialization expenses. If any of our product candidates are approved, it could compete with a range of therapeutic treatments that are in development. In addition, our competitors may succeed in developing, acquiring or licensing technologies and drug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that are more effective or less costly than our product candidates, which could render our product candidates obsolete and noncompetitive.</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we obtain approval for any of our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addition, our competitors may obtain patent protection, regulatory exclusivities or FDA approval and commercialize products more rapidly than we do, which may impact future approvals or sales of any of our product candidates that receive regulatory approval. If the FDA approves the commercial sale of any product candidate,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our product candidates receive regulatory approval but cannot compete effectively in the marketplace.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our sales, marketing and distribution capability on our own or through collaborations with marketing partners, we will not be successful in commercializing our product candidates.</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one or more of our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our product candidates.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3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leadership and sales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any future products;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With respect to our existing and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our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product candidates.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or any of our future collaborators could divert our resources and attention, cause us to incur substantial liabilities and limit commercialization of our product candidates.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use of our product candidates by us and any collaborators in clinical trials, and the sale of these product candidates, if approved, in the future, may expose us to liability claims. We face an inherent risk of product liability lawsuits related to the use of our product candidates in patients and will face an even greater risk if product candidates are approved by regulatory authorities and introduced commercially. Product liability claims may be brought against us by participants enrolled in our clinical trials, patients, health care providers, 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Regardless of the merits or eventual outcome, liability claims may result in:</w:t>
      </w:r>
    </w:p>
    <w:p>
      <w:pPr>
        <w:spacing w:after="0" w:line="21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future approved products;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 or other claimants;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patients’ use or misuse of our products or any similar products distributed by other companies.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consistent with industry norms,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Cyberattacks or other failures in our telecommunications or information technology systems, or those of our collaborators, CROs, third-party logistics providers, distributors or other contractors or consultants, could result in information theft, data corruption and significant disruption of our business operations.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along with our collaborators, CROs, third-party logistics providers, distributors and other contractors and consultants, utilize information technology (IT) systems and networks to process, transmit and store electronic information, including confidential information such as proprietary business information and personal information of our employees and contractors, in connection with our business activities. As use of digital technologies has increased, our IT systems and those of our third-party service providers, strategic partners and other contractors or consultants are increasingly vulnerable to attack, damage and interruption from cyber incidents, including third parties gaining access to employee accounts using stolen or inferred credentials, computer malware (e.g., ransomware), viruses, malicious code, spamming, phishing attacks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and other social engineering schemes, employee theft or misuse, human error, fraud, denial or degradation of service attacks, sophisticated nation-state and nation-state-supported actors, natural disasters, terrorism, war, telecommunication and electrical failures or other threats. Deliberate attacks and attempts to gain unauthorized access to computer systems and networks, have increased in frequency and sophistication. These threats pose a risk to the security of our, our collaborators’, CROs’, third-party logistics providers’, distributors’ and other contractors’ and consultants’ systems and networks, and the confidentiality, availability and integrity of our data. We may not be successful in preventing or identifying cyberattacks and may experience security breaches that may remain undetected for an extended period. Even if identified, we may be unable to adequately investigate or successfully mitigate their effects due to attackers increasingly using tools and techniques that are designed to circumvent controls, to avoid detection, and to remove or obfuscate forensic evidence. Like other companies, we have on occasion experienced, and will continue to experience, threats to our data and systems, including malicious codes and viruses, phishing, business email compromise attacks or other cyberattacks. Similarly, our collaborators, CROs, third-party logistics providers, distributors and other contractors and consultants may not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which could have a material adverse effect on our business and prospects. For example, the loss of clinical trial data from completed or ongoing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2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pharmaceutical and biotechnology companies for the development and potential commercialization of those product candidates.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derive revenue from research and development fees, license fees, milestone payments and royalties under any collaborative arrangement into which we enter.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terms or at all. If we do not have sufficient funds, we may not be able to further develop our product candidates or bring them to market and generate product revenue.</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our current and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develop and commercialize our product candidates with third-party collaborators in foreign markets. If we develop and commercialize our product candidates in foreign markets, we would be subject to additional risks and uncertainties, including:</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different standards of patentability and different availability of prior art in some foreign countries as compared with the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potential liabilities. We do not maintain insurance for environmental liability or toxic tort claims that may be asserted against us in connection with our storage or disposal of biological, hazardous or radioactive materials.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executive officers, third-party consultants and others and our ability to compete in the biotechnology and pharmaceutical industries depends upon our ability to attract and retain highly qualified managerial, scientific and medical personnel. The loss of their services or our inability to hire and retain such personnel would materially harm our business.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success depends, and will likely continue to depend, upon our ability to hire, and our ability to retain the services of our executive officers and other key employees within our organization. Our executive officers and other key employees may terminate their employment with us at any time. The loss of their services might impede the achievement of our operational and strategic objectives.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ability to compete in the biotechnology and pharmaceutical industries depends upon our ability to attract and retain highly qualified managerial, scientific, medical, and technical personnel. In particular, we will need to retain and, in some cases, hire, qualified personnel with expertise in clinical development and operations, preclinical research and development, manufacturing, quality management, medical and regulatory affairs, finance and accounting and other areas in connection with the continued development and commercialization of our product candidates. We currently rely, and for the foreseeable future will continue to rely, on third-party consultants and advisors, including scientific and clinical advisors, to assist us in formulating certain of our research and development objectives and activities as well as the development of certain of our commercialization strategies.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and the culture fit to be a leader in our organization. Competition to hire from this limited pool is intense, and we may be unable to hire, train, retain or motivate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Further, inflationary pressure may increase our costs, including employee compensation costs or result in employee attrition to the extent our compensation does not keep up with inflation, particularly if our competitors’ compensation does.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can be no assurance that the services of third-party consultants and advisors will continue to be available to us on a timely basis when needed, that we will be able to manage our existing consultants and advisors or that we can find qualified replacements on economically reasonable terms, or at all. Our consultants and advisors may be employed by other entities and may have commitments under consulting or advisory contracts with those entities that may limit their availability to us. If we are unable to continue to attract and retain highly qualified consultants and advisors, our ability to develop and commercialize our product candidates will be limited.</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and/or retain a sufficient number of employees or employees with the required expertise to develop our product candidates or operate our business successfully.</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March 31, 2024, we had 38 full-time employees. Our focus on the development of our lead product candidates requires us to optimize cash utilization and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 If we are not able to effectively expand our organization by hiring new qualified employees, our clinical trials may be delayed or terminated, we may not be able to successfully execute the tasks necessary to further develop and commercialize our product candidates and, accordingly, may not achieve our development and commercialization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and CROs may engage in fraudulent conduct or other illegal activity.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Misconduct by those parties could include intentional, reckless and/or negligent conduct or disclosure of unauthorized activities that violates:</w:t>
      </w:r>
    </w:p>
    <w:p>
      <w:pPr>
        <w:spacing w:after="0" w:line="198" w:lineRule="exact"/>
        <w:rPr>
          <w:sz w:val="20"/>
          <w:szCs w:val="20"/>
          <w:color w:val="auto"/>
        </w:rPr>
      </w:pPr>
    </w:p>
    <w:p>
      <w:pPr>
        <w:ind w:left="660" w:right="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and trial protocols or the FDA regulations or similar regulations of comparable non-U.S. regulatory authorities, including those laws requiring the reporting of true, complete and accurate information to such authorities;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and similar laws and regulations established and enforced by comparable non-U.S. regulatory authorities;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financial information or data accurately.</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of information obtained in the course of clinical trials or creating fraudulent data in our preclinical studies or clinical trials, which could result in regulatory sanctions and cause serious harm to our reputation. 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expand our organization, and as a result, we may encounter difficulties in managing our growth, which could disrupt our operations.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their attention to managing these growth activities. Due to our limited financial resources, our limited operating history and the limited experience of our management team in managing a company with such anticipated growth, we may not be able to effectively manage the expansion or any necessary relocation of our operations, retain key employees, or identify, recruit and train additional qualified personnel. Our inability to manage the expansion or any necessary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economic downturn triggered by the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 we have in place may prove inadequate in the event of a serious disaster or similar event. We may incur substantial expense as a result of the limited nature of our disaster recovery and business continuity plans, which could have a material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Remote working arrangements could significantly increase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digital and cybersecurity risks.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Most of our employees are geographically dispersed from our headquarters facility in South San Francisco and now routinely work remotely. With the continuing shift to remote working, and the use of virtual board and executive management meetings, cybersecurity risks are exponentially greater, including increased risk of phishing and other cybersecurity attacks as well as increased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politics in the U.S. could diminish the value of the pharmaceutical industry, thereby diminishing the value of our securities.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current political environment in the U.S. has led many incumbents and political candidates to propose various measures to reduce the prices for pharmaceuticals. These proposals may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assist in conducting our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19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of any product candidate that we develop. Our ability to complete clinical trials in a timely fashion depends on a number of key factors. These factors include protocol design, regulatory and IRB or ethics committee approval,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third parties for clinical development activities may impact or limit our control over the timing, conduct, expense and quality of our clinical trials. Moreover, the FDA and certain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The FDA and comparable foreign regulatory authorities enforce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U.S. Similar requirements may exist in foreign jurisdictions.</w:t>
      </w:r>
    </w:p>
    <w:p>
      <w:pPr>
        <w:spacing w:after="0" w:line="2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remain responsible for ensuring that each of our trials is conducted in accordance with the applicable protocol, legal and regulatory requirements and scientific standards. Our failure or the failure of third parties to comply with the applicable protocol, legal and regulatory requirements and scientific standards can result in rejection of our clinical trial data or other sanctions. If we or our third-party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our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w:t>
      </w:r>
    </w:p>
    <w:p>
      <w:pPr>
        <w:spacing w:after="0" w:line="21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independent contractors, we cannot control whether or not they devote sufficient time, skill and resources to our ongoing development programs. Moreover, many CROs, including some of those that we have engaged to conduct our clinical trials, are experiencing enrollment challenges as a result of, among other things, high employee turnover driven by the post-COVID macroeconomic environment and the inexperience of new employees. Furthermore, at clinical trial sites, the availability of staff and trial participants has been limited due to a decrease in the number of clinical investigative sites across the globe. Accordingly, enrollment in some of our clinical trials may be slower than expected as a result of these changes in the post-COVID clinical trial landscape.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also rely on other third parties to manufacture, store and distribute drug supplies for our clinical trials. Any performance failure on the part of these third-parties could delay clinical development or regulatory approval of our product candidates or commercialization of any resulting products, producing additional losses and depriving us of potential product revenue.</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our product candidates. Although we believe we have diversified our risk by engaging a number of CROs and other third-party organizations and there are a number of other CROs we could engage to continue these activities, we may not be able to enter into alternative arrangements or do so on commercially reasonable terms or in a timely manner.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and prospects.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particular, we plan to rely on a hybrid functional service provider (FSP), approach, where, rather than relying on a small number of third-party services providers for a full suite of services, we plan to use a wider number of third-party service providers on an à la carte basis grouped by specific function. We may not be able to realize the cost savings typically associated with the hybrid FSP approach, or this approach may require us to incur increased startup or integration costs. Our hybrid FSP approach may also require us to manage and monitor an increased number of service providers and contractual relationships. Finally, this approach may require us to handle certain functions internally rather than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outsourcing them to third parties. Handling these functions internally may require us to spend more time and capital hiring and training employees, and any failure to do so successfully may negatively impact our operations.</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use of third parties to manufacture our product candidates may increase the risk that we will not have sufficient quantities of our product candidates, raw materials, active pharmaceutical ingredients (APIs) or drug products when needed or at an acceptable cost.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clinical or commercial quantities of our product candidates, and we lack the resources and the capabilities to do so. Our current strategy is to outsource all manufacturing of our product candidates to third parties.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all of the API and the final drug product formulation of all of our product candidates that are being used in our clinical trials and preclinical studies. Although we believe that there are several potential alternative manufacturers who could manufacture our product candidates, we may incur added costs and delays in identifying and qualifying any such replacement. However, if necessary, we can provide no assurance that we will be able to find an alternative manufacturer on acceptable terms. We may not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the third-party manufacturers we rely on have only recently begun working with us and have limited or no experience manufacturing our API and final drug products. If our manufacturers have difficulty or suffer delays in successfully manufacturing material that meets our specifications, it may limit supply of our product candidates and could delay our clinical trials.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Even if we are able to establish and maintain arrangements with third-party manufacturers, reliance on third-party manufacturers entails additional risks, including:</w:t>
      </w:r>
    </w:p>
    <w:p>
      <w:pPr>
        <w:spacing w:after="0" w:line="189" w:lineRule="exact"/>
        <w:rPr>
          <w:sz w:val="20"/>
          <w:szCs w:val="20"/>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if our third-party manufacturers give greater priority to the supply of other products over our product candidates or otherwise do not satisfactorily perform according to the terms of the agreement between us;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supply availability resulting from capacity and scheduling constraints of third parties;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manufacturing agreements by third parties because of factors beyond our control;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manufacturing agreements by the third party, at a time that is costly or inconvenient to us;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do not maintain our key manufacturing relationships, we may fail to find replacement manufacturers or develop our own manufacturing capabilities, which could delay or impair our ability to obtain regulatory approval for our product candidates. If we do find replacement manufacturers, we may not be able to enter into agreements with them on terms and conditions favorable to us and there could be a substantial delay before new facilities could be qualified and registered with the FDA and other foreign regulatory authorities.</w:t>
      </w:r>
    </w:p>
    <w:p>
      <w:pPr>
        <w:spacing w:after="0" w:line="2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our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conduct of additional clinical trials.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 party owns independently. This would increase our reliance on such third-party manufacturer or require us to obtain a license from such third-party manufacturer in order to have another third party manufacture our product candidates.</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any of our product candidates is approved by any regulatory agency, we intend to utilize arrangements with third-party contract manufacturers for the commercial production of those products. This process is difficult and time consuming and we may face competition for access to manufacturing facilities as there are a limited number of contract manufacturers operating under cGMPs that are capable of manufacturing our product candidates. Consequently, we may not be able to reach agreement with third-party manufacturers on satisfactory terms, which could delay our commercialization.</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Some of our manufacturers are located outside of the U.S. There is currently significant uncertainty about the future relationship between the U.S. and various other countries, including China,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APIs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voluntary recalls of product candidates, operating restrictions and criminal prosecutions, any of which could significantly affect supplies of our product candidates. The facilities used by our contract manufacturers to manufacture our product candidates must be evaluated by the FDA or comparable foreign regulatory authorities in connection with any NDA or other application we may submit. We do not control the manufacturing process of, and are completely dependent on, our contract manufacturing partners for compliance with cGMPs and similar foreign requirements. If our contract manufacturers cannot successfully manufacture material that conforms to our specifications and the strict regulatory requirements of the FDA or others, we may not be able to secure and/or maintain regulatory approval for our product candidates manufactured at these facilities. In addition, we have no control over the ability of our contract manufacturers to maintain adequate quality control, quality assurance and qualified personnel. If the FDA finds deficiencies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and similar foreign requirements or other FDA and comparable foreign regulatory requirements could adversely affect our clinical research activities and our ability to develop our product candidates and market our products, if approved.</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and other foreign regulatory authorities require manufacturers to register manufacturing facilities. The FDA and corresponding foreign regulators also inspect these facilities to confirm compliance with cGMPs and similar foreign requirements.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Contract manufacturers may face manufacturing or quality control problems causing drug substance production and shipment delays or a situation where the contractor may not be able to maintain compliance with the applicable cGMP or similar foreign requirements. Any failure to comply with cGMP requirements or other FDA and comparable foreign regulatory requirements could adversely affect our clinical research activities and our ability to develop our product candidates and market our products following approval, if obtained.</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of any third-party manufacturer to comply with cGMP requirements for applicable drug/device combination products could significantly affect supplies of our product candidates.</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expect our pherine product candidates, fasedienol, itruvone, PH15, PH80 and PH284,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(QSR) or similar regulatory requirements outside the U.S. Our failure, or the failure of our third-party manufacturers, to comply with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applicable regulations could result in material adverse effects,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need to maintain licenses for APIs from third parties to develop and commercialize some of our product candidates, which could increase our development costs and delay our ability to commercialize those product candidates.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Should we decide to use any APIs in any of our product candidates that are proprietary to one or more third parties, we would need to maintain licenses to those APIs from those third parties. If we are unable to gain or continue to access rights to these APIs prior to conducting preclinical toxicology studies intended to support clinical trials, we may need to develop alternate product candidates from these programs by either accessing or developing alternate APIs, resulting in increased development costs and delays in commercialization of these product candidates. If we are unable to gain or maintain continued access rights to the desired APIs on commercially reasonable terms or develop suitable alternate APIs, we may not be able to commercialize product candidates from these programs.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foreign regulatory authorities must also approve the manufacturing and marketing of the product candidate in those countries. Approval procedures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In many jurisdictions outside the U.S., a product candidate must be approved for reimbursement before it can be approved for sale in that jurisdiction. In some cases, the price that we intend to charge for our products is also subject to approval.</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U.S. and requirements of comparable foreign regulatory authorities. In addition, we will be subject to continued compliance with cGMP and similar foreign requirements and GCP requirements for any clinical trials that we conduct post-approval.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and similar foreign regulations and applicable product tracking and tracing requirements. As such, we and our contract manufacturers will be subject to continual review and inspections to assess compliance with cGMP and similar foreign requirements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1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product recalls;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pending applications or supplements to approved applications filed by us or suspension or withdrawal of approvals;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FDA and certain foreign regulatory authorities strictly regulate marketing, labeling, advertising and promotion of products that are placed on the market. Products may be promoted only for the approved indications and in accordance with the provisions of the approved label. The policies of the FDA and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These programs are designed to encourage the research and development of product candidates that are intended to address serious conditions. These designations may confer benefits such as additional interaction with regulatory authorities and eligibility for expedited review procedures. However, there can be no assurance that we will successfully obtain such designations for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product candidates. In addition, while such designations could expedite the development or approval process, they generally do not change the standards for approval. Even if we obtain such designations for our product candidates, there can be no assurance that we will realize their intended benefits.</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For example, 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a product candidate that have been designated as a Breakthrough Therapy, interaction and communication between the FDA and the sponsor of the trial can help to identify the most efficient path for clinical development while minimizing the number of patients placed in ineffective control regimens. Product candidates receiving Breakthrough Therapy designation also receive the same benefits associated with Fast Track designation, described below. Designation as a Breakthrough Therapy is within the sole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21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Furthermore, the FDA has granted Fast Track designation for fasedienol for the acute treatment of SAD, for itruvone for the treatment of MDD, and for AV-101 for the adjunctive treatment of MDD and for the treatment of NP, and we may seek Fast Track Designation for some of our other product candidates. If a drug or biologic is intended for the treatment of a serious or life-threatening condition and the therapy demonstrates the potential to address unmet medical needs for this condition, the therapy sponsor may be eligible for Fast Track designation.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submitted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application.</w:t>
      </w:r>
    </w:p>
    <w:p>
      <w:pPr>
        <w:spacing w:after="0" w:line="2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FDA has broad discretion whether or not to grant this designation, so even if we believe a particular product candidate is eligible for this designation, there can be no assurance that the FDA would decide to grant it. The receipt of Fast Track designation for fasedienol for acute treatment of SAD, for itruvone for the treatment of MDD and AV-101 for the adjunctive treatment of MDD and for the treatment of neuropathic pain, and any future receipt of Fast Track designation for other product candidates, does not guarantee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Some of our programs may be partially supported by government grant awards, which may not be available to us in the future or subject us to federal regulations such as “march-in” rights, certain reporting requirements and a preference for U.S. industry.</w:t>
      </w:r>
    </w:p>
    <w:p>
      <w:pPr>
        <w:spacing w:after="0" w:line="17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To fund a portion of our future research and development programs, we may apply for grant funding from governmental agencies. However, funding by these governmental agencies may be significantly reduced or eliminated in the future for a number of reasons. For example, some programs are subject to a yearly appropriations process in Congress. In addition, we may not receive full funding under current or future grants because of budgeting constraints of the agency administering the program or unsatisfactory progress on the study being funded. Therefore, we cannot assure you that we will receive any future grant funding from any government agencies, or, that if received, we will receive the full amount of the particular grant award. Any such reductions could delay the development of our product candidates.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Moreover, any intellectual property rights generated through the use of U.S. government funding are subject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(1) adequate steps have not been taken to commercialize the invention; (2) government action is necessary to meet public health or safety needs; or (3) government action is necessary to meet requirements for public use under federal regulations, which we refer to as march-in rights. The U.S. government also has the right to take title to these inventions if we fail, or the applicable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a result of any arrangement involving government funding, and if we make inventions as a result of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Federal and state healthcare laws and regulations that may affect our ability to operate include the following:</w:t>
      </w:r>
    </w:p>
    <w:p>
      <w:pPr>
        <w:spacing w:after="0" w:line="212" w:lineRule="exact"/>
        <w:rPr>
          <w:sz w:val="20"/>
          <w:szCs w:val="20"/>
          <w:color w:val="auto"/>
        </w:rPr>
      </w:pPr>
    </w:p>
    <w:p>
      <w:pPr>
        <w:jc w:val="both"/>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fines and criminal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3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12"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prohibits, among other things,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41"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drugs, devices, biologics and medical supplies for which payment is available under Medicare, Medicaid or the Children’s Health Insurance Program to report annually to the U.S. Centers for Medicare &amp; Medicaid Services, within the U.S. Department of Health and Human Services, information related to payments or other transfers of value made to physicians, certain non-physician practitioners including nurse practitioners, certified nurse anesthetists, anesthesiologist assistants, physician assistants, clinical nurse specialists, and certified nurse midwives as well as teaching hospitals and to disclose ownership and investment interests held by physicians and their immediate family members;</w:t>
      </w:r>
    </w:p>
    <w:p>
      <w:pPr>
        <w:spacing w:after="0" w:line="21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manufacturers to calculate and report complex pricing metrics in an accurate and timely manner to government programs; and</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government-funded healthcare programs and imprisonment. If any of the above occur, our ability to operate our business and our results of operations could be adversely affected.</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our product candidates, if approved, depends on the availability of coverage and adequate reimbursement from third-party payors.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Private health insurers and other third-party payors in the U.S. often follow the coverage and reimbursement policies of government payors, including the Medicare or Medicaid programs.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Patients are unlikely to use our product candidates, once approved, unless coverage is provided and reimbursement is adequate to cover a significant portion of their cost. There is significant uncertainty related to insurance coverage and reimbursement of newly approved products. It is difficult to predict at this time what third-party payors will decide with respect to the coverage and reimbursement for our product candidates.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1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Moreover, increasing efforts by governmental and other third-party payors in the U.S.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U.S. Governments have shown significant interest in implementing cost-containment programs, including price controls, restrictions on reimbursement and requirements for substitution of generic products. For instance, in August 2022, the Inflation Reduction Act of 2022 (the IRA) was signed into law. The IRA includes several provisions that will impact our business to varying degrees, including provisions that allow the U.S. government to negotiate Medicare Part B and Part D pricing for certain high-cost drugs and biologics without generic or biosimilar competition, require companies to pay rebates to Medicare for drug prices that increase faster than inflation, create an out-of-pocket cap for Medicare Part D beneficiaries, impose new manufacturer financial liability on all drugs in Medicare Part D and delay the rebate rule that would require pass-through of pharmacy benefit manager rebates to beneficiaries. In particular, the IRA allows CMS to begin negotiating prices for certain high-cost Medicare-covered small molecule drugs after they have spent seven years on the market. On August 29, 2023, CMS announced the list of the first ten drugs that will be subject to price negotiations. Any reduction in reimbursement from Medicare or other government programs may result in a similar reduction in payments from private payors. All of our disclosed product candidates are small molecule drugs and certain of them are being developed in indications that may rely heavily on Medicare reimbursement, such as depression. Accordingly, these new price-negotiation provisions may have a negative impact on our future revenue and profits. The implementation of the IRA is currently subject to ongoing litigation challenging the constitutionality of the IRA’s Medicare drug price negotiation program. The effect of IRA on our business and the healthcare industry in general is not yet fully known. Adoption of price controls and cost-containment measures, and adoption of more restrictive policies in jurisdictions with existing controls and measures, could further limit our revenue generated from the sale of any approved products. Even if we do receive a favorable coverage determination for our products by third-party payors, coverage policies and third-party payor reimbursement rates may change at any time.</w:t>
      </w:r>
    </w:p>
    <w:p>
      <w:pPr>
        <w:spacing w:after="0" w:line="2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 The continuing efforts of the government, insurance companies, managed care organizations and other payers of healthcare services to contain or reduce costs of healthcare may adversely affect:</w:t>
      </w:r>
    </w:p>
    <w:p>
      <w:pPr>
        <w:spacing w:after="0" w:line="21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or clearances of our product candidates, if any, may be.</w:t>
      </w:r>
    </w:p>
    <w:p>
      <w:pPr>
        <w:spacing w:after="0" w:line="2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candidates may harm our reputation in the marketplace or result in injuries that lead to costly product liability suits.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our product candidates are approved by the FDA or comparable foreign regulatory authorities, we may only promote or market our product candidates in a manner consistent with their FDA-approved labeling (or the label approved by foreign regulatory authorities).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or comparable foreign regulatory authorities may not effectively treat such conditions. Any such off-label use of our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and comparable foreign regulatory authorities,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Disruptions at the FDA, other government agencies and comparable foreign regulatory authorities may also slow the time necessary for new drugs to be reviewed and/or approved by necessary government agencies and comparable foreign regulatory authorities,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including as a result of reaching the debt ceiling, it could significantly impact the ability of the FDA and comparable foreign regulatory authorities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Separately, in response to the COVID-19 pandemic, the FDA postponed most inspections at domestic and foreign manufacturing facilities from March 2020 until July 2021. Even though the FDA has since resumed standard inspection operations, and any resurgence of the virus may lead to other inspectional or administrative delays.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global data protection laws and regulations, which may require us to incur substantial compliance costs, and any failure or perceived failure by us to comply with such laws and regulations may harm our business and operations.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U.S., HIPAA, as amended by the Health Information Technology for Economic and Clinical Health Act of 2009, and regulations implemented thereunder,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also be required. Other states have enacted similar consumer privacy laws that grant rights to data subjects and place privacy and security obligations on entities handling personal data of consumers or households. While we are not currently subject to laws such as the CCPA, such state privacy laws and similar legislation proposed at the state and federal level could mark the beginning of a trend toward more stringent privacy legislation in the U.S., which could increase our potential liability and adversely affect our business.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to our operations in the U.S., which may be subject to healthcare and other laws relating to the privacy and security of health information and other personal information, we may seek to conduct future clinical trials in the United Kingdom or the European Economic Area (the EEA) and may become subject to additional European data privacy laws, regulations and guidelines. We will be subject to the data protection laws of the European Union and United Kingdom in relation to personal data we collect from these territories. These laws impose additional obligations and risk upon our business, including substantial expenses and changes to business operations that are required to comply with these laws. For example, the European Union General Data Protection Regulation (EU GDPR) went into effect in May 2018 and imposes strict requirements for processing the personal data of individuals within the EEA or in the context of our activities within the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some of the personal data we process in respect of clinical trial participants is special category or sensitive personal data under the EU GDPR, and subject to additional compliance obligations and to local law derogations. Since the beginning of 2021, after the end of the transition period following the withdrawal of the United Kingdom from the EU (Brexit), we may also be subject to the United Kingdom General Data Protection Regulation and Data Protection Act 2018 (collectively, the UK GDPR) which imposes separate but similar obligations to those under the EU GDPR and comparable penalties, including fines of up to £17.5 million or 4% of a noncompliant company’s global annual revenue for the preceding financial year, whichever is greater. The subsequent separation of the data protection regimes of these territories mean we are required to comply with separate data protection laws in the European Union and United Kingdom, which may lead to additional compliance costs and could increase our overall risk.</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EU and UK GDPR (collectively, the GDPR), which deals with the processing of personal data and on the free movement of such data, imposes a broad range of strict requirements, including requirements relating to having lawful bases for processing personal data and transferring such information outside the EEA/UK, including to the U.S.,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conducting data protection impact assessments and record-keeping. In addition to fines, a breach of the GDPR may result in regulatory investigations, reputational damage, orders to cease/ change our data processing activities, enforcement notices, assessment notices (for a compulsory audit) and/ or civil claims (including class actions).</w:t>
      </w:r>
    </w:p>
    <w:p>
      <w:pPr>
        <w:spacing w:after="0" w:line="2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GDPR imposes strict rules on the transfer of personal data out of the EEA/UK to countries not regarded by European Commission and the United Kingdom government as providing adequate protection, or the third countries, including the U.S. and the efficacy and longevity of current transfer mechanisms between the European Economic Area (the EEA) and the U.S.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U.S. Intelligence Activities’ which introduced new redress mechanisms and binding safeguards to address the concerns raised by the CJEU in relation to data transfers from the EEA to the U.S. and which formed the basis of the new EU-US Data Privacy Framework (DPF), as released on December 13, 2022. The European Commission adopted its Adequacy Decision in relation to the DPF on July 10, 2023, rendering the DPF effective as a EU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On October 12, 2023, the UK Extension to the DPF came into effect (as approved by the UK Government), as a UK GDPR data transfer mechanism to U.S. entities self-certified under the UK Extension to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documentation for existing data transfers within required time frames. This may lead to additional compliance costs and could increase our overall risk.</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Should we conduct future clinical trials in the U.K. or European Union, we cannot assure you that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reputation and materially harm our business. As we continue to expand into other foreign countries and jurisdictions, we may be subject to additional laws and regulations that may affect how we conduct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If we expand our operations outside of the U.S., we must dedicate additional resources to comply with numerous laws and regulations in each jurisdiction in which we plan to operate. The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that are sufficient to protect our product candidates, others could compete against us, which would have a material adverse impact on our business, results of operations, financial condition and prospects.</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delivery devices and any other inventions we consider important to the development of our business. We also rely on trade secrets to protect aspects of our business that are not amenable to, or that we do not consider appropriate for, patent protection.</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commercially meaningful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patents and patent applications related to product candidates fasedienol, itruvone, PH80, PH15, and AV-101 and have licensed patents and patent applications related to certain stem cell technology.</w:t>
      </w:r>
    </w:p>
    <w:p>
      <w:pPr>
        <w:spacing w:after="0" w:line="21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Although we own and have licensed issued and patents and pending patent applications relating to our product candidates in the U.S. and selected countries in other markets, we cannot provide any assurances that our pending U.S. and corresponding foreign patent applications will mature into issued patents and, if they do, that any of our patents will include claims with a scope sufficient to protect our product candidates or otherwise provide any competitive advantage.</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product candidates and may have filed or may file patent applications and may have been granted or may be granted patents that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 and may limit or eliminate our ability to commercialize our product candidates.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 to country.</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patent positions of biopharmaceutical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Our ability to obtain valid and enforceable patents depends, among other factors, on whether the differences between our technology and the prior art allow our inventions to be patentable over the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vary among the countries in which we pursue patents.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some patent-related uncertainty exists because of the challenge of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Another source of uncertainty pertains to patent properties that were in-licensed by us for which prior art submissions were under the control of the licensor. We rely on these licensors to satisfy the relevant disclosure obligations.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event any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USPTO and various other foreign governmental patent agencies require compliance with a number of procedural, documentary, fee payment, and other provisions during the patent process. There are situations in which noncompliance can result in the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if patents are granted in the U.S. or other countries, third parties may challenge the validity, enforceability, or scope of such issued patents or any other issued patents we own or license, which may result in such patents being narrowed, invalidated, or held unenforceable.</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U.S. and foreign patents and patent applications may be subject to various types of infringement and validity proceedings, including interference proceedings,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a patent or rejection of a patent application or loss or reduction in the scope of one or more of the claims of the patent or patent in such a way that they no longer cover our product candidates or competitive products of third parties.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though an issued patent is presumed valid and enforceable, its issuance is not conclusive as to its validity or its enforceability, and the patent may not provide us with adequate proprietary protection or competitive advantages against competitors with similar products. Even if a patent is granted and is held to be valid and enforceable, competitors may be able to design around our patents, for example, by using pre-existing or newly developed technology or non-infringing formulations, devices, or methods of their use. Other parties may develop and obtain patent protection for more effective technologies, designs, or methods.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or one of our licensing partners initiated legal proceedings against a third party to enforce a patent covering one of our product candidates, the defendant could counterclaim that the patent covering our product candidate is invalid and/or unenforceable. In patent litigation in the U.S., defendant counterclaims alleging invalidity and/or unenforceability are commonplace. Grounds for a validity challenge include alleged failures to meet any of several statutory requirements, including lack of novelty, obviousness, and non-enablement. Grounds for unenforceability assertions include allegations that someone connected with the prosecution of the patent withheld relevant information from the USPTO or made a misleading statement during prosecution.</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Third parties may also raise similar claims before administrative bodies in the U.S.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U.S., and we may encounter significant problems in protecting our proprietary rights in these countries. If these developments were to occur, they could have a material adverse effect on our sales.</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by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we initiate, or in which we participate as a third party, and the damages or other remedies awarded if we prevailed may not be commercially meaningful.</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proceedings to enforce or defend our patents could put our patents at risk of being invalidated, held unenforceable, or interpreted narrowly. Such proceedings could also provoke third parties to assert claims against 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including that some or all of the claims in one or more of our patents are invalid or otherwise unenforceable. If any patents covering our product candidates are invalidated or found unenforceable, our financial position and results of operations could be materially and adversely impacted. In addition, if a court found that valid, enforceable patents held by third parties covered our product candidates, our financial position and results of operations could also be materially and adversely impacted.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degree of future protection for our proprietary rights is uncertain, and we cannot ensure that:</w:t>
      </w:r>
    </w:p>
    <w:p>
      <w:pPr>
        <w:spacing w:after="0" w:line="239" w:lineRule="exact"/>
        <w:rPr>
          <w:sz w:val="20"/>
          <w:szCs w:val="20"/>
          <w:color w:val="auto"/>
        </w:rPr>
      </w:pPr>
    </w:p>
    <w:p>
      <w:pPr>
        <w:jc w:val="both"/>
        <w:ind w:left="660" w:hanging="328"/>
        <w:spacing w:after="0" w:line="24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granted patents related to our product candidates or any pending patent applications, if granted and challenged by others, will include or maintain claims having a scope sufficient to protect these product candidates or any other products or product candidates against generic or other competition, particularly considering that any patent rights to these compounds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have expired;</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 at all;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able to successfully commercialize our product candidates, if approved, before our relevant patents expire;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similar or alternative technologies that do not infringe our patents;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use pre-existing technology to effectively compete against us;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if issued, will ultimately be found to be valid and enforceable, including on the basis of prior art relating to our patent applications and patents;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U.S. patents, if issued, will be eligible for listing in the FDA’s “Approved Drug Products with Therapeutics Equivalents Evaluations” (commonly known as the Orange Book);</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are listed in the Orange Book may be challenged by the Federal Trade Commission or other as being listed inappropriately and subsequently removed, thereby depriving the Company of significant patent enforcement protections;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 candidates that are separately patentable; or</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the patents or proprietary rights of others.</w:t>
      </w:r>
    </w:p>
    <w:p>
      <w:pPr>
        <w:spacing w:after="0" w:line="23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may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 and we may thereby lose intellectual property protection.</w:t>
      </w:r>
    </w:p>
    <w:p>
      <w:pPr>
        <w:spacing w:after="0" w:line="20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a failure to prevail in such proceedings could have a material adverse effect on the success of our business.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that our business, product candidates, and proprietary methods do not or will not infringe the patents or other intellectual property rights of third parties. Third parties may initiate legal proceedings against us or our licensors or</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U.S. or other jurisdictions.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biopharmaceutical industry is characterized by extensive litigation regarding patents and other intellectual property rights. Other parties may allege that our product candidates or the use of our technologies infringe their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devices,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foregoing types of proceedings can be expensive and time-consuming and many of our own or our licensors’ or collaborators’ adversaries in these proceedings may have the ability to dedicate substantially greater resources to prosecuting these kinds of legal actions than we or our licensors or collaborators can dedicate. Our defense of litigation or other proceedings may fail and, even if successful, may result in substantial costs and distract our management and other employees. We may not be able to prevent, alone or with our licensors, the misappropriation of our intellectual property rights, particularly in countries where the laws may not protect those rights as fully as in the U.S. or the European Union.</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 unfavorable outcome in the foregoing kinds of proceedings could require us or our licensors or collaborators to cease using the related technology or developing or commercializing one or more of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can involve complex factual and legal questions, and litigation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are unable to obtain such a license, we may be forced to stop or delay developing, manufacturing, selling or otherwise commercializing one or more our product candidates.</w:t>
      </w:r>
    </w:p>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Patent litigation and other types of intellectual property litigation is costly and time-consuming. We may not have sufficient resources to bring these actions to a successful conclusion. Even if we are successful in these proceedings, we may incur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3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commercially reasonable terms, if at all; and</w:t>
      </w:r>
    </w:p>
    <w:p>
      <w:pPr>
        <w:spacing w:after="0" w:line="20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have a material adverse effect on our business, results of operations, financial condition and prospects.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is prohibitively expensive, and our intellectual property rights in some countries outside the U.S. could be absent, unavailable or less extensive than those in the U.S.,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The statutory deadlines for pursuing patent protection in individual foreign jurisdictions are based on the priority filing date of each of our patent applications and the time periods allowed for filing related applications in a given country. Thus, for each of the patent families that we believe provide coverage for our lead product candidates or technologies, we must decide where and when to pursue protection outside the U.S.</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in relevant foreign jurisdictions may be inadequate to obtain a significant commercial advantage from the intellectual property that we develop or license.</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Some intellectual property that we have licensed may have been discovered through government-funded programs and thus may be subject to federal regulations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march-in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rights, certain reporting requirements, and a preference for U.S. industry. Compliance with such regulations may limit our exclusive rights, subject us to an expenditure of resources with respect to reporting requirements and limit our ability to contract with non-U.S. manufacturers.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These U.S. government rights in certain inventions developed under a government-funded program include a non-exclusive, non-transferable, irrevocable worldwide license to use inventions for any governmental purpose.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21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Intellectual property generated under a government-funded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U.S.to the extent they are commercialized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we apply for additional U.S. government funding, and we discover compounds or drug candidates as a result of such funding, intellectual property rights to such discoveries may be subject to the applicable provisions of the Bayh-Dole Act.</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Hatch-Waxman Amendments and similar foreign legislation by extending the patent terms or obtaining regulatory and data exclusivity for our product candidates, our business may be materially harmed.</w:t>
      </w:r>
    </w:p>
    <w:p>
      <w:pPr>
        <w:spacing w:after="0" w:line="18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fasedienol, itruvone, or AV-101 is used in another drug company’s product candidate and that product candidate is the first to obtain FDA approval.</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patent law could diminish the value of patents in general, thereby impairing our ability to protect our products.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is the case with other pharmaceutical and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Times New Roman" w:cs="Times New Roman" w:eastAsia="Times New Roman" w:hAnsi="Times New Roman"/>
          <w:sz w:val="18"/>
          <w:szCs w:val="18"/>
          <w:i w:val="1"/>
          <w:iCs w:val="1"/>
          <w:color w:val="auto"/>
        </w:rPr>
        <w:t>Mayo Collaborative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DBA Mayo Medical Laboratories, et al. v. Prometheus Laboratories, Inc.</w:t>
      </w:r>
      <w:r>
        <w:rPr>
          <w:rFonts w:ascii="Times New Roman" w:cs="Times New Roman" w:eastAsia="Times New Roman" w:hAnsi="Times New Roman"/>
          <w:sz w:val="18"/>
          <w:szCs w:val="18"/>
          <w:color w:val="auto"/>
        </w:rPr>
        <w:t>, the Court held that several claims drawn to measuring drug metabolite levels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Times New Roman" w:cs="Times New Roman" w:eastAsia="Times New Roman" w:hAnsi="Times New Roman"/>
          <w:sz w:val="18"/>
          <w:szCs w:val="18"/>
          <w:i w:val="1"/>
          <w:iCs w:val="1"/>
          <w:color w:val="auto"/>
        </w:rPr>
        <w:t>Association for Molecular Pathology v. Myriad Genetics, Inc</w:t>
      </w:r>
      <w:r>
        <w:rPr>
          <w:rFonts w:ascii="Times New Roman" w:cs="Times New Roman" w:eastAsia="Times New Roman" w:hAnsi="Times New Roman"/>
          <w:sz w:val="18"/>
          <w:szCs w:val="18"/>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Times New Roman" w:cs="Times New Roman" w:eastAsia="Times New Roman" w:hAnsi="Times New Roman"/>
          <w:sz w:val="18"/>
          <w:szCs w:val="18"/>
          <w:i w:val="1"/>
          <w:iCs w:val="1"/>
          <w:color w:val="auto"/>
        </w:rPr>
        <w:t>Ariosa Diagnostics, Inc. v. Sequenom, Inc</w:t>
      </w:r>
      <w:r>
        <w:rPr>
          <w:rFonts w:ascii="Times New Roman" w:cs="Times New Roman" w:eastAsia="Times New Roman" w:hAnsi="Times New Roman"/>
          <w:sz w:val="18"/>
          <w:szCs w:val="18"/>
          <w:color w:val="auto"/>
        </w:rPr>
        <w:t>., the Court of Appeals for the Federal Circuit held that methods for detecting fetal genetic defects were not patent-eligible subject matter. Other more recent court decisions and related USPTO examination guidelines must be considered, particularly as they relate to changes in what types of inventions are eligible for patent protection. Foreign patent and intellectual property laws are also evolving and are not predictable as to their impact on the Company and other biopharmaceutical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another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to defend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2" w:lineRule="exact"/>
        <w:rPr>
          <w:sz w:val="20"/>
          <w:szCs w:val="20"/>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a pending patent application that we own;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or useful licenses on reasonable terms or at all;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our stock price and the value of your investment.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market price for our common stock, similar to that of other biopharmaceutical companies, is likely to remain highly volatile. The market price of our common stock may fluctuate significantly for no apparent reason or in response to a number of factors, most of which we cannot control, including, among others:</w:t>
      </w:r>
    </w:p>
    <w:p>
      <w:pPr>
        <w:spacing w:after="0" w:line="20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resulting from uncertainty and general economic conditions;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progress of or results from nonclinical and clinical development activities related to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FDA or other regulatory authority to approve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technologies, commercial relationships, acquisitions or other events by us or our competitors;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failure of other neuroscience therapies;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intellectual property portfolio;</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product candidates, if approved, to achieve commercial success;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overall fluctuations in U.S. equity markets;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guidance or securities analysts’ estimates of our financial performance;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and the terms on which we can raise it;</w:t>
      </w:r>
    </w:p>
    <w:p>
      <w:pPr>
        <w:spacing w:after="0" w:line="238"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large blocks of our common stock, including sales or purchases by our executive officers, directors and significant stockholders;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short positions by holders or non-holders of our stock or warrants;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us or our stock price by the press and by online investor communities;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these risk factors.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may be future issuances of shares of preferred stock in the future.</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Restated Articles of Incorporation, as amended (the Articles), permit us to issue up to 10.0 million shares of preferred stock. As a result, our Board could authorize the issuance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significant costs to ensure compliance with corporate governance, federal securities law and accounting requirements.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that we file annual, quarterly and current reports with respect to our business and financial condition, and the rules and regulations implemented by the SEC, the Sarbanes-Oxley Act of 2022, as amended (the Sarbanes-Oxley Act),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significant resources that we could otherwise use to achieve our research and development and other strategic objectives.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and annual operating results may fluctuate significantly or fall below the expectations of investors or securities analysts, each of which may cause our stock price to fluctuate or decline.</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189" w:lineRule="exact"/>
        <w:rPr>
          <w:sz w:val="20"/>
          <w:szCs w:val="20"/>
          <w:color w:val="auto"/>
        </w:rPr>
      </w:pPr>
    </w:p>
    <w:p>
      <w:pPr>
        <w:ind w:left="660" w:right="2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including the impact of inflation and rising interest rates, and domestic or international political instability;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operating results or revenue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of potential volatility in our trading price and trading volume, we may incur significant costs from class action securities litigation.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stock market in general, and the Nasdaq Stock Market (Nasdaq) and biotechnology and pharmaceutical companies in particular, have experienced extreme price and volume fluctuations that have often been unrelated or disproportionate to the operating performance of these companies. Historically, securities class action litigation has often been brought against companies following periods of volatility in the market price of a company’s securities. This type of litigation, if instituted, could result in substantial costs and a diversion of management’s attention and resources, which could harm our business, operating results, or financial condition. Additionally, the dramatic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and directors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8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have no current plans to pay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your sole source of gain for the foreseeable future.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3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Adverse market or macroeconomic conditions or market volatility resulting from global economic developments, including those affecting the financial services industry, could adversely affect our business operations and our financial condition and results of operations.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Adverse market or macroeconomic conditions or market volatility resulting from global economic developments, political unrest, high inflation, rising interest rates, the post-COVID environment or other factors, could materially and adversely affect our business operations. For instance,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was closed by the California Department of Financial Protection and Innovation, which appointed the Federal Deposit Insurance Corporation (the FDIC) as receiver. Similarly, on March 12, 2023, Signature Bank Corp. and Silvergate Capital Corp. were each swept into receivership, and uncertainty remains over liquidity concerns in the broader financial services industry. We may maintain cash balances at third-party financial institutions in excess of the FDIC standard insurance limit. Although the U.S. Department of Treasury, FDIC and Federal Reserve Board announced a program to provide up to $25.0 billion of loans to financial institutions secured by certain of such government securities held by financial institutions, widespread demands for customer withdrawals or other liquidity needs of financial institutions may exceed the capacity of such program, and there is no guarantee that the U.S. Department of Treasury, FDIC and Federal Reserve Board will provide access to uninsured funds in the future in the event of the closure of such banks or financial institutions, or that they would do so in a timely fashion. These events could result in a variety of material and adverse impacts on our current and projected business operations and our financial condition and results of operations, including, but not limited to, the following:</w:t>
      </w:r>
    </w:p>
    <w:p>
      <w:pPr>
        <w:spacing w:after="0" w:line="202"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statutory, regulatory or contractual obligations, including obligations that require us to maintain letters of credit or other credit support arrangements; or</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cash management arrangements and/or delays in accessing or actual loss of funds subject to cash management arrangements.</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any further deterioration in the macroeconomic economy or financial services industry could lead to losses or defaults by our partners, vendors or suppliers, which in turn, could have a material adverse effect on our current and/or projected business operations and results of operations and financial condition. For example, a partner may fail to make payments when due, default under their agreements with us, become insolvent or declare bankruptcy, or a supplier may determine that it will no longer deal with us as a customer. In addition, a vendor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The bankruptcy or insolvency of any partner, vendor or supplier, or the failure of any partner to make payments when due, or any breach or default by a partner, vendor or supplier, or the loss of any significant supplier relationships, could cause us to suffer material losses and may have a material adverse impact on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credits to offset future taxable income may be subject to certain limitations.</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March 31, 2024, we had U.S. federal net operating loss carryforwards totaling $208.0 million, all of which have an indefinite carryforward period. Federal net operating loss carryforwards of approximately $82.8 million generated through our fiscal year ended March 31, 2018 will expire in our fiscal years ending March 31, 2025 through March 31, 2038. Federal net operating loss carryforwards of approximately $125.2 million generated in fiscal years ending after March 31, 2018 will carry forward indefinitely. As of March 31, 2024, we had state net operating loss carryforwards totaling $65.8 million, which expire at various dates between 2029 and 2044. As of March 31, 2024, we also had U.S. federal and state research and development tax credit carryforwards of $3.3 million and $1.6 million, respectively, which begin to expire in 2029 for federal purposes, state credits do no expire. The net operating losses which are limited in life and tax credit carryforwards could expire unused and be unavailable to offset future income tax liabilities. In addition, in general, under Sections 382 and 383 of the Internal Revenue Code of 1986, as amended (the Code) a corporation that undergoes an “ownership change” is subject to limitations on its ability to utilize its pre-change net operating losses (NOLs) or tax credits or credits, to offset future taxable income or taxes. For these purposes, an ownership change generally occurs where the aggregate stock ownership of one or more stockholders or groups of stockholders who own at least 5% of a corporation’s stock increase their ownership by more than 50 percentage points over their lowest ownership percentage within a specified testing period. Our existing NOLs or credits may be subject to limitations arising from previous ownership changes, and if we undergo an ownership change in the future,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 If we determine that an ownership change has occurred and our ability to use our historical NOLs or credits is materially limited, it would harm our future operating results by effectively increasing our future tax obligations. Section 382 and 383 of the Code would apply to all net operating loss and tax credit carryforwards, whether the carryforward period is indefinite or not.</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our ability to utilize our historical NOLs or credits is conditioned upon us attaining profitability and generating U.S. federal and state taxable income. We are a clinical-stage biopharmaceutical company with a limited operating history. We have incurred significant net losses since our inception and anticipate that we will continue to incur significant losses for the foreseeable future; and therefore, we do not know whether or when we will generate the U.S. federal or state taxable income necessary to utilize our historical NOLs or credits that may be subject to limitation by Sections 382 and 383 of the Code.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we conduct in connection with Section 404 of the Sarbanes-Oxley Act of 2022, as amended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we identify any future material weaknesses, the accuracy and timing of our financial reporting may be adversely affected, we may be unable to maintain compliance with securities law requirements regarding timely filing of periodic reports or applicable stock exchange listing requirements, investors may lose confidence in our financial reporting and our stock price may decline as a result. We also could become subject to investigations by Nasdaq, the SEC or other regulatory authorities.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89"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our common stock may fluctuate due to a variety of factors, including:</w:t>
      </w:r>
    </w:p>
    <w:p>
      <w:pPr>
        <w:spacing w:after="0" w:line="23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the COVID-19 pandemic and post-COVID environment on the markets and the broader global economy;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rising interest rates, inflation, fuel prices, foreign currency fluctuations, international tariffs, boycotts, curtailment of trade and other business restrictions, social, political and economic risks, natural disasters and acts of war or terrorism, such as the conflicts involving Ukraine and Russia, or Israel and its surrounding regions.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shares of our common stock regardless of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We implement reasonable administrative, technical and procedural safeguards to manage cybersecurity risks, including multi-layered technical security measures, mandatory user security awareness and training, access control policies and activity monitoring. Additionally, we engage third-party cybersecurity experts to assess the security of our network.</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design and assess our program based on the NIST Special Publication 800-171 and the Cybersecurity Maturity Model Certification (CMMC) levels 1. This does not imply that we meet any particular technical standards, specifications, or requirements, only that we use the NIST CSF and CMMC maturity models as a guide to help us identify, assess, and manage cybersecurity risks relevant to our business.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cybersecurity risk management program is designed to be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239" w:lineRule="exact"/>
        <w:rPr>
          <w:sz w:val="20"/>
          <w:szCs w:val="20"/>
          <w:color w:val="auto"/>
        </w:rPr>
      </w:pPr>
    </w:p>
    <w:p>
      <w:pPr>
        <w:ind w:left="660" w:hanging="4"/>
        <w:spacing w:after="0" w:line="266" w:lineRule="auto"/>
        <w:tabs>
          <w:tab w:leader="none" w:pos="7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cybersecurity risks to our critical systems, information, products, services, and our broader enterprise information technology environment;</w:t>
      </w:r>
    </w:p>
    <w:p>
      <w:pPr>
        <w:spacing w:after="0" w:line="189" w:lineRule="exact"/>
        <w:rPr>
          <w:rFonts w:ascii="Times New Roman" w:cs="Times New Roman" w:eastAsia="Times New Roman" w:hAnsi="Times New Roman"/>
          <w:sz w:val="18"/>
          <w:szCs w:val="18"/>
          <w:color w:val="auto"/>
        </w:rPr>
      </w:pPr>
    </w:p>
    <w:p>
      <w:pPr>
        <w:ind w:left="660" w:right="20" w:hanging="4"/>
        <w:spacing w:after="0" w:line="266" w:lineRule="auto"/>
        <w:tabs>
          <w:tab w:leader="none" w:pos="7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(i) our cybersecurity risk assessment processes, (ii) our security controls, and (iii) our response to cybersecurity incidents;</w:t>
      </w:r>
    </w:p>
    <w:p>
      <w:pPr>
        <w:spacing w:after="0" w:line="18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incident response personnel, and senior management;</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238"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service providers, suppliers, and vendors that have access to our critical systems and information.</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can be no assurance that our cybersecurity risk management program and processes, including our policies, controls or procedures, will be fully implemented, complied with or effective in protecting our systems and information.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Board of Directors (the Board) considers cybersecurity risk as part of its risk oversight function and has delegated to the Audit Committee (the Committee) oversight of cybersecurity risks. The Committee oversees our cybersecurity risk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receives periodic reports from management on our cybersecurity risks. In addition, management updates the Committee, as necessary or appropriate, regarding any material cybersecurity incidents, as well as any incidents with lesser impact potential.</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Committee reports to the Board regarding its activities, including those related to cybersecurity. The Board of directors may also receive briefings from management on our cyber risk management program. Board members may receive presentations on cybersecurity topics from our Chief Financial Officer (CFO), internal security staff or external experts as part of the Board's continuing education on topics that impact public companies. Members of our management team, including our Chief Executive Officer (CEO), CFO, and General Counsel, are responsible for assessing and managing our material risks from cybersecurity threats. This cybersecurity management team has primary responsibility for our overall cybersecurity risk management program and supervises both our internal cybersecurity personnel and our retained external cybersecurity consultants. This team includes individuals with significant experience running or overseeing cybersecurity programs at similarly sized biotechnology organizations and navigating the associated risk landscape.</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cybersecurity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headquarters and laboratories are located at 343 Allerton Avenue, South San Francisco, California 94080, where we occupy approximately 10,900 square feet of office and lab space under a lease expiring on July 31, 2027, which contains a 5-year option to renew. We believe that our facilities are suitable and adequate for our current and foreseeable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“VTGN”.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2024, there were approximately 365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never paid or declared any cash dividends on our common stock since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Item 12 of Part III of this Annual Report for information about our equity compensation plans, which information will be incorporated by reference to the information that will be contained in our proxy statement related to the 2024 Annual Meeting of Stockholders, which we intend to file with the SEC on or before July 29,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6. [Reserved]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This Annual Report on Form 10-K (Report) includes forward-looking statements. All statements contained in this Report other than statements of historical fact, including statements regarding our future outcomes and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FDA and other domestic and foreign regulatory agencies, our ability to obtain, maintain and enforce patents on our products once approved for marketing, the impact of competitive products, product development, commercialization potential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and Board or disadvantageous to our stockholders.</w:t>
      </w:r>
    </w:p>
    <w:p>
      <w:pPr>
        <w:spacing w:after="0" w:line="2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this Report or otherwise.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Accordingly, you should not rely upon forward-looking statements in this Report as predictions of future events. The events and circumstances reflected in the forward-looking statements in this Report may not be achieved or occur. Although we believe that the expectations reflected in the forward-looking statements in this Report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neuroscience-focused biopharmaceutical company dedicated to pursuing a pioneering approach to the development and commercialization of groundbreaking therapies for psychiatric and neurological disorders based on our deep understanding of nose-to-brain neurocircuitry. Our clinical-stage pipeline consists of intranasal product candidates from a new class of potential neuroscience therapies called pherines. Designed exclusively as nasal sprays, each of our pherine product candidates is centered on our innovative approach to addressing neuroscience disorders with the nose as a new portal for the administration of novel, rapid-onset neuroactive therapies that do not require systemic absorption or binding to neurons in the brain to achieve desired therapeutic effects. In addition, our neuroscience pipeline also includes a clinical-stage investigational oral prodrug candidate, AV-101, focused on neurological disorders involving the NMDA receptor. We are advancing our pipeline with multiple clinical and nonclinical studies underway or planned, including our ongoing PALISADE-3 Phase 3 trial and open label extension for fasedienol as an acute treatment of SAD.</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goal is to develop and commercialize a broad and diversified pipeline of innovative neuroactive pherine therapies for multiple highly prevalent neuroscience indications, such as SAD, MDD, and vasomotor symptoms (hot flashes) associated with menopause, with limited or inadequate current treatment options to meet the needs of millions of underserved patients in the U.S. and worldwide. See “Our Neuroscience Pipeline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“Our Lead Programs” and “Our Other Programs” in Part I, Item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material developments during the fiscal year ended March 31, 2024.</w:t>
      </w:r>
    </w:p>
    <w:p>
      <w:pPr>
        <w:spacing w:after="0" w:line="237" w:lineRule="exact"/>
        <w:rPr>
          <w:sz w:val="20"/>
          <w:szCs w:val="20"/>
          <w:color w:val="auto"/>
        </w:rPr>
      </w:pPr>
    </w:p>
    <w:p>
      <w:pPr>
        <w:jc w:val="both"/>
        <w:ind w:left="660" w:hanging="328"/>
        <w:spacing w:after="0" w:line="24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PALISADE-2. </w:t>
      </w:r>
      <w:r>
        <w:rPr>
          <w:rFonts w:ascii="Times New Roman" w:cs="Times New Roman" w:eastAsia="Times New Roman" w:hAnsi="Times New Roman"/>
          <w:sz w:val="18"/>
          <w:szCs w:val="18"/>
          <w:color w:val="auto"/>
        </w:rPr>
        <w:t>In early August 2023, we received and reported positive topline results from our PALISADE-2 Phase 3 clinical trial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fasedienol in adults with SAD. The PALISADE-2 trial met its primary efficacy endpoint, the difference in mean SUDS scores during the public speaking challenge at baseline (Visit 2) and treatment (Visit 3) for subjects treated with fasedienol versus placebo at Visit 3. The trial also met its secondary endpoint, demonstrating a statistically significant difference in the proportion of clinician-assessed responders between fasedienol and placebo as measured by the CGI-I. Fasedienol was observed to be well-tolerated with no SAEs, and the adverse event profiles were comparable between fasedienol and placebo.</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Exclusive Negotiation Agreement with Fuji Pharma Co., Ltd. </w:t>
      </w:r>
      <w:r>
        <w:rPr>
          <w:rFonts w:ascii="Times New Roman" w:cs="Times New Roman" w:eastAsia="Times New Roman" w:hAnsi="Times New Roman"/>
          <w:sz w:val="18"/>
          <w:szCs w:val="18"/>
          <w:color w:val="auto"/>
        </w:rPr>
        <w:t>On September 1, 2023, we entered into an Exclusive Negotiation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Agreement) with Fuji Pharma Co., Ltd. (Fuji Pharma), a Tokyo Stock Exchange-listed, Japan-based pharmaceutical company. Pursuant to the terms and conditions of the Negotiation Agreement, we agreed, for a limited period of time, to negotiate exclusively with Fuji Pharma for a potential exclusive license agreement to develop and commercialize our PH80 product candidate in Japan (the Potential Definitive Agreement). As consideration for the Exclusive Negotiation Period, Fuji Pharma paid to us $1.5 million (Purchase Price). Should we enter into the Potential Definitive Agreement with Fuji Pharma, the Purchase Price will be creditable against any upfront fee due in connection with the execution of such agreement.</w:t>
      </w:r>
    </w:p>
    <w:p>
      <w:pPr>
        <w:spacing w:after="0" w:line="221" w:lineRule="exact"/>
        <w:rPr>
          <w:rFonts w:ascii="Times New Roman" w:cs="Times New Roman" w:eastAsia="Times New Roman" w:hAnsi="Times New Roman"/>
          <w:sz w:val="18"/>
          <w:szCs w:val="18"/>
          <w:color w:val="auto"/>
        </w:rPr>
      </w:pPr>
    </w:p>
    <w:p>
      <w:pPr>
        <w:jc w:val="both"/>
        <w:ind w:left="660" w:hanging="328"/>
        <w:spacing w:after="0" w:line="243"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October 2023 Public Offering. </w:t>
      </w:r>
      <w:r>
        <w:rPr>
          <w:rFonts w:ascii="Times New Roman" w:cs="Times New Roman" w:eastAsia="Times New Roman" w:hAnsi="Times New Roman"/>
          <w:sz w:val="18"/>
          <w:szCs w:val="18"/>
          <w:color w:val="auto"/>
        </w:rPr>
        <w:t>On October 2, 2023, we entered into an underwriting agreement (the Underwriting Agreement) with Jefferies,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Stifel, Nicolaus &amp; Company, Incorporated, and William Blair &amp; Company, L.L.C., as the representatives of the underwriters identified therein (the Underwriters), in connection with the underwritten offering, issuance and sale by us of 15,010,810 shares of our common stock, pre-funded warrants to purchase up to 3,577,240 shares of common stock (the Pre-Funded Warrants), warrants to purchase up to 9,294,022 shares of common stock (or pre-funded warrants to purchase up to 9,294,022 shares of common stock in lieu thereof) (the T1 Warrants) and warrants to purchase 11,265,086 shares of common stock (or pre-funded warrants to purchase up to 11,265,086 shares of common stock in lieu thereof) (the T2 Warrants). The combined offering price for each share of common stock, accompanying T1 Warrant, and accompanying T2 Warrant was $5.38. The combined offering price per Pre-Funded Warrant, accompanying T1 Warrant, and accompanying T2 Warrant was $5.379 (the October 2023 Public Offering). We received net proceeds of approximately $93.5 million from the October 2023 Public Offering, after deducting underwriting discounts and commissions and estimated offering expense payable by us.</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Launch of PALISADE-3 and Planned Launch of PALISADE-4. </w:t>
      </w:r>
      <w:r>
        <w:rPr>
          <w:rFonts w:ascii="Times New Roman" w:cs="Times New Roman" w:eastAsia="Times New Roman" w:hAnsi="Times New Roman"/>
          <w:sz w:val="18"/>
          <w:szCs w:val="18"/>
          <w:color w:val="auto"/>
        </w:rPr>
        <w:t>To complement the positive topline results from PALISADE-2, we launched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PALISADE-3 in March 2024, and are preparing to launch PALISADE-4 in the second half of 2024. Like PALISADE-2, both PALISADE-3 and PALISADE-4 are or are planned to be multi-center, randomized, double-blind, placebo-controlled studies designed to evaluate the efficacy, safety, and tolerability of the acute administration of fasedienol to relieve anxiety symptoms in adult patients with SAD after a single dose of fasedienol during a simulated, anxiety-provoking public speaking challenge in a clinical setting, as measured using the patient-reported SUDS as the primary efficacy endpoint. In addition, both PALISADE-3 and PALISADE-4 will have an open-label extension for a period of up to 12 months. We are also planning to initiate the Repeat Dose Study in the second half of 2024. The Repeat Dose Study will be a multi-center, randomized, double-blind, placebo-controlled, clinical trial designed to evaluate repeated dosing of fasedienol in adult patients with SAD during a single simulated, anxiety-provoking public speaking challenge in a clinical setting. The Repeat Dose Study trial will consist of three different dosing arms, with an open-label extension for a period of up to 12 months.</w:t>
      </w:r>
    </w:p>
    <w:p>
      <w:pPr>
        <w:spacing w:after="0" w:line="21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Reverse Stock Split. </w:t>
      </w:r>
      <w:r>
        <w:rPr>
          <w:rFonts w:ascii="Times New Roman" w:cs="Times New Roman" w:eastAsia="Times New Roman" w:hAnsi="Times New Roman"/>
          <w:sz w:val="18"/>
          <w:szCs w:val="18"/>
          <w:color w:val="auto"/>
        </w:rPr>
        <w:t>On June 6, 2023, we implemented a stockholder-approved one-for-thirty (1-for-30) reverse split of our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All share and per share data for all periods presented in the accompanying Consolidated Financial Statements and related disclosures in this Annual Report have been adjusted retrospectively to reflect the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wholly-owned subsidiaries consist of Pherin Pharmaceuticals, Inc, a Delaware corporation (Pherin), and Vistastem, Inc., a California corporation founded in 1998 (Vistastem). For the relevant periods, our condensed consolidated financial statements in this Report also include the accounts of Vistastem’s two wholly-owned inactive subsidiaries, Artemis Neuroscience, Inc., a Maryland corporation (Artemis), which was dissolved in April 2022, and VistaStem Canada, Inc., a corporation organized under the laws of Ontario, Canada (VistaStem Canada), which was dissolved in June 2022.</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Sublicense and Other Revenue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Sublicense and other revenue consists of revenue recognized under the AffaMed Agreement and Negotiation Agreement with Fuji Pharma. Revenue is recognized as identified performance obligations are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date, our research and development expenses consist primarily of external and internal costs related to the development of our product candidates and development programs. Our research and development expenses primarily include:</w:t>
      </w:r>
    </w:p>
    <w:p>
      <w:pPr>
        <w:spacing w:after="0" w:line="203"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including:</w:t>
      </w:r>
    </w:p>
    <w:p>
      <w:pPr>
        <w:spacing w:after="0" w:line="15" w:lineRule="exact"/>
        <w:rPr>
          <w:rFonts w:ascii="Times New Roman" w:cs="Times New Roman" w:eastAsia="Times New Roman" w:hAnsi="Times New Roman"/>
          <w:sz w:val="18"/>
          <w:szCs w:val="18"/>
          <w:color w:val="auto"/>
        </w:rPr>
      </w:pPr>
    </w:p>
    <w:p>
      <w:pPr>
        <w:jc w:val="both"/>
        <w:ind w:left="1300" w:hanging="320"/>
        <w:spacing w:after="0" w:line="24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conducting clinical trials, including investigator grants and site payments for time and pass-through expenses and expenses incurred under agreements with CROs, central laboratories and other vendors and service providers engaged to conduct our trials;</w:t>
      </w:r>
    </w:p>
    <w:p>
      <w:pPr>
        <w:spacing w:after="0" w:line="207" w:lineRule="exact"/>
        <w:rPr>
          <w:rFonts w:ascii="Times New Roman" w:cs="Times New Roman" w:eastAsia="Times New Roman" w:hAnsi="Times New Roman"/>
          <w:sz w:val="18"/>
          <w:szCs w:val="18"/>
          <w:color w:val="auto"/>
        </w:rPr>
      </w:pPr>
    </w:p>
    <w:p>
      <w:pPr>
        <w:ind w:left="1300" w:right="2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discovery and preclinical development of our product candidates, including under agreements with third parties, such as consultants and CROs;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consultants for CMC development, and other services;</w:t>
      </w:r>
    </w:p>
    <w:p>
      <w:pPr>
        <w:spacing w:after="0" w:line="238"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compounds for use in our preclinical studies, including under agreements with third parties, such as consultants and third-party manufacturers; and</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drug development regulatory requirements.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w:t>
      </w:r>
    </w:p>
    <w:p>
      <w:pPr>
        <w:spacing w:after="0" w:line="15" w:lineRule="exact"/>
        <w:rPr>
          <w:rFonts w:ascii="Times New Roman" w:cs="Times New Roman" w:eastAsia="Times New Roman" w:hAnsi="Times New Roman"/>
          <w:sz w:val="18"/>
          <w:szCs w:val="18"/>
          <w:color w:val="auto"/>
        </w:rPr>
      </w:pPr>
    </w:p>
    <w:p>
      <w:pPr>
        <w:ind w:left="1300" w:hanging="320"/>
        <w:spacing w:after="0" w:line="258" w:lineRule="auto"/>
        <w:tabs>
          <w:tab w:leader="none" w:pos="12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travel and share-based compensation expenses for employees engaged in research and development functions;</w:t>
      </w:r>
    </w:p>
    <w:p>
      <w:pPr>
        <w:spacing w:after="0" w:line="19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materials; and</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and supplies.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expense research and development expenses in the periods in which they are incurred. External expenses are recognized based on an evaluation of the progress to completion of specific tasks using information provided to us by our service providers or our estimate of the level of service that has been performed at each reporting date.</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development of any of our product candidates, including future trial design and various regulatory requirements, many of which cannot be determined with accuracy at this time based on our stage of development. In addition, future regulatory factors beyond our control may impact our clinical development programs. Product candidates in later stages of development generally have higher development costs than those in earlier stages of development.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research and development expenses may vary significantly based on a wide variety of factors, such as:</w:t>
      </w:r>
    </w:p>
    <w:p>
      <w:pPr>
        <w:spacing w:after="0" w:line="23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discovery and preclinical development activities and clinical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each of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clinical and non-clincial trials are conducted;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appropriate patients eligible for our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 during such clinical trials;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 if 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such as the war in Ukraine and, more recently, the war between Israel and Hamas;</w:t>
      </w:r>
    </w:p>
    <w:p>
      <w:pPr>
        <w:spacing w:after="0" w:line="238"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the financial markets, the global economy, the supply chain and our expenses due to pandemics or other epidemic diseases, geopolitical instability, inflation, rising interest rates and other factors; and</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The process of conducting the necessary preclinical and clinical research and development to obtain regulatory approval is costly and time-consuming. The actual probability of success for our product candidates or any future candidates may be affected by a variety of factors. We may never succeed in achieving regulatory approval for any of our product candidates or any future candidates.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of salaries, bonuses, related benefits and stock-based compensation expense for personnel in executive, legal, finance and administrative functions; professional fees for legal, consulting, accounting and audit services; and travel expenses, technology costs and other allocated expenses. We expense general and administrative expenses in the periods in which they are incurred.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March 31, 2024 and 2023</w:t>
            </w: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70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March 31,</w:t>
            </w:r>
          </w:p>
        </w:tc>
        <w:tc>
          <w:tcPr>
            <w:tcW w:w="1140" w:type="dxa"/>
            <w:vAlign w:val="bottom"/>
            <w:tcBorders>
              <w:bottom w:val="single" w:sz="8" w:color="auto"/>
            </w:tcBorders>
          </w:tcPr>
          <w:p>
            <w:pPr>
              <w:spacing w:after="0"/>
              <w:rPr>
                <w:sz w:val="24"/>
                <w:szCs w:val="24"/>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112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w:t>
            </w:r>
          </w:p>
        </w:tc>
      </w:tr>
      <w:tr>
        <w:trPr>
          <w:trHeight w:val="230"/>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3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59,041</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(59,242)</w:t>
            </w:r>
          </w:p>
        </w:tc>
      </w:tr>
      <w:tr>
        <w:trPr>
          <w:trHeight w:val="23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Sublicense and Other 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Sublicense and other revenue was $1.1 million and $(0.2) million for the years ended March 31, 2024 and 2023, respectively. The increase in sublicense and other revenue of $1.3 million is due to timing of revenue recognized under the AffaMed Agreement and a one-time true up of expense during the year ended March 31, 2023 due to a change in estimate, as well as revenue recognized under the Negotiation Agreement with Fuji Pharma executed in September 2023.</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Absent the achievement of milestones under the AffaMed Agreement, or the execution of similar agreements in the future, if any, we expect sublicense and other revenue to stay consistent in future periods as we continue to recognize revenue under the AffaMed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development program for the years ended March 31, 2024 and 2023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620" w:type="dxa"/>
            <w:vAlign w:val="bottom"/>
            <w:tcBorders>
              <w:bottom w:val="single" w:sz="8" w:color="auto"/>
            </w:tcBorders>
          </w:tcPr>
          <w:p>
            <w:pPr>
              <w:spacing w:after="0"/>
              <w:rPr>
                <w:sz w:val="20"/>
                <w:szCs w:val="20"/>
                <w:color w:val="auto"/>
              </w:rPr>
            </w:pPr>
          </w:p>
        </w:tc>
      </w:tr>
      <w:tr>
        <w:trPr>
          <w:trHeight w:val="223"/>
        </w:trPr>
        <w:tc>
          <w:tcPr>
            <w:tcW w:w="75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0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and nonclinical studies and development expenses by program</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Fasedienol</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36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28,025</w:t>
            </w:r>
          </w:p>
        </w:tc>
      </w:tr>
      <w:tr>
        <w:trPr>
          <w:trHeight w:val="23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Itruvone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9"/>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AV-101</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 other</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clinical and nonclinical studies and development expenses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31,561</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Pherin Acquisition</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and benefits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3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44,377</w:t>
            </w:r>
          </w:p>
        </w:tc>
      </w:tr>
      <w:tr>
        <w:trPr>
          <w:trHeight w:val="20"/>
        </w:trPr>
        <w:tc>
          <w:tcPr>
            <w:tcW w:w="7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$20.0 million and $44.4 million for the years ended March 31, 2024 and 2023, respectively. The overall decrease of $24.4 million was primarily due to a decrease in preclinical expenses and clinical trial costs of $25.9 million due to the timing of expenses incurred for the PALISADE-1 and PALISADE-2 Phase 3 trials of fasedienol in SAD, including closing costs associated with these studies. The decrease was partially offset by an increase in compensation and related costs of $0.9 million and an increase in consulting professional fees of $0.6 million.</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substantially over the next several years as we advance our product candidates through clinical trials, continue to develop additional product candidates and expand our pipeline, maintain, expand, protect and enforce our intellectual property portfolio, and hire additional personnel.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were $14.1 million and $14.7 million for the years ended March 31, 2024 and 2023, respectively. The decrease of $0.6 million was primarily due to a decrease of $1.4 million in professional fees related to pre-commercial activities as well as service fees associated with a potential credit facility offering that was not consummated in Fiscal 2023 as a result of the outcome of our PALISADE-1 clinical trial, which did not recur, as well as a decrease in stock-based compensation expense of $1.0 million. This decrease was partially offset by an increase in compensation and related expenses of $1.5 million and an increase in IT-related costs of $0.3 million.</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over the next several years as we hire additional personnel to support the growth of our business and incur additional expenses associated with being a public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was $3.7 million and $26 thousand for the years ended March 31, 2024 and 2023, respectively. The increase of $3.6 million was primarily related to an increase in interest rate return on our cash, cash equivalents, and marketable securities due to increased cash balances.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our operations. To date, we have financed our operations and technology acquisitions primarily through the issuance and sale of our equity and debt securities for cash proceeds of approximately $338.5 million, as well as from an aggregate of approximately $22.7 million of government research grant awards (excluding the fair market value of government-sponsored and funded clinical trials), strategic collaboration payments, intellectual property licensing payments, and other revenues. Additionally, we have issued equity securities with an approximate value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issuance of $41.3 million in non-cash acquisitions of product licenses, the Pherin Acquisition, and in settlements of certain liabilities, including liabilities for professional services rendered to us or as compensation for such services.</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May 2021, we entered into an Open Market Sale Agreement (the Sales Agreement) with Jefferies LLC (Jefferies) as sales agent, with respect to an at-the-market offering program (the ATM) under which we were permitted, at our option, offer and sell, from time to time, shares of our common stock having an aggregate offering price of up to $75.0 million through Jefferies as our sales agent. During the first-half of the fiscal year ended March 31, 2024, we sold 4,698,495 shares of our common stock under the terms of our Sales Agreement for net cash proceeds of approximately $36.2 million. We did not sell any shares of our common stock under the Sales Agreement during the second half of the fiscal year ended March 31, 2024. Pursuant to a registration statement on SEC Form S-3 declared effective during the quarter ended March 31, 2024, we may now, at our option, offer and sell, from time to time, shares of our common stock having an aggregate offering price of up to $100.0 million through Jefferies as our sales agent. In addition, during the fiscal year ended March 31, 2024, we received net proceeds of approximately $93.5 million from the October 2023 Public Offering and $1.5 million from Fuji Pharma under the Negotiation Agreement.</w:t>
      </w:r>
    </w:p>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had cash and cash equivalents of approximately $119.2 million at March 31, 2024, which we believe is sufficient to fund our planned operations for the at least twelve months following the issuance of these Consolidated Financial Statements. We are continuing to manage our cash resources with primary emphasis on our lead pipeline programs, including our registration-directed PALISADE Phase 3 program for fasedienol as a potential new acute treatment of anxiety in adults with SAD, as well as planning for potential Phase 2B development of itruvone for treatment of moderate-to-severe MDD, standard U.S. IND-enabling nonclinical studies of PH80 to facilitate potential Phase 2B development for the treatment of vasomotor symptoms (hot flashes) associated with menopause and certain limited pre-commercialization activities. However, as we have not yet developed products that generate recurring revenue and, in the event we successfully complete future clinical and/or nonclinical programs, we will need to obtain and invest substantial additional capital resources to develop and commercialize our drug candidates.</w:t>
      </w:r>
    </w:p>
    <w:p>
      <w:pPr>
        <w:spacing w:after="0" w:line="18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When necessary and/or advantageous, we will seek additional capital to fund our planned operations through (i) sales of our equity and/or debt securities in one or more public offerings and/or private placements, including sales of our securities under the Sales Agreement, (ii) non-dilutive government grants and research awards and/or (iii) non-dilutive strategic partnering collaborations to advance development and commercialization of our product candidates. However, no assurance can be provided that any such sales of our securities, awards, agreements or collaborations will occur in the future. While we may make additional sales of our equity securities, we do not have an obligation to do so.</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working capital requirements will depend on many factors, including, without limitation, potential impacts related to adjustments in the size of our staff, the scope and nature of opportunities related to our success or failure and the success or failure of certain other companies in nonclinical and clinical trials, including the development and commercialization of our current product candidates, and the availability of, and our ability to enter into financing transactions and research, development and commercialization collaborations on terms acceptable to us. In the future, to further advance the clinical development of our product candidates, as well as support our operating activities, we plan to seek additional financing, including both equity-based capital and funding from non-dilutive sources, and continue to carefully manage our operating costs, including, but not limited to, our clinical, nonclinical, and pre-commercialization programs.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there can be no assurance that future financings will be available to us in sufficient amounts, in a timely manner, or on terms acceptable to us, if at all, or that current or future development and commercialization collaborations will generate revenue from future potential milestone payments or otherwise.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32"/>
        </w:trPr>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cash and cash equivalents for the fiscal years stated (in thousands):</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3"/>
        </w:trPr>
        <w:tc>
          <w:tcPr>
            <w:tcW w:w="63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1360" w:type="dxa"/>
            <w:vAlign w:val="bottom"/>
            <w:tcBorders>
              <w:bottom w:val="single" w:sz="8" w:color="auto"/>
            </w:tcBorders>
          </w:tcPr>
          <w:p>
            <w:pPr>
              <w:spacing w:after="0"/>
              <w:rPr>
                <w:sz w:val="24"/>
                <w:szCs w:val="24"/>
                <w:color w:val="auto"/>
              </w:rPr>
            </w:pPr>
          </w:p>
        </w:tc>
      </w:tr>
      <w:tr>
        <w:trPr>
          <w:trHeight w:val="223"/>
        </w:trPr>
        <w:tc>
          <w:tcPr>
            <w:tcW w:w="6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(49,716)</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128,402</w:t>
            </w:r>
          </w:p>
        </w:tc>
        <w:tc>
          <w:tcPr>
            <w:tcW w:w="3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2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102,528</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(51,497)</w:t>
            </w:r>
          </w:p>
        </w:tc>
      </w:tr>
      <w:tr>
        <w:trPr>
          <w:trHeight w:val="230"/>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3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68,135</w:t>
            </w:r>
          </w:p>
        </w:tc>
      </w:tr>
      <w:tr>
        <w:trPr>
          <w:trHeight w:val="22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34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1"/>
        </w:trPr>
        <w:tc>
          <w:tcPr>
            <w:tcW w:w="6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March 31, 2024 was $25.8 million, consisting primarily of our net loss of $29.4 million, adjusted for $2.8 million of non-cash charges primarily related to stock-based compensation expense and amortization of our operating lease right-of-use asset, and $0.8 million for net changes in operating assets and liabilities.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March 31, 2023 was $49.7 million, consisting primarily of our net loss of $59.2 million, adjusted for $7.5 million of non-cash charges primarily related to stock-based compensation expense, non-operating expenses related to our acquisition of Pherin Pharmaceuticals, Inc. completed in February 2023 (the Pherin Acquisition), and amortization of our operating right-of-use asset, partially offset by $2.0 million for net changes in operating assets and liabilities.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year ended March 31, 2024 was $0.1 million, consisting of purchases of property and equipment.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March 31, 2023 was $0.7 million, consisting of $0.5 million related to the Pherin Acquisition and $0.2 million for purchases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March 31, 2024 was $128.4 million. This consisted primarily of net proceeds of $93.5 million resulting from the October 2023 Public Offering, net proceeds of $35.9 million resulting from the sale of shares of our common stock under the Sales Agreement, partially offset by costs related to repayment of notes payable of $1.0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March 31, 2023 was $1.0 million. This consisted primarily of repayment of notes payable of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Based on our current operating plan, we believe that our existing cash and cash equivalents, will be sufficient to meet our anticipated operating expenses and capital expenditures through at least the next twelve months. However, our forecast of the period of time through which our financial resources will be adequate to support our operations is a forward-looking statement that involves risks and uncertainties, and actual results could vary materially. See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above. We have based this estimate on assumptions that may prove to be wrong, and we could deplete our capital resources sooner than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Additionally, the process of conducting preclinical studies and testing product candidates in clinical trials is costly, and the timing of progress and expenses in these studies and trials is uncertain.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hanging="328"/>
        <w:spacing w:after="0" w:line="258"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type, number, scope, results, costs and timing of, our ongoing and planned preclinical studies and clinical trials of existing product candidates or clinical trials of other potential product candidates we may choose to pursue in the future, including based on feedback received from regulatory authorities;</w:t>
      </w:r>
    </w:p>
    <w:p>
      <w:pPr>
        <w:spacing w:after="0" w:line="16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current or future product candidates, including commercial scale manufacturing if any product candidate is approved;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current or future product candidates;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obtaining, maintaining and enforcing our patents and other intellectual property rights;</w:t>
      </w:r>
    </w:p>
    <w:p>
      <w:pPr>
        <w:spacing w:after="0" w:line="21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 including enhanced internal controls over financial reporting;</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payers and adequate market share and revenue for any approved products;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 and</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issues with any of the above, including that the risk of each may be exacerbated any future pandemics or epidemic diseases, potential geopolitical instability and war, inflation or rising interest rates.</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our corporate office and laboratory space in South San Francisco, California. As of March 31, 2024, total future aggregate operating lease commitments were $2.4 million, with approximately $0.7 million due during the year ending March 31, 2025, and the remaining due in periods ending March 31, 2026 through 2028. These obligations are further described in Note 5 to our audited consolidated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certain vendors for the provision of goods and services, which includes manufacturing services with CMOs, development services with CROs, and research and development services from other industry consultants.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separately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(GAAP).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preparation of these financial statements requires us to make estimates and judgments that affect the reported amounts of assets, liabilities, revenue and expenses and the disclosure of contingent assets and liabilities in our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Annual Report, we believe the following accounting policies and estimates to be most critical to the preparation of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w:t>
      </w:r>
    </w:p>
    <w:p>
      <w:pPr>
        <w:spacing w:after="0" w:line="1" w:lineRule="exact"/>
        <w:rPr>
          <w:sz w:val="20"/>
          <w:szCs w:val="20"/>
          <w:color w:val="auto"/>
        </w:rPr>
      </w:pPr>
    </w:p>
    <w:p>
      <w:pPr>
        <w:jc w:val="both"/>
        <w:ind w:firstLine="8"/>
        <w:spacing w:after="0" w:line="255" w:lineRule="auto"/>
        <w:tabs>
          <w:tab w:leader="none" w:pos="3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We then allocate the transaction price (that is, the amount of consideration we expect to be entitled to from a customer in exchange for the promised goods or services) to each performance obligation and recognizes the associated revenue when (or as) each performance obligation is satisfied. Our estimate of the transaction price for each contract includes all variable consideration to which we expect to be entitled, subject to the constraint on variable consideration. Variable consideration is not constrained if the potential reversal of cumulative revenue recognized at the contract level is not significant.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then recognize as revenue the amount of the transaction price that is allocated to the respective performance obligation when (or as) each performance obligation is satisfied at a point in time or over time, and if over time, based on the use of an output or input method.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License Rights </w:t>
      </w:r>
      <w:r>
        <w:rPr>
          <w:rFonts w:ascii="Times New Roman" w:cs="Times New Roman" w:eastAsia="Times New Roman" w:hAnsi="Times New Roman"/>
          <w:sz w:val="18"/>
          <w:szCs w:val="18"/>
          <w:color w:val="auto"/>
        </w:rPr>
        <w:t>— If the license to our intellectual property (IP) is determined to be distinct from the other promises or performance obligations identified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 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Our arrangements may provide a collaborator with the right to acquire additional goods or services in the future. If an arrangement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added to the initial transaction price at the time in which the option exercise becomes probable. Any such adjustments to the transaction price are recorded on a cumulative catch-up basis, which would affect revenues and earnings in the period of adjustment. If the additional services are distinct, we evaluate the customer options for material rights, or options to acquire additional goods or services for free or at a discount. Material rights are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we evaluate whether the milestones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likely of being achieved and estimate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our control, such as regulatory approvals, are not considered probable to be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licensing agreements.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due to us for satisfying the revenue recognition criteria or that are contractually due based upon the terms of the collaboration agreements are recorded as accounts receivable in our consolidated balance sheet. Amounts received prior to satisfying the revenue recognition criteria are recorded as deferred revenue. Amounts expected to be recognized as revenue within the one year following the balance sheet date are classified as current deferred revenue. Amounts not expected to be recognized as revenue within one year of the balance sheet date are classified as deferred revenue, net of current portion.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associated with our research and development activities, including its discovery and research efforts and the preclinical and clinical development of its product candidates. Research and development costs are expensed in the period incurred.</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have entered into various research and development contracts with clinical research organizations, clinical manufacturing organizations, clinical sites and other vendors and consultants.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We record accruals for estimated costs incurred for ongoing research and development activities. When evaluating the adequacy of the accrued liabilities, we analyze progress of the services, including the phase or completion of events, invoices received and contracted costs. We hold discussions with applicable personnel and outside service providers as to the progress of our clinical trials, or the services completed. Significant judgments and estimates may be made in determining the prepaid or accrued balances at the end of any reporting period. Actual results could differ from our estimates. Non-refundable advance payments for goods and services, including fees for process development, are deferred and recognized as expense in the period that the related goods are consumed, or services are performed.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incurred in obtaining product or technology licenses are charged immediately to research and development expense if, at acquisition, the product or technology licensed has not achieved regulatory approval or reached technical feasibility and has no alternative future uses. We treated the Pherin Acquisition as an acquisition of assets for accounting purposes. Since, at the date of the acquisition, neither fasedienol, itruvone nor the other three pherines acquired had achieved regulatory approval and each required significant additional development and were without alternative future use, we recorded the costs related to acquiring the assets as research and development expense in our Consolidated Statement of Operations and Comprehensive Loss for our fiscal year ended March 31, 2023.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compensation cost for all stock-based awards to employees, non-employee directors, and consultants based on the grant date fair value of the award. For awards with only service periods, we record stock-based compensation expense over the requisite service period using the straight-line method. We have not granted restricted stock awards to employees or consultants, nor do we have any awards with market or performance conditions.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Estimating the fair value of equity-settled awards as of the grant date using the Black-Scholes option pricing model is based on assumptions. Changes in the assumptions can materially impact the fair value and ultimately how much stock-based compensation is recognized. These inputs are subjective and generally require significant analysis and judgement to develop. The inputs are as follows:</w:t>
      </w:r>
    </w:p>
    <w:p>
      <w:pPr>
        <w:spacing w:after="0" w:line="201" w:lineRule="exact"/>
        <w:rPr>
          <w:sz w:val="20"/>
          <w:szCs w:val="20"/>
          <w:color w:val="auto"/>
        </w:rPr>
      </w:pPr>
    </w:p>
    <w:p>
      <w:pPr>
        <w:ind w:left="660" w:hanging="328"/>
        <w:spacing w:after="0" w:line="26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 </w:t>
      </w:r>
      <w:r>
        <w:rPr>
          <w:rFonts w:ascii="Times New Roman" w:cs="Times New Roman" w:eastAsia="Times New Roman" w:hAnsi="Times New Roman"/>
          <w:sz w:val="18"/>
          <w:szCs w:val="18"/>
          <w:color w:val="auto"/>
        </w:rPr>
        <w:t>The fair value of common stock is based on the closing stock price on the date of grant as reported on The Nasdaq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Market.</w:t>
      </w:r>
    </w:p>
    <w:p>
      <w:pPr>
        <w:spacing w:after="0" w:line="199"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expected term represents the period that our options are expected to be outstanding and is determined using the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(based on the mid-point between the vesting date and the end of the contractual term) as we do not have sufficient historical information to develop reasonable expectations about future exercise patterns and post-vesting employment termination behavior for our stock option grants.</w:t>
      </w:r>
    </w:p>
    <w:p>
      <w:pPr>
        <w:spacing w:after="0" w:line="214"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The expected volatility of stock options is estimated based on the average historical volatility of our own common stock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period equal to the expected term of the grant.</w:t>
      </w:r>
    </w:p>
    <w:p>
      <w:pPr>
        <w:spacing w:after="0" w:line="18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risk-free interest rate is based on U.S. Treasury yields in effect at the grant date for notes with comparable terms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awards.</w:t>
      </w:r>
    </w:p>
    <w:p>
      <w:pPr>
        <w:spacing w:after="0" w:line="171" w:lineRule="exact"/>
        <w:rPr>
          <w:rFonts w:ascii="Times New Roman" w:cs="Times New Roman" w:eastAsia="Times New Roman" w:hAnsi="Times New Roman"/>
          <w:sz w:val="18"/>
          <w:szCs w:val="18"/>
          <w:color w:val="auto"/>
        </w:rPr>
      </w:pPr>
    </w:p>
    <w:p>
      <w:pPr>
        <w:ind w:left="660" w:hanging="328"/>
        <w:spacing w:after="0" w:line="268"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We have never paid dividends on our common stock and have no plans to do so in the future. Therefore, we used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dividend of zero.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Equity Financing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8"/>
          <w:szCs w:val="18"/>
          <w:i w:val="1"/>
          <w:iCs w:val="1"/>
          <w:color w:val="auto"/>
        </w:rPr>
        <w:t>Derivatives and Hedging-Contracts in the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(ASC 815-40), we classify a warrant as equity if it is “indexed to the Company’s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that results in the warrants to be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or ASC 815-40, it is classified as a derivative liability which is carried on the consolidated balance sheet at fair value with any changes in its fair value recognized immediately in the Statement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condition and results of operations is disclosed in Note 2 to our audited Consolidated Financial Statements appearing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disclosures in this section are not required because we qualify as a "smaller reporting company," as such term is defined in Rule 12b-2 under the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CCEEFF"/>
            </w:tcBorders>
          </w:tcPr>
          <w:p>
            <w:pPr>
              <w:spacing w:after="0"/>
              <w:rPr>
                <w:sz w:val="21"/>
                <w:szCs w:val="21"/>
                <w:color w:val="auto"/>
              </w:rPr>
            </w:pPr>
          </w:p>
        </w:tc>
        <w:tc>
          <w:tcPr>
            <w:tcW w:w="49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9"/>
              </w:rPr>
              <w:t>95</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9"/>
              </w:rPr>
              <w:t>97</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9"/>
              </w:rPr>
              <w:t>98</w:t>
            </w:r>
          </w:p>
        </w:tc>
      </w:tr>
      <w:tr>
        <w:trPr>
          <w:trHeight w:val="25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9"/>
              </w:rPr>
              <w:t>99</w:t>
            </w:r>
          </w:p>
        </w:tc>
      </w:tr>
      <w:tr>
        <w:trPr>
          <w:trHeight w:val="26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120" w:type="dxa"/>
            <w:vAlign w:val="bottom"/>
            <w:gridSpan w:val="2"/>
            <w:shd w:val="clear" w:color="auto" w:fill="CCEEFF"/>
          </w:tcPr>
          <w:p>
            <w:pPr>
              <w:jc w:val="center"/>
              <w:ind w:left="4890"/>
              <w:spacing w:after="0"/>
              <w:rPr>
                <w:sz w:val="20"/>
                <w:szCs w:val="20"/>
                <w:color w:val="auto"/>
              </w:rPr>
            </w:pPr>
            <w:r>
              <w:rPr>
                <w:rFonts w:ascii="Times New Roman" w:cs="Times New Roman" w:eastAsia="Times New Roman" w:hAnsi="Times New Roman"/>
                <w:sz w:val="18"/>
                <w:szCs w:val="18"/>
                <w:color w:val="auto"/>
                <w:w w:val="96"/>
              </w:rPr>
              <w:t>100</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120" w:type="dxa"/>
            <w:vAlign w:val="bottom"/>
            <w:gridSpan w:val="2"/>
          </w:tcPr>
          <w:p>
            <w:pPr>
              <w:jc w:val="center"/>
              <w:ind w:left="4890"/>
              <w:spacing w:after="0"/>
              <w:rPr>
                <w:sz w:val="20"/>
                <w:szCs w:val="20"/>
                <w:color w:val="auto"/>
              </w:rPr>
            </w:pPr>
            <w:r>
              <w:rPr>
                <w:rFonts w:ascii="Times New Roman" w:cs="Times New Roman" w:eastAsia="Times New Roman" w:hAnsi="Times New Roman"/>
                <w:sz w:val="18"/>
                <w:szCs w:val="18"/>
                <w:color w:val="auto"/>
                <w:w w:val="96"/>
              </w:rPr>
              <w:t>101</w:t>
            </w:r>
          </w:p>
        </w:tc>
      </w:tr>
      <w:tr>
        <w:trPr>
          <w:trHeight w:val="918"/>
        </w:trPr>
        <w:tc>
          <w:tcPr>
            <w:tcW w:w="5120" w:type="dxa"/>
            <w:vAlign w:val="bottom"/>
          </w:tcPr>
          <w:p>
            <w:pPr>
              <w:spacing w:after="0"/>
              <w:rPr>
                <w:sz w:val="24"/>
                <w:szCs w:val="24"/>
                <w:color w:val="auto"/>
              </w:rPr>
            </w:pPr>
          </w:p>
        </w:tc>
        <w:tc>
          <w:tcPr>
            <w:tcW w:w="498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94</w:t>
            </w:r>
          </w:p>
        </w:tc>
        <w:tc>
          <w:tcPr>
            <w:tcW w:w="114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Vistagen Therapeutics, Inc. (the “Company”) as of March 31, 2024 and 2023, the related consolidated statements of operations and comprehensive loss, cash flows, and stockholders’ equity for each of the two years in the period ended March 31, 2024, and the related notes (collectively referred to as the “consolidated financial statements”). In our opinion, the consolidated financial statements present fairly, in all material respects, the financial position of the Company as of March 31, 2024 and 2023, and the results of its operations and its cash flows for each of the two years in the period ended March 31, 2024</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from Contracts with Customers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 recognized approximately $0.9 million in revenue under the sublicense agreement with AffaMed Therapeutics, Inc. (“AffaMed”) during the fiscal year ended March 31, 2024.</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Auditing management’s timing of revenue recognition attributed to the performance obligation of the agreement was challenging, as significant judgment was required in the evaluation of the period in which the performance obligation was satisfied.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identified sublicense revenue recognition as a critical audit matter because of the judgments necessary for management to determine the timing of recognition for such revenue. Because of the complexity associated with applying the recognition criteria of Accounting Standards Codification,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notably related to the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determination of timing of revenue recognition, this required extensive audit effort and a high degree of auditor judgment when performing audit procedures and evaluating the results of those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recognition of sublicense revenue, included the following, among others:</w:t>
      </w:r>
    </w:p>
    <w:p>
      <w:pPr>
        <w:spacing w:after="0" w:line="239" w:lineRule="exact"/>
        <w:rPr>
          <w:sz w:val="20"/>
          <w:szCs w:val="20"/>
          <w:color w:val="auto"/>
        </w:rPr>
      </w:pPr>
    </w:p>
    <w:p>
      <w:pPr>
        <w:jc w:val="both"/>
        <w:ind w:left="340" w:hanging="332"/>
        <w:spacing w:after="0" w:line="237"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revenue recognition for the sublicense agreement through an inspection of the agreement and an evaluation of management’s revenue recognition analysis corresponding to the agreement. Our objective was to validate that revenue from the agreement was recognized in a manner commensurate with the terms of the underlying agreement and the relevant accounting guidance.</w:t>
      </w:r>
    </w:p>
    <w:p>
      <w:pPr>
        <w:ind w:left="340" w:hanging="332"/>
        <w:spacing w:after="0" w:line="234"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analyzed the sublicense agreement to determine the terms that may have an impact on revenue recognition were identified and properly considered in the evaluation of the accounting for the contract.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measurement of completion of the identified performance obligation which included, among other procedures:</w:t>
      </w:r>
    </w:p>
    <w:p>
      <w:pPr>
        <w:spacing w:after="0" w:line="21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procedures over management’s revenue schedules for accuracy and completeness by agreeing data to the underlying agreement.</w:t>
      </w:r>
    </w:p>
    <w:p>
      <w:pPr>
        <w:spacing w:after="0" w:line="15" w:lineRule="exact"/>
        <w:rPr>
          <w:rFonts w:ascii="Times New Roman" w:cs="Times New Roman" w:eastAsia="Times New Roman" w:hAnsi="Times New Roman"/>
          <w:sz w:val="18"/>
          <w:szCs w:val="18"/>
          <w:color w:val="auto"/>
        </w:rPr>
      </w:pPr>
    </w:p>
    <w:p>
      <w:pPr>
        <w:ind w:left="980" w:hanging="324"/>
        <w:spacing w:after="0" w:line="234" w:lineRule="auto"/>
        <w:tabs>
          <w:tab w:leader="none" w:pos="99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manner in which the identified performance obligation was satisfied, and corroborated management estimates and judgments through a review of consistency with press releases and third-party data as a potential source of corroborating or contradictory evidence.</w:t>
      </w:r>
    </w:p>
    <w:p>
      <w:pPr>
        <w:spacing w:after="0" w:line="1" w:lineRule="exact"/>
        <w:rPr>
          <w:rFonts w:ascii="Times New Roman" w:cs="Times New Roman" w:eastAsia="Times New Roman" w:hAnsi="Times New Roman"/>
          <w:sz w:val="18"/>
          <w:szCs w:val="18"/>
          <w:color w:val="auto"/>
        </w:rPr>
      </w:pPr>
    </w:p>
    <w:p>
      <w:pPr>
        <w:ind w:left="980" w:hanging="324"/>
        <w:spacing w:after="0" w:line="234" w:lineRule="auto"/>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management’s judgments with the Company’s research and development personnel that oversee aspects of the license agreement.</w:t>
      </w:r>
    </w:p>
    <w:p>
      <w:pPr>
        <w:ind w:left="980" w:hanging="324"/>
        <w:spacing w:after="0"/>
        <w:tabs>
          <w:tab w:leader="none" w:pos="9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 sensitivity analysis on the inputs and assumptions used in the estimates and evaluated the impact of any subsequent events.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08"/>
        </w:trPr>
        <w:tc>
          <w:tcPr>
            <w:tcW w:w="1280" w:type="dxa"/>
            <w:vAlign w:val="bottom"/>
            <w:tcBorders>
              <w:top w:val="single" w:sz="8" w:color="0000FF"/>
            </w:tcBorders>
          </w:tcPr>
          <w:p>
            <w:pPr>
              <w:spacing w:after="0"/>
              <w:rPr>
                <w:sz w:val="24"/>
                <w:szCs w:val="24"/>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par value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35"/>
        </w:trPr>
        <w:tc>
          <w:tcPr>
            <w:tcW w:w="128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7"/>
        </w:trPr>
        <w:tc>
          <w:tcPr>
            <w:tcW w:w="1280" w:type="dxa"/>
            <w:vAlign w:val="bottom"/>
            <w:shd w:val="clear" w:color="auto" w:fill="CCEEFF"/>
          </w:tcPr>
          <w:p>
            <w:pPr>
              <w:spacing w:after="0"/>
              <w:rPr>
                <w:sz w:val="22"/>
                <w:szCs w:val="22"/>
                <w:color w:val="auto"/>
              </w:rPr>
            </w:pPr>
          </w:p>
        </w:tc>
        <w:tc>
          <w:tcPr>
            <w:tcW w:w="6780" w:type="dxa"/>
            <w:vAlign w:val="bottom"/>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57"/>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8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2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21,089</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50"/>
        </w:trPr>
        <w:tc>
          <w:tcPr>
            <w:tcW w:w="1280" w:type="dxa"/>
            <w:vAlign w:val="bottom"/>
          </w:tcPr>
          <w:p>
            <w:pPr>
              <w:spacing w:after="0"/>
              <w:rPr>
                <w:sz w:val="21"/>
                <w:szCs w:val="21"/>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Note payable</w:t>
            </w:r>
          </w:p>
        </w:tc>
        <w:tc>
          <w:tcPr>
            <w:tcW w:w="34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50"/>
        </w:trPr>
        <w:tc>
          <w:tcPr>
            <w:tcW w:w="80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57"/>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w:t>
            </w:r>
          </w:p>
        </w:tc>
      </w:tr>
      <w:tr>
        <w:trPr>
          <w:trHeight w:val="263"/>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8"/>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at March 31, 2024 and March 31, 2023; no</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8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outstanding at March 31, 2024 and March 31,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325,000,000 shares authorized at March 31, 2024 and March 31, 2023;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8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27,029,731 and 7,315,583 shares issued at March 31, 2024 and March 31, 2023, respectively</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474,441</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342,893</w:t>
            </w:r>
          </w:p>
        </w:tc>
      </w:tr>
      <w:tr>
        <w:trPr>
          <w:trHeight w:val="250"/>
        </w:trPr>
        <w:tc>
          <w:tcPr>
            <w:tcW w:w="8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March 31, 2024 and March 31, 2023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57"/>
        </w:trPr>
        <w:tc>
          <w:tcPr>
            <w:tcW w:w="8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(356,214)</w:t>
            </w:r>
          </w:p>
        </w:tc>
        <w:tc>
          <w:tcPr>
            <w:tcW w:w="2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(326,852)</w:t>
            </w:r>
          </w:p>
        </w:tc>
      </w:tr>
      <w:tr>
        <w:trPr>
          <w:trHeight w:val="250"/>
        </w:trPr>
        <w:tc>
          <w:tcPr>
            <w:tcW w:w="8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114,286</w:t>
            </w:r>
          </w:p>
        </w:tc>
        <w:tc>
          <w:tcPr>
            <w:tcW w:w="2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w:t>
            </w:r>
          </w:p>
        </w:tc>
      </w:tr>
      <w:tr>
        <w:trPr>
          <w:trHeight w:val="281"/>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123,653</w:t>
            </w: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73"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21590</wp:posOffset>
            </wp:positionV>
            <wp:extent cx="2117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Sublicense and other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56"/>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20,022</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w:t>
            </w:r>
          </w:p>
        </w:tc>
      </w:tr>
      <w:tr>
        <w:trPr>
          <w:trHeight w:val="250"/>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14,063</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14,664</w:t>
            </w:r>
          </w:p>
        </w:tc>
      </w:tr>
      <w:tr>
        <w:trPr>
          <w:trHeight w:val="250"/>
        </w:trPr>
        <w:tc>
          <w:tcPr>
            <w:tcW w:w="7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c>
          <w:tcPr>
            <w:tcW w:w="2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59,041</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(59,268)</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50"/>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57"/>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(59,242)</w:t>
            </w:r>
          </w:p>
        </w:tc>
      </w:tr>
      <w:tr>
        <w:trPr>
          <w:trHeight w:val="25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19,354,500</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6,958,749</w:t>
            </w:r>
          </w:p>
        </w:tc>
      </w:tr>
      <w:tr>
        <w:trPr>
          <w:trHeight w:val="20"/>
        </w:trPr>
        <w:tc>
          <w:tcPr>
            <w:tcW w:w="7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400" w:type="dxa"/>
            <w:vAlign w:val="bottom"/>
            <w:gridSpan w:val="4"/>
            <w:vMerge w:val="restart"/>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3"/>
                <w:szCs w:val="13"/>
                <w:color w:val="auto"/>
              </w:rPr>
            </w:pPr>
          </w:p>
        </w:tc>
        <w:tc>
          <w:tcPr>
            <w:tcW w:w="2400" w:type="dxa"/>
            <w:vAlign w:val="bottom"/>
            <w:tcBorders>
              <w:bottom w:val="single" w:sz="8" w:color="auto"/>
            </w:tcBorders>
            <w:gridSpan w:val="4"/>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3"/>
                <w:szCs w:val="13"/>
                <w:color w:val="auto"/>
              </w:rPr>
            </w:pPr>
          </w:p>
        </w:tc>
        <w:tc>
          <w:tcPr>
            <w:tcW w:w="10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11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1260" w:type="dxa"/>
            <w:vAlign w:val="bottom"/>
          </w:tcPr>
          <w:p>
            <w:pPr>
              <w:jc w:val="center"/>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2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6,889,400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336,281</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(267,604)</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64,716</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3,336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pursuant to 2019 Employee</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5,167</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6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(cashless)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options for</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fair value attributed to warrant modifications</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common stock issued for acquisition of</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Pherin Pharmaceuticals, Inc. as an asset acquisition,</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of registration expenses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413,670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3,031</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(59,248)</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7,315,583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342,893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(326,852)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12,080</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2,182</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common stock pursuant to 2019 Employee</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Purchase Plan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Open Market Sale</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Agreement, net of issuance costs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4,698,495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35,894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35,899</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and pre-funded warrants</w:t>
            </w: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through public offering, net of issuance costs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15,010,810</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93,464</w:t>
            </w: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93,479</w:t>
            </w:r>
          </w:p>
        </w:tc>
        <w:tc>
          <w:tcPr>
            <w:tcW w:w="0" w:type="dxa"/>
            <w:vAlign w:val="bottom"/>
          </w:tcPr>
          <w:p>
            <w:pPr>
              <w:spacing w:after="0"/>
              <w:rPr>
                <w:sz w:val="1"/>
                <w:szCs w:val="1"/>
                <w:color w:val="auto"/>
              </w:rPr>
            </w:pPr>
          </w:p>
        </w:tc>
      </w:tr>
      <w:tr>
        <w:trPr>
          <w:trHeight w:val="19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(29,362)</w:t>
            </w:r>
          </w:p>
        </w:tc>
        <w:tc>
          <w:tcPr>
            <w:tcW w:w="0" w:type="dxa"/>
            <w:vAlign w:val="bottom"/>
          </w:tcPr>
          <w:p>
            <w:pPr>
              <w:spacing w:after="0"/>
              <w:rPr>
                <w:sz w:val="1"/>
                <w:szCs w:val="1"/>
                <w:color w:val="auto"/>
              </w:rPr>
            </w:pPr>
          </w:p>
        </w:tc>
      </w:tr>
      <w:tr>
        <w:trPr>
          <w:trHeight w:val="23"/>
        </w:trPr>
        <w:tc>
          <w:tcPr>
            <w:tcW w:w="3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27,029,731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474,441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(3,968)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(356,214)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114,286</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50"/>
        </w:trPr>
        <w:tc>
          <w:tcPr>
            <w:tcW w:w="80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(29,362)</w:t>
            </w:r>
          </w:p>
        </w:tc>
        <w:tc>
          <w:tcPr>
            <w:tcW w:w="2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(59,248)</w:t>
            </w:r>
          </w:p>
        </w:tc>
      </w:tr>
      <w:tr>
        <w:trPr>
          <w:trHeight w:val="26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Expense related to acquisition of Pherin Pharmaceuticals, Inc. recorded as an asset acquisition</w:t>
            </w:r>
          </w:p>
        </w:tc>
        <w:tc>
          <w:tcPr>
            <w:tcW w:w="3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Warrant modification expense</w:t>
            </w:r>
          </w:p>
        </w:tc>
        <w:tc>
          <w:tcPr>
            <w:tcW w:w="32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r>
      <w:tr>
        <w:trPr>
          <w:trHeight w:val="25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sublicense revenue, net of deferred contract acquisition costs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5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56"/>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(49,716)</w:t>
            </w:r>
          </w:p>
        </w:tc>
      </w:tr>
      <w:tr>
        <w:trPr>
          <w:trHeight w:val="216"/>
        </w:trPr>
        <w:tc>
          <w:tcPr>
            <w:tcW w:w="8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57"/>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used in acquisition of Pherin Pharmaceuticals, Inc. as an asset acquisition</w:t>
            </w:r>
          </w:p>
        </w:tc>
        <w:tc>
          <w:tcPr>
            <w:tcW w:w="3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50"/>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3"/>
        </w:trPr>
        <w:tc>
          <w:tcPr>
            <w:tcW w:w="8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proceeds from issuance of common stock, including option exercises</w:t>
            </w:r>
          </w:p>
        </w:tc>
        <w:tc>
          <w:tcPr>
            <w:tcW w:w="3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issuance of common stock and warrants, net of issuance costs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proceeds (expenses) from sale of common stock under Open Market Sale Agreement, net of deferred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8"/>
        </w:trPr>
        <w:tc>
          <w:tcPr>
            <w:tcW w:w="8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offering costs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50"/>
        </w:trPr>
        <w:tc>
          <w:tcPr>
            <w:tcW w:w="80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proceeds from sale of common stock under Employee Stock Purchase Plan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50"/>
        </w:trPr>
        <w:tc>
          <w:tcPr>
            <w:tcW w:w="8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128,402</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5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102,528</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(51,497)</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16,638</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68,135</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119,166</w:t>
            </w:r>
          </w:p>
        </w:tc>
        <w:tc>
          <w:tcPr>
            <w:tcW w:w="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premiums settled by issuing note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6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equipment included in 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common stock issued for acquisition of Pherin Pharmaceuticals, Inc.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9120" w:firstLine="8"/>
        <w:spacing w:after="0" w:line="464" w:lineRule="auto"/>
        <w:tabs>
          <w:tab w:leader="none" w:pos="315"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Overview</w:t>
      </w: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 Therapeutics, Inc., a Nevada corporation (Vistagen, the Company, we, our, or us), is a clinical-stage biopharmaceutical company pioneering neuroscience to deliver differentiated therapies for psychiatric and neurological disorders. The majority of our clinical-stage product candidates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Our clinical-stage neuroscience pipeline also includes an investigational oral prodrug candidate with the potential to inhibit, but not block, NMDA receptor activity. We are passionate about transforming what is possible in the treatment of anxiety, depression, and other neuroscience disorders.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Basis of Presentation, Principles of Consolidation and Summary of Significant Accounting Policies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(GAAP), and reflect the operations of Vistagen and our wholly owned subsidiaries. Any reference in these notes to applicable guidance is meant to refer to GAAP as found in the Accounting Standards Codification (ASC) and Accounting Standards Updates (ASU) promulgated by the Financial Accounting Standards Board (FASB). All material intercompany accounts and transactions have been eliminated in consolidation.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complete the development of our neuroscience product candidates and to build the sales, marketing and distribution infrastructure that we believe will be necessary to commercialize our product candidates, if approved, we will require substantial additional capital. Until we can generate a sufficient amount of revenue from the commercialization of our product candidates, we may seek to raise any necessary additional capital through equity or debt and equity financings, loans or other capital sources, which could include income from collaborations, partnerships or other marketing, distribution, licensing or other strategic arrangements with third parties, or from grants. Because of the numerous risks and uncertainties associated with research, development and commercialization of our product candidates, we are unable to estimate the exact amount and timing of our capital requirements. We do not expect to generate any meaningful revenue unless and until we obtain regulatory approval of and commercialize any of our product candidates, and we do not know when, or if, that will occur.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inception. As of March 31, 2024, we had an accumulated deficit of $356.2 million. We expect that our operating losses and negative cash flows will continue for the foreseeable future as we continue to develop our product candidates. We currently expect that our cash, and cash equivalents of $119.2 million as of March 31, 2024 will be sufficient to fund our operating expenses and capital requirements for at least 12 months from the date these audited consolidated financial statements are issued.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Significant estimates include, but are not limited to, those relating to stock-based compensation, revenue recognition, research and development expenses, determination of right-of-use assets under lease transactions and related lease obligations, and the assumptions used to value warrants. Although these estimates are based on our knowledge of current events and actions we may undertake in the future, actual results may materially differ from these estimates and assumptions.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 of cash and cash equivalents. We maintain deposits in federally insured financial institutions in excess of federally insured limits. We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not experienced any losses in such accounts, and management believes that we are not exposed to significant credit risk due to the nature of the instruments held in the depository institutions.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are considered to be highly liquid investments with maturities of three months or less at the date of purchase. Cash equivalents primarily represent funds invested in readily available money market accounts. As of March 31, 2024, we had cash and cash equivalents balances deposited at multiple major financial institutions.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and depreciated using the straight-line method over the estimated useful lives of the assets (generally three to ten years, or the remaining term of the 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long-lived assets, which consist of property and equipment, for impairment at least annually, or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we have not recorded any impairment losses on long-lived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Deferred offering costs include registration expenses related to our current registration statement on SEC Form S-3, which became effective on February 29, 2024, and expenses related to the Sales Agreement (as described in Note 8,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These expenses consist primarily of legal, accounting, SEC filing fees, and, as appropriate, Nasdaq filing fees. Upon the completion or partial completion of an applicable equity offering, the deferred expenses are charged to additional paid-in capital. If there are any deferred offering costs remaining at the expiration of our current registration statement on SEC Form S-3 or the equity financing agreement, or if the financing is abandoned, terminated or significantly delayed, such costs are charged to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ASC Topic 606, we recognize revenue when our customer obtains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 (i) identify the contract with a customer; (ii) identify the performance obligations in the contract;</w:t>
      </w:r>
    </w:p>
    <w:p>
      <w:pPr>
        <w:spacing w:after="0" w:line="1" w:lineRule="exact"/>
        <w:rPr>
          <w:sz w:val="20"/>
          <w:szCs w:val="20"/>
          <w:color w:val="auto"/>
        </w:rPr>
      </w:pPr>
    </w:p>
    <w:p>
      <w:pPr>
        <w:jc w:val="both"/>
        <w:ind w:firstLine="8"/>
        <w:spacing w:after="0" w:line="255" w:lineRule="auto"/>
        <w:tabs>
          <w:tab w:leader="none" w:pos="34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We then allocate the transaction price (that is,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 subject to the constraint on variable consideration. Variable consideration is not constrained if the potential reversal of cumulative revenue recognized at the contract level is not significant.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License Rights </w:t>
      </w:r>
      <w:r>
        <w:rPr>
          <w:rFonts w:ascii="Times New Roman" w:cs="Times New Roman" w:eastAsia="Times New Roman" w:hAnsi="Times New Roman"/>
          <w:sz w:val="18"/>
          <w:szCs w:val="18"/>
          <w:color w:val="auto"/>
        </w:rPr>
        <w:t>— If the license to our intellectual property (IP) is determined to be distinct from the other promises or performance obligations identified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arrangement, which generally include research and development services, we recognize revenue from non-refundable, upfront fees allocated to the license when the license is transferred to the customer and the customer is able to use and benefit from the license. In assessing whether a license is distinct from the other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promises, we consider relevant facts and circumstances of each arrangement, including the research and development capabilities of the collaboration partner and the availability of the associated expertise in the general marketplace. In addition, we consider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we utilize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 Our arrangements may provide a collaborator with the right to acquire additional goods or services in the future. If an arrangement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Any such adjustments to the transaction price are recorded on a cumulative catch-up basis, which would affect revenues and earnings in the period of adjustment. If the additional services are distinct, we evaluate the customer options for material rights, or options to acquire additional goods or services for free or at a discount. Material rights are recognized as a separate performance obligation at the inception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an arrangement that includes development milestone payments, we evaluate whether the milestones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likely to be achieved and estimate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our control, such as regulatory approvals, are not considered probable to be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For arrangements that include sales-based royalties, including milestone payments based on a level of sales, where the license is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licensing agreements.</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due to us for satisfying the revenue recognition criteria or that are contractually due based upon the terms of the collaboration agreements are recorded as accounts receivable on the consolidated balance sheets. Amounts received prior to satisfying the revenue recognition criteria are recorded as deferred revenue.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composed of both internal and external costs. Internal costs include salaries and employment-related expenses, including stock-based compensation expense, of scientific personnel and direct project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External research and development expenses consist primarily of costs associated with clinical and nonclinical development programs and are charged to expense as incurred.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record accruals for estimated ongoing clinical trial costs. Clinical trial costs primarily represent costs incurred by contract research organizations (CROs) and clinical trial sites. We analyze the progress of the clinical trial, including levels of subject enrollment, invoices received and contracted costs when evaluating the adequacy of accrued liabilities. In accruing for these services, we estimate the time period over which services will be performed and the level of effort to be expended in each period. These estimates are based on communications with the third-party service providers and our estimates of accrued expenses based on information available at each balance sheet date. If the actual timing of the performance of services or the level of effort varies from the estimate, we will adjust the accrual accordingly.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account for income taxes using the asset and liability approach promulgated by ASC 740</w:t>
      </w:r>
      <w:r>
        <w:rPr>
          <w:rFonts w:ascii="Times New Roman" w:cs="Times New Roman" w:eastAsia="Times New Roman" w:hAnsi="Times New Roman"/>
          <w:sz w:val="18"/>
          <w:szCs w:val="18"/>
          <w:i w:val="1"/>
          <w:iCs w:val="1"/>
          <w:color w:val="auto"/>
        </w:rPr>
        <w:t>, Income Taxes</w:t>
      </w:r>
      <w:r>
        <w:rPr>
          <w:rFonts w:ascii="Times New Roman" w:cs="Times New Roman" w:eastAsia="Times New Roman" w:hAnsi="Times New Roman"/>
          <w:sz w:val="18"/>
          <w:szCs w:val="18"/>
          <w:color w:val="auto"/>
        </w:rPr>
        <w:t>,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Uncertain tax positions, for which our assessment is that there is a more than 50% probability of sustaining the position upon challenge by a taxing authority based on its technical merits, are subject to certain recognition and measurement criteria. The nature of the uncertain tax positions is often very complex and subject to change, and the amounts at issue can be substantial. We develop our cumulative probability assessment of the measurement of uncertain tax positions using internal experience, judgment and assistance from our professional advisors. We re-evaluate these uncertain tax positions on a quarterly basis based on a number of factors including, but not limited to, changes in facts or circumstances, changes in tax law, and effectively settled issues under audit and new audit activity. Any change in these factors could result in the recognition of a tax benefit or an additional charge to the tax provision.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inception of a contractual agreement, we determine whether the contract is or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the implicit rate or a discount rate based on a credit-adjusted secured borrowing rate commensurate with the term of the lease. When determining the lease term, we include options to extend or terminate the lease when it is reasonably certain, at inception, that we will exercise that option. Additionally, we evaluate leases at their inception to determine if they are to be accounted for as an operating lease or a finance lease.</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lease assets represent our right to use an underlying asset for the lease term (Right-of-use assets) and operating lease liabilities represent our obligation to make lease payments arising from the lease. The lease payments used to determine our operating lease assets may include lease incentives, stated rent increases and escalation clauses linked to rates of inflation, when determinable, and are recognized in determining our Right-of-use assets.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Operating lease liabilities with a term greater than one year and their corresponding right-of-use assets are recognized on the balance sheets at the commencement date of the lease based on the present value of lease payments over the expected lease term. The Company excludes short-term leases, if any, having initial terms of 12 months or less at lease commencement as an accounting policy election. Variable lease payments are amounts owed by us to a lessor that are not fixed, such as reimbursement for common area maintenance costs for our facility lease; and are expensed when incurred. Operating right-of-use assets are reflected in right-of-use assets in the accompanying balance sheets. Operating lease liabilities are reflected in operating lease obligations, current and non-current in the accompanying balance sheets.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Financing leases, formerly referred to as capitalized leases, are treated similarly to operating leases except that the asset subject to the lease is included in the appropriate fixed asset category, rather than recorded as a Right-of-use asset, and depreciated over its estimated useful life, or lease term, if shorter.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Stock-based compensation is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and is measured at the grant date fair value for employee, officer, director and non-employee equity awards and is recognized over the requisite service period, which is generally the vesting period. The Company recognizes forfeitures as they occur. Stock-based compensation is classified in the Consolidated Statements of Operations and Comprehensive Loss in the same manner in which the recipient's payroll or fees are classified.</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fair value of stock options is estimated using a Black-Scholes valuation model on the date of grant. This method requires certain assumptions be used as inputs, such as the fair value of the underlying common stock, expected term of the option before exercise, expected volatility of our common stock, risk-free interest rate and expected dividend. Options granted have a maximum contractual term of ten years. We have limited historical stock option activity and therefore estimates the expected term of stock options granted using the simplified method, which represents the arithmetic average of the original contractual term of the stock option and its weighted-average vesting term. The expected volatility of stock options is estimated based on the average historical volatility of our own common stock. The risk-free interest rates used are based on the U.S. Treasury yield in effect at the time of grant for zero-coupon U.S. treasury notes with maturities approximately equal to the expected term of the stock options. We have historically not declared or paid any dividends and we do not currently expect to do so in the foreseeable future, and therefore have estimated the dividend yield to be zero.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recorded at fair value on a recurring basis in the balance sheets are categorized based upon the level of judgment associated with the inputs used to measure their fair values. Fair value is defined as the price we would receive to sell an investment in a timely transaction or pay to transfer a liability in a timely transaction with an independent buyer in the principal market, or in the absence of a principal market, the most advantageous market for the investment or liability. A framework is used for measuring fair value utilizing a three-tier hierarchy that prioritizes the inputs to valuation techniques used to measure fair value.</w:t>
      </w:r>
    </w:p>
    <w:p>
      <w:pPr>
        <w:spacing w:after="0" w:line="181"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that are accessible at the measurement date for identical assets or liabilities.</w:t>
      </w:r>
    </w:p>
    <w:p>
      <w:pPr>
        <w:spacing w:after="0" w:line="225" w:lineRule="exact"/>
        <w:rPr>
          <w:rFonts w:ascii="Times New Roman" w:cs="Times New Roman" w:eastAsia="Times New Roman" w:hAnsi="Times New Roman"/>
          <w:sz w:val="18"/>
          <w:szCs w:val="18"/>
          <w:color w:val="auto"/>
        </w:rPr>
      </w:pPr>
    </w:p>
    <w:p>
      <w:pPr>
        <w:ind w:left="660" w:right="580" w:hanging="328"/>
        <w:spacing w:after="0" w:line="284"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 inputs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either directly or indirectly, for substantially the full term of the asset or liability.</w:t>
      </w:r>
    </w:p>
    <w:p>
      <w:pPr>
        <w:spacing w:after="0" w:line="158" w:lineRule="exact"/>
        <w:rPr>
          <w:rFonts w:ascii="Times New Roman" w:cs="Times New Roman" w:eastAsia="Times New Roman" w:hAnsi="Times New Roman"/>
          <w:sz w:val="18"/>
          <w:szCs w:val="18"/>
          <w:color w:val="auto"/>
        </w:rPr>
      </w:pPr>
    </w:p>
    <w:p>
      <w:pPr>
        <w:ind w:left="660" w:right="720" w:hanging="328"/>
        <w:spacing w:after="0" w:line="284"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Equity Financing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evaluate the appropriate balance sheet classification of warrants we issue as either equity or as a derivative liability. In accordance with ASC 815-40, </w:t>
      </w:r>
      <w:r>
        <w:rPr>
          <w:rFonts w:ascii="Times New Roman" w:cs="Times New Roman" w:eastAsia="Times New Roman" w:hAnsi="Times New Roman"/>
          <w:sz w:val="18"/>
          <w:szCs w:val="18"/>
          <w:i w:val="1"/>
          <w:iCs w:val="1"/>
          <w:color w:val="auto"/>
        </w:rPr>
        <w:t>Derivatives and Hedging-Contracts in the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Own Equity </w:t>
      </w:r>
      <w:r>
        <w:rPr>
          <w:rFonts w:ascii="Times New Roman" w:cs="Times New Roman" w:eastAsia="Times New Roman" w:hAnsi="Times New Roman"/>
          <w:sz w:val="18"/>
          <w:szCs w:val="18"/>
          <w:color w:val="auto"/>
        </w:rPr>
        <w:t>(ASC 815-40), we classify a warrant as equity if it is “indexed to the Company’s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meets several specific conditions for equity classification. A warrant is not considered “indexed to the Company’s equity,” in general, when it contains certain types of exercise contingencies or potential adjustments to its exercise price. If a warrant is not indexed to the Company’s equity or it has net cash settlement provisions that result in the warrants being accounted for under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or ASC 815-40, it is classified as a derivative liability which is carried on the consolidated balance sheets at fair value with any changes in its fair value recognized immediately in the Statements of Operations and Comprehensive Loss. At March 31, 2024 and 2023 all of our outstanding warrants were classified as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components of other comprehensive loss other than net loss, and accordingly, our comprehensive loss is equivalent to our net loss for the periods presented.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calculate basic and diluted net loss per share attributable to common stockholders in conformity with the two-class method required for participating securities. Certain warrants participate in distributions of the Company. The Pre-Funded Warrants associated with the October 2023 Public Offering (see Note 8 below) are considered outstanding shares in the basic earnings per share calculation given their nominal exercise price. The net loss attributable to common stockholders is not allocated to the warrant holders as the holders of warrants do not have a contractual obligation to share in losses. Basic net loss per share is calculated by dividing the net loss by the weighted-average number of common shares outstanding for the period. Diluted net loss per share is computed by dividing the net loss by the weighted-average number of shares of common stock and common stock equivalents outstanding for the period. Common stock equivalents are only included when their effect is dilutive. The Company’s potentially dilutive securities, including outstanding warrants to purchase common stock and outstanding stock options under the Company’s equity incentive plan, have been excluded from the computation of diluted net loss per share as their inclusion would be anti-dilutive. For all periods presented, there is no difference in the number of shares used to calculate basic and diluted shares outstanding due to our net loss position.</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have been excluded from the calculation of diluted net loss per share because their inclusion would be anti-dilutive: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200"/>
        <w:spacing w:after="0" w:line="261" w:lineRule="auto"/>
        <w:rPr>
          <w:sz w:val="20"/>
          <w:szCs w:val="20"/>
          <w:color w:val="auto"/>
        </w:rPr>
      </w:pPr>
      <w:r>
        <w:rPr>
          <w:rFonts w:ascii="Times New Roman" w:cs="Times New Roman" w:eastAsia="Times New Roman" w:hAnsi="Times New Roman"/>
          <w:sz w:val="18"/>
          <w:szCs w:val="18"/>
          <w:color w:val="auto"/>
        </w:rPr>
        <w:t>Outstanding options under the Company's Amended and Restated 2016 (formerly 2008) Stock Incentive Plan and 2019 Omnibus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Outstanding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19685</wp:posOffset>
            </wp:positionV>
            <wp:extent cx="27432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6"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43" w:lineRule="exact"/>
        <w:rPr>
          <w:sz w:val="20"/>
          <w:szCs w:val="20"/>
          <w:color w:val="auto"/>
        </w:rPr>
      </w:pPr>
    </w:p>
    <w:p>
      <w:pPr>
        <w:jc w:val="both"/>
        <w:ind w:left="560"/>
        <w:spacing w:after="0"/>
        <w:tabs>
          <w:tab w:leader="none" w:pos="2880" w:val="left"/>
        </w:tabs>
        <w:rPr>
          <w:sz w:val="20"/>
          <w:szCs w:val="20"/>
          <w:color w:val="auto"/>
        </w:rPr>
      </w:pPr>
      <w:r>
        <w:rPr>
          <w:rFonts w:ascii="Times New Roman" w:cs="Times New Roman" w:eastAsia="Times New Roman" w:hAnsi="Times New Roman"/>
          <w:sz w:val="18"/>
          <w:szCs w:val="18"/>
          <w:color w:val="auto"/>
        </w:rPr>
        <w:t>815,357</w:t>
      </w:r>
      <w:r>
        <w:rPr>
          <w:sz w:val="20"/>
          <w:szCs w:val="20"/>
          <w:color w:val="auto"/>
        </w:rPr>
        <w:tab/>
      </w:r>
      <w:r>
        <w:rPr>
          <w:rFonts w:ascii="Times New Roman" w:cs="Times New Roman" w:eastAsia="Times New Roman" w:hAnsi="Times New Roman"/>
          <w:sz w:val="18"/>
          <w:szCs w:val="18"/>
          <w:color w:val="auto"/>
        </w:rPr>
        <w:t>702,545</w:t>
      </w:r>
    </w:p>
    <w:p>
      <w:pPr>
        <w:spacing w:after="0" w:line="36" w:lineRule="exact"/>
        <w:rPr>
          <w:sz w:val="20"/>
          <w:szCs w:val="20"/>
          <w:color w:val="auto"/>
        </w:rPr>
      </w:pPr>
    </w:p>
    <w:p>
      <w:pPr>
        <w:ind w:left="280"/>
        <w:spacing w:after="0"/>
        <w:tabs>
          <w:tab w:leader="none" w:pos="2920" w:val="left"/>
        </w:tabs>
        <w:rPr>
          <w:sz w:val="20"/>
          <w:szCs w:val="20"/>
          <w:color w:val="auto"/>
        </w:rPr>
      </w:pPr>
      <w:r>
        <w:rPr>
          <w:rFonts w:ascii="Times New Roman" w:cs="Times New Roman" w:eastAsia="Times New Roman" w:hAnsi="Times New Roman"/>
          <w:sz w:val="18"/>
          <w:szCs w:val="18"/>
          <w:color w:val="auto"/>
        </w:rPr>
        <w:t>20,604,794</w:t>
      </w:r>
      <w:r>
        <w:rPr>
          <w:sz w:val="20"/>
          <w:szCs w:val="20"/>
          <w:color w:val="auto"/>
        </w:rPr>
        <w:tab/>
      </w:r>
      <w:r>
        <w:rPr>
          <w:rFonts w:ascii="Times New Roman" w:cs="Times New Roman" w:eastAsia="Times New Roman" w:hAnsi="Times New Roman"/>
          <w:sz w:val="18"/>
          <w:szCs w:val="18"/>
          <w:color w:val="auto"/>
        </w:rPr>
        <w:t>45,685</w:t>
      </w:r>
    </w:p>
    <w:p>
      <w:pPr>
        <w:spacing w:after="0" w:line="50" w:lineRule="exact"/>
        <w:rPr>
          <w:sz w:val="20"/>
          <w:szCs w:val="20"/>
          <w:color w:val="auto"/>
        </w:rPr>
      </w:pPr>
    </w:p>
    <w:p>
      <w:pPr>
        <w:ind w:left="340"/>
        <w:spacing w:after="0"/>
        <w:tabs>
          <w:tab w:leader="none" w:pos="2880" w:val="left"/>
        </w:tabs>
        <w:rPr>
          <w:sz w:val="20"/>
          <w:szCs w:val="20"/>
          <w:color w:val="auto"/>
        </w:rPr>
      </w:pPr>
      <w:r>
        <w:rPr>
          <w:rFonts w:ascii="Times New Roman" w:cs="Times New Roman" w:eastAsia="Times New Roman" w:hAnsi="Times New Roman"/>
          <w:sz w:val="17"/>
          <w:szCs w:val="17"/>
          <w:color w:val="auto"/>
        </w:rPr>
        <w:t>21,420,151</w:t>
      </w:r>
      <w:r>
        <w:rPr>
          <w:sz w:val="20"/>
          <w:szCs w:val="20"/>
          <w:color w:val="auto"/>
        </w:rPr>
        <w:tab/>
      </w:r>
      <w:r>
        <w:rPr>
          <w:rFonts w:ascii="Times New Roman" w:cs="Times New Roman" w:eastAsia="Times New Roman" w:hAnsi="Times New Roman"/>
          <w:sz w:val="17"/>
          <w:szCs w:val="17"/>
          <w:color w:val="auto"/>
        </w:rPr>
        <w:t>748,230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59055</wp:posOffset>
            </wp:positionV>
            <wp:extent cx="27432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7020" w:space="720"/>
            <w:col w:w="3500"/>
          </w:cols>
          <w:pgMar w:left="320" w:top="337" w:right="339" w:bottom="1440" w:gutter="0" w:footer="0" w:header="0"/>
          <w:type w:val="continuous"/>
        </w:sectPr>
      </w:pPr>
    </w:p>
    <w:p>
      <w:pPr>
        <w:spacing w:after="0" w:line="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We manage our operations as a single reportable segment for the purposes of assessing performance and making operating decisions.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18"/>
          <w:szCs w:val="18"/>
          <w:i w:val="1"/>
          <w:iCs w:val="1"/>
          <w:color w:val="auto"/>
        </w:rPr>
        <w:t xml:space="preserve">Related Party Disclosures </w:t>
      </w:r>
      <w:r>
        <w:rPr>
          <w:rFonts w:ascii="Times New Roman" w:cs="Times New Roman" w:eastAsia="Times New Roman" w:hAnsi="Times New Roman"/>
          <w:sz w:val="18"/>
          <w:szCs w:val="18"/>
          <w:color w:val="auto"/>
        </w:rPr>
        <w:t>(ASC 850) requires that transactions with related parties that would make a difference in decision-making shall be disclosed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users of the financial statements can evaluate their significance.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Principles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w:t>
      </w:r>
      <w:r>
        <w:rPr>
          <w:rFonts w:ascii="Times New Roman" w:cs="Times New Roman" w:eastAsia="Times New Roman" w:hAnsi="Times New Roman"/>
          <w:sz w:val="18"/>
          <w:szCs w:val="18"/>
          <w:color w:val="auto"/>
        </w:rPr>
        <w:t>Topic 326</w:t>
      </w:r>
      <w:r>
        <w:rPr>
          <w:rFonts w:ascii="Times New Roman" w:cs="Times New Roman" w:eastAsia="Times New Roman" w:hAnsi="Times New Roman"/>
          <w:sz w:val="18"/>
          <w:szCs w:val="18"/>
          <w:i w:val="1"/>
          <w:iCs w:val="1"/>
          <w:color w:val="auto"/>
        </w:rPr>
        <w:t>): Measurement of Credit Losses on Financial Instruments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(ASU 2016-13) and also issued subsequent amendments to the initial guidance: ASU 2018-19, ASU 2019-04, ASU 2019-05, and ASU 2019-11. The standard amended the impairment model requiring that credit losses be reported using an expected losses model rather than the incurred losses model. For available-for-sale debt securities with expected credit losses, this standard requires allowances to be recorded instead of reducing the amortized cost of the investment. We adopted ASU 2016-13, and related updates, using modified retrospective approach on April 1, 2023. The adoption had an immaterial impact on our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Accounting Pronouncements Not Yet Adopted</w:t>
      </w:r>
    </w:p>
    <w:p>
      <w:pPr>
        <w:spacing w:after="0" w:line="22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requires disaggregated information about a reporting entity’s effective tax rate reconciliation as well as information on income taxes paid. ASU 2023-09 is effective for public entities with annual periods beginning after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2024, with early adoption permitted. We are currently evaluating the impact of this guidance on our financial statements.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there were several other new accounting pronouncements issued or proposed by the FASB, we do not believe any of those accounting pronouncements have had or will have a material impact on our financial position or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have certain financial assets that are measured at fair value on a recurring basis, which consist of cash equivalents held in money market funds. These assets, which are classified within Level 1 of the fair value hierarchy and are reflected as a component of cash and cash equivalents on the consolidated balance sheets, totaled $115.3 million and $5.0 million at March 31, 2024 and 2023, respectively. We had no financial liabilities measured at fair value on a recurring basis at March 31, 2024 or March 31,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3"/>
        </w:trPr>
        <w:tc>
          <w:tcPr>
            <w:tcW w:w="7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980" w:type="dxa"/>
            <w:vAlign w:val="bottom"/>
            <w:tcBorders>
              <w:bottom w:val="single" w:sz="8" w:color="auto"/>
            </w:tcBorders>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9"/>
        </w:trPr>
        <w:tc>
          <w:tcPr>
            <w:tcW w:w="7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Tenant improvements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30"/>
        </w:trPr>
        <w:tc>
          <w:tcPr>
            <w:tcW w:w="70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00" w:type="dxa"/>
            <w:vAlign w:val="bottom"/>
          </w:tcPr>
          <w:p>
            <w:pPr>
              <w:spacing w:after="0"/>
              <w:rPr>
                <w:sz w:val="19"/>
                <w:szCs w:val="19"/>
                <w:color w:val="auto"/>
              </w:rPr>
            </w:pPr>
          </w:p>
        </w:tc>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700" w:type="dxa"/>
            <w:vAlign w:val="bottom"/>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9"/>
        </w:trPr>
        <w:tc>
          <w:tcPr>
            <w:tcW w:w="700" w:type="dxa"/>
            <w:vAlign w:val="bottom"/>
          </w:tcPr>
          <w:p>
            <w:pPr>
              <w:spacing w:after="0"/>
              <w:rPr>
                <w:sz w:val="19"/>
                <w:szCs w:val="19"/>
                <w:color w:val="auto"/>
              </w:rPr>
            </w:pPr>
          </w:p>
        </w:tc>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48"/>
        </w:trPr>
        <w:tc>
          <w:tcPr>
            <w:tcW w:w="70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70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depreciation expense of $127,000 and $130,000 for the years ended March 31, 2024 and 2023, respectively.</w:t>
      </w:r>
    </w:p>
    <w:p>
      <w:pPr>
        <w:spacing w:after="0" w:line="221" w:lineRule="exact"/>
        <w:rPr>
          <w:sz w:val="20"/>
          <w:szCs w:val="20"/>
          <w:color w:val="auto"/>
        </w:rPr>
      </w:pPr>
    </w:p>
    <w:p>
      <w:pPr>
        <w:ind w:right="9960" w:firstLine="8"/>
        <w:spacing w:after="0" w:line="503" w:lineRule="auto"/>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Operating Lease</w:t>
      </w: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single lease for our headquarters, which includes office and laboratory space, in South San Francisco, California. The lease commenced in April 2013, and was subsequently amended in 2016 to extend the lease term to July 31, 2022, and included one five-year extension option. For the purpose of determining the right-of-use asset and associated lease liability, we determined that we would likely exercise the five-year extension option through July 2027. On October 14, 2021, we entered into an amendment to the lease (the Lease Amendment), pursuant to which the term of the lease was extended from August 1, 2022 to July 31, 2027. Under the terms of the Lease Amendment, we have the option to renew the lease for an additional five-year term commencing on August 1, 2027. We did not include the remaining renewal option in determining the lease term, as we were not reasonably certain to exercise either renewal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operating lease costs in our consolidated statements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 Ended</w:t>
      </w:r>
    </w:p>
    <w:p>
      <w:pPr>
        <w:ind w:left="8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650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8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0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080" w:type="dxa"/>
            <w:vAlign w:val="bottom"/>
            <w:tcBorders>
              <w:bottom w:val="single" w:sz="8" w:color="CCEEFF"/>
            </w:tcBorders>
            <w:gridSpan w:val="2"/>
            <w:shd w:val="clear" w:color="auto" w:fill="CCEEFF"/>
          </w:tcPr>
          <w:p>
            <w:pPr>
              <w:jc w:val="right"/>
              <w:ind w:right="5650"/>
              <w:spacing w:after="0"/>
              <w:rPr>
                <w:sz w:val="20"/>
                <w:szCs w:val="20"/>
                <w:color w:val="auto"/>
              </w:rPr>
            </w:pPr>
            <w:r>
              <w:rPr>
                <w:rFonts w:ascii="Times New Roman" w:cs="Times New Roman" w:eastAsia="Times New Roman" w:hAnsi="Times New Roman"/>
                <w:sz w:val="18"/>
                <w:szCs w:val="18"/>
                <w:color w:val="auto"/>
              </w:rPr>
              <w:t>Total lease cost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w w:val="99"/>
              </w:rPr>
              <w:t>Maturities of lease liabilities as of March 31, 2024 were as follows (in thousands):</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6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March 31,</w:t>
            </w: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tcBorders>
              <w:top w:val="single" w:sz="8" w:color="CCEEFF"/>
            </w:tcBorders>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jc w:val="right"/>
              <w:ind w:right="577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20" w:type="dxa"/>
            <w:vAlign w:val="bottom"/>
            <w:gridSpan w:val="2"/>
          </w:tcPr>
          <w:p>
            <w:pPr>
              <w:spacing w:after="0"/>
              <w:rPr>
                <w:sz w:val="22"/>
                <w:szCs w:val="22"/>
                <w:color w:val="auto"/>
              </w:rPr>
            </w:pPr>
          </w:p>
        </w:tc>
        <w:tc>
          <w:tcPr>
            <w:tcW w:w="6500" w:type="dxa"/>
            <w:vAlign w:val="bottom"/>
            <w:shd w:val="clear" w:color="auto" w:fill="CCEEFF"/>
          </w:tcPr>
          <w:p>
            <w:pPr>
              <w:jc w:val="right"/>
              <w:ind w:right="5770"/>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20" w:type="dxa"/>
            <w:vAlign w:val="bottom"/>
            <w:gridSpan w:val="3"/>
          </w:tcPr>
          <w:p>
            <w:pPr>
              <w:jc w:val="right"/>
              <w:ind w:right="5770"/>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0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 current portion</w:t>
            </w:r>
          </w:p>
        </w:tc>
        <w:tc>
          <w:tcPr>
            <w:tcW w:w="10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10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had a remaining term of 3.3 years and 4.3 years as of March 31, 2024 and 2023, respectively. The lease liability was calculated based on a weighted-average discount rate of 8.54% as of March 31, 2024 and 2023. During the years ended March 31, 2024 and 2023, we made cash payments for amounts included in the measurement of lease liabilities of $0.7 million and $0.9 million,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composed of the following (in thousands):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3"/>
        </w:trPr>
        <w:tc>
          <w:tcPr>
            <w:tcW w:w="3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1040" w:type="dxa"/>
            <w:vAlign w:val="bottom"/>
            <w:tcBorders>
              <w:bottom w:val="single" w:sz="8" w:color="auto"/>
            </w:tcBorders>
          </w:tcPr>
          <w:p>
            <w:pPr>
              <w:spacing w:after="0"/>
              <w:rPr>
                <w:sz w:val="24"/>
                <w:szCs w:val="24"/>
                <w:color w:val="auto"/>
              </w:rPr>
            </w:pPr>
          </w:p>
        </w:tc>
      </w:tr>
      <w:tr>
        <w:trPr>
          <w:trHeight w:val="250"/>
        </w:trPr>
        <w:tc>
          <w:tcPr>
            <w:tcW w:w="380" w:type="dxa"/>
            <w:vAlign w:val="bottom"/>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380" w:type="dxa"/>
            <w:vAlign w:val="bottom"/>
          </w:tcPr>
          <w:p>
            <w:pPr>
              <w:spacing w:after="0"/>
              <w:rPr>
                <w:sz w:val="22"/>
                <w:szCs w:val="22"/>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50"/>
        </w:trPr>
        <w:tc>
          <w:tcPr>
            <w:tcW w:w="380" w:type="dxa"/>
            <w:vAlign w:val="bottom"/>
          </w:tcPr>
          <w:p>
            <w:pPr>
              <w:spacing w:after="0"/>
              <w:rPr>
                <w:sz w:val="21"/>
                <w:szCs w:val="21"/>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and non-employee director compensation costs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1,619</w:t>
            </w: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63"/>
        </w:trPr>
        <w:tc>
          <w:tcPr>
            <w:tcW w:w="380" w:type="dxa"/>
            <w:vAlign w:val="bottom"/>
          </w:tcPr>
          <w:p>
            <w:pPr>
              <w:spacing w:after="0"/>
              <w:rPr>
                <w:sz w:val="22"/>
                <w:szCs w:val="22"/>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and professional service fees</w:t>
            </w:r>
          </w:p>
        </w:tc>
        <w:tc>
          <w:tcPr>
            <w:tcW w:w="9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0"/>
        </w:trPr>
        <w:tc>
          <w:tcPr>
            <w:tcW w:w="380" w:type="dxa"/>
            <w:vAlign w:val="bottom"/>
          </w:tcPr>
          <w:p>
            <w:pPr>
              <w:spacing w:after="0"/>
              <w:rPr>
                <w:sz w:val="21"/>
                <w:szCs w:val="21"/>
                <w:color w:val="auto"/>
              </w:rPr>
            </w:pPr>
          </w:p>
        </w:tc>
        <w:tc>
          <w:tcPr>
            <w:tcW w:w="6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1"/>
        </w:trPr>
        <w:tc>
          <w:tcPr>
            <w:tcW w:w="380" w:type="dxa"/>
            <w:vAlign w:val="bottom"/>
          </w:tcPr>
          <w:p>
            <w:pPr>
              <w:spacing w:after="0"/>
              <w:rPr>
                <w:sz w:val="24"/>
                <w:szCs w:val="24"/>
                <w:color w:val="auto"/>
              </w:rPr>
            </w:pPr>
          </w:p>
        </w:tc>
        <w:tc>
          <w:tcPr>
            <w:tcW w:w="6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2,235</w:t>
            </w:r>
          </w:p>
        </w:tc>
        <w:tc>
          <w:tcPr>
            <w:tcW w:w="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380" w:type="dxa"/>
            <w:vAlign w:val="bottom"/>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2023, we executed a 7.43% promissory note in the principal amount of $0.9 million in connection with certain insurance policy renewal premiums. The note was payable in monthly installments of $0.1 million, including principal and interest, through February 2024. We paid this note in full in August 2023.</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we executed a 3.88% promissory note in the principal amount of $1.1 million in connection with certain insurance policy premiums. The note was payable in monthly installments of $0.1 million, including principal and interest, and we paid this note in full in April 2023.</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9960" w:firstLine="8"/>
        <w:spacing w:after="0" w:line="500" w:lineRule="auto"/>
        <w:tabs>
          <w:tab w:leader="none" w:pos="225"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Common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October 2023 Public Offering</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October 2, 2023, we completed an underwritten public offering (the October 2023 Public Offering), whereby we offered and sold, for gross proceeds of approximately $100,000,000, a total of 15,010,810 shares of our common stock and, to certain investors, 3,577,240 pre-funded warrants to purchase up to 3,577,240 shares of common stock in lieu of shares of common stock (the Pre-Funded Warrants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Each share of common stock and/or Pre-Funded Warrant was issued together with a ratably allocated portion of both warrants to purchase up to 9,294,022 shares of common stock (or pre-funded warrants to purchase up to 9,294,022 shares of common stock in lieu thereof) with an exercise price of $5.38 per share (the T1 Warrants) and warrants to purchase 11,265,086 shares of common stock (or pre-funded warrants to purchase up to 11,265,086 shares of common stock in lieu thereof) with an exercise price of $8.877 per share (the T2 Warrants). The combined offering price for each share of common stock, accompanying T1 Warrant and accompanying T2 Warrant was $5.38. The combined offering price per Pre-Funded Warrant, accompanying T1 Warrant and accompanying T2 Warrant was $5.379. The securities were issued pursuant to our effective shelf registration statement on Form S-3 (File No. 333-254299) and a related prospectus supplement filed with the SEC on October 3, 2023. The October 2023 Public Offering closed on October 4, 2023. The net proceeds to us from the October 2023 Public Offering were approximately $93.5 million, after deducting expenses related to the offering, including commissions, legal expenses and other offering costs.</w:t>
      </w:r>
    </w:p>
    <w:p>
      <w:pPr>
        <w:spacing w:after="0" w:line="2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Pre-Funded Warrants, T1 Warrants and T2 Warrants are exercisable, only at the option of the holder, at any time after October 4, 2023. Holders of Pre-Funded Warrants, T1 Warrants, and T2 Warrants are entitled to receive dividends, if declared, on an as-if-converted-to-common-stock basis, and in the same form as dividends actually paid on shares of the common stock. We may not effect the exercise of any Pre-Funded, T1 Warrant, or T2 Warrant, and a holder will not be entitled to exercise any portion of any Pre-Funded, T1 or T2 Warrant, which, upon giving effect to such exercise, would cause the aggregate number of shares of common stock beneficially owned by the holder of such warrant (together with its affiliates) to exceed 9.99% of the number of shares of common stock outstanding immediately after giving effect to the exercise. However, any holder may increase or decrease such percentage to any other percentage (not to exceed 19.99% if exceeding such percentage would result in a change of control under Nasdaq Listing Rule 5636(b) or any successor rule) upon at least 61 days’ prior notice from the holder to us subject to the terms of the respective warrant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evaluated the terms of the warrants issued and determined that they should be classified as equity instruments within additional paid-in capital.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3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May 2021,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(the Sales Agreement) with Jefferies LLC, as sales agent (Jefferies), with respect to an at-the-market offering program (the ATM) under which we may, at our sole discretion, offer and sell, from time to time, shares of our common stock having an aggregate offering price of up to $75.0 million (the Shares) through Jefferies. We will pay Jefferies a commission of up to three percent (3.0%) of the aggregate gross proceeds from any sales of the Shares under the Sales Agreement. If and when we direct Jefferies to offer and sell Shares under the Sales Agreement,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our common stock. In addition, with our consent, Jefferies may sell the Shares in negotiated transactions. Under certain circumstances, we may instruct Jefferies not to sell the Shares if the sales cannot be effected at or above the price we may designate from time to time. Pursuant to our registration statement on SEC Form S-3, filed on February 13, 2024 and declared effective on February 29, 2024, we may now, at our option, offer and sell, from time to time, shares of our common stock having an aggregate offering price of up to $100.0 million through Jefferies as our sales agent.</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March 31, 2024 and 2023, we sold an aggregate of 4,698,495 and no shares, respectively, under the Sales Agreement, for net proceeds of $36.2 million and $0, respectively. As of March 31, 2024, $100.0 million of common stock remained available for sale under the Sales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transactions under the Sales Agreement on a settlement date basis. All legal fees and accounting expenses incurred in connection with the Sales Agreement are recorded as Deferred Offering Costs and are amortized to Additional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Paid-in Capital as sales of shares are made under the Sales Agreement. With execution of the Sales Agreement and subsequent amendment, we incurred legal fees and accounting expenses aggregating approximately $0.8 million, of which approximately $0.3 million and $0 were amortized to additional paid-in capital during the year ending March 31, 2024 and 2023, respectively. The Sales Agreement will terminate upon the earlier of (i) the sale of all shares subject to the Sales Agreement or (ii) the termination of the Sales Agreement by Jefferies or by us, as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 Expirations and Modifications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warrant exercises during the years ended March 31, 2024 and 2023. Warrants to purchase 263,510 shares of our common stock at a weighted average exercise price of $48.94 per share expired unexercised during the year ended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following common stock warrants were outstanding: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 common shares</w:t>
            </w:r>
          </w:p>
        </w:tc>
        <w:tc>
          <w:tcPr>
            <w:tcW w:w="2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r>
      <w:tr>
        <w:trPr>
          <w:trHeight w:val="241"/>
        </w:trPr>
        <w:tc>
          <w:tcPr>
            <w:tcW w:w="3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underlying warrants</w:t>
            </w:r>
          </w:p>
        </w:tc>
        <w:tc>
          <w:tcPr>
            <w:tcW w:w="27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r>
      <w:tr>
        <w:trPr>
          <w:trHeight w:val="225"/>
        </w:trPr>
        <w:tc>
          <w:tcPr>
            <w:tcW w:w="3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22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ind w:right="2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top w:val="single" w:sz="8" w:color="CCEEFF"/>
            </w:tcBorders>
            <w:shd w:val="clear" w:color="auto" w:fill="CCEEFF"/>
          </w:tcPr>
          <w:p>
            <w:pPr>
              <w:spacing w:after="0"/>
              <w:rPr>
                <w:sz w:val="19"/>
                <w:szCs w:val="19"/>
                <w:color w:val="auto"/>
              </w:rPr>
            </w:pPr>
          </w:p>
        </w:tc>
        <w:tc>
          <w:tcPr>
            <w:tcW w:w="3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12/9/2024</w:t>
            </w:r>
          </w:p>
        </w:tc>
      </w:tr>
      <w:tr>
        <w:trPr>
          <w:trHeight w:val="230"/>
        </w:trPr>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w:t>
            </w:r>
          </w:p>
        </w:tc>
        <w:tc>
          <w:tcPr>
            <w:tcW w:w="220" w:type="dxa"/>
            <w:vAlign w:val="bottom"/>
          </w:tcPr>
          <w:p>
            <w:pPr>
              <w:spacing w:after="0"/>
              <w:rPr>
                <w:sz w:val="19"/>
                <w:szCs w:val="19"/>
                <w:color w:val="auto"/>
              </w:rPr>
            </w:pPr>
          </w:p>
        </w:tc>
        <w:tc>
          <w:tcPr>
            <w:tcW w:w="278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r>
      <w:tr>
        <w:trPr>
          <w:trHeight w:val="229"/>
        </w:trPr>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3,577,240</w:t>
            </w:r>
          </w:p>
        </w:tc>
        <w:tc>
          <w:tcPr>
            <w:tcW w:w="220" w:type="dxa"/>
            <w:vAlign w:val="bottom"/>
            <w:shd w:val="clear" w:color="auto" w:fill="CCEEFF"/>
          </w:tcPr>
          <w:p>
            <w:pPr>
              <w:spacing w:after="0"/>
              <w:rPr>
                <w:sz w:val="19"/>
                <w:szCs w:val="19"/>
                <w:color w:val="auto"/>
              </w:rPr>
            </w:pPr>
          </w:p>
        </w:tc>
        <w:tc>
          <w:tcPr>
            <w:tcW w:w="2780" w:type="dxa"/>
            <w:vAlign w:val="bottom"/>
            <w:shd w:val="clear" w:color="auto" w:fill="CCEEFF"/>
          </w:tcPr>
          <w:p>
            <w:pPr>
              <w:jc w:val="right"/>
              <w:ind w:right="2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220" w:type="dxa"/>
            <w:vAlign w:val="bottom"/>
            <w:shd w:val="clear" w:color="auto" w:fill="CCEEFF"/>
          </w:tcPr>
          <w:p>
            <w:pPr>
              <w:spacing w:after="0"/>
              <w:rPr>
                <w:sz w:val="19"/>
                <w:szCs w:val="19"/>
                <w:color w:val="auto"/>
              </w:rPr>
            </w:pP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30"/>
        </w:trPr>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9,294,022</w:t>
            </w:r>
          </w:p>
        </w:tc>
        <w:tc>
          <w:tcPr>
            <w:tcW w:w="220" w:type="dxa"/>
            <w:vAlign w:val="bottom"/>
          </w:tcPr>
          <w:p>
            <w:pPr>
              <w:spacing w:after="0"/>
              <w:rPr>
                <w:sz w:val="19"/>
                <w:szCs w:val="19"/>
                <w:color w:val="auto"/>
              </w:rPr>
            </w:pPr>
          </w:p>
        </w:tc>
        <w:tc>
          <w:tcPr>
            <w:tcW w:w="2780" w:type="dxa"/>
            <w:vAlign w:val="bottom"/>
          </w:tcPr>
          <w:p>
            <w:pPr>
              <w:jc w:val="right"/>
              <w:ind w:right="2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29"/>
        </w:trPr>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11,265,086</w:t>
            </w:r>
          </w:p>
        </w:tc>
        <w:tc>
          <w:tcPr>
            <w:tcW w:w="220" w:type="dxa"/>
            <w:vAlign w:val="bottom"/>
            <w:shd w:val="clear" w:color="auto" w:fill="CCEEFF"/>
          </w:tcPr>
          <w:p>
            <w:pPr>
              <w:spacing w:after="0"/>
              <w:rPr>
                <w:sz w:val="19"/>
                <w:szCs w:val="19"/>
                <w:color w:val="auto"/>
              </w:rPr>
            </w:pPr>
          </w:p>
        </w:tc>
        <w:tc>
          <w:tcPr>
            <w:tcW w:w="2780" w:type="dxa"/>
            <w:vAlign w:val="bottom"/>
            <w:shd w:val="clear" w:color="auto" w:fill="CCEEFF"/>
          </w:tcPr>
          <w:p>
            <w:pPr>
              <w:jc w:val="right"/>
              <w:ind w:right="25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20" w:type="dxa"/>
            <w:vAlign w:val="bottom"/>
            <w:shd w:val="clear" w:color="auto" w:fill="CCEEFF"/>
          </w:tcPr>
          <w:p>
            <w:pPr>
              <w:spacing w:after="0"/>
              <w:rPr>
                <w:sz w:val="19"/>
                <w:szCs w:val="19"/>
                <w:color w:val="auto"/>
              </w:rPr>
            </w:pPr>
          </w:p>
        </w:tc>
        <w:tc>
          <w:tcPr>
            <w:tcW w:w="3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10/4/2028</w:t>
            </w:r>
          </w:p>
        </w:tc>
      </w:tr>
    </w:tbl>
    <w:p>
      <w:pPr>
        <w:spacing w:after="0" w:line="193" w:lineRule="exact"/>
        <w:rPr>
          <w:sz w:val="20"/>
          <w:szCs w:val="20"/>
          <w:color w:val="auto"/>
        </w:rPr>
      </w:pPr>
    </w:p>
    <w:p>
      <w:pPr>
        <w:jc w:val="both"/>
        <w:ind w:left="660" w:hanging="4"/>
        <w:spacing w:after="0" w:line="281" w:lineRule="auto"/>
        <w:tabs>
          <w:tab w:leader="none" w:pos="861"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will expire 60 days after the later of (i) the date on which the Company first publicly discloses, whether by press release or Form 8-K filing, the top-line data for its PALISADE-3 Phase 3 clinical trial of fasedienol for the acute treatment of anxiety in adults with SAD and (ii) the date on which the Company first publicly discloses, whether by press release or Form 8-K filing, the top-line data for its PALISADE-4 Phase 3 clinical trial of fasedienol for the acute treatment of anxiety in adults with SAD.</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exercise price of all outstanding warrants at March 31, 2024 is $6.24 per share. No outstanding warrant is subject to any down-round anti-dilution protection feature. All outstanding warrants are exercisable by the holders only by payment in cash of the stated exercise price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Reserved Shares</w:t>
            </w: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had the following shares of common stock reserved for future issuance:</w:t>
            </w: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40" w:type="dxa"/>
            <w:vAlign w:val="bottom"/>
          </w:tcPr>
          <w:p>
            <w:pPr>
              <w:spacing w:after="0"/>
              <w:rPr>
                <w:sz w:val="24"/>
                <w:szCs w:val="24"/>
                <w:color w:val="auto"/>
              </w:rPr>
            </w:pPr>
          </w:p>
        </w:tc>
        <w:tc>
          <w:tcPr>
            <w:tcW w:w="326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23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64"/>
        </w:trPr>
        <w:tc>
          <w:tcPr>
            <w:tcW w:w="6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Issuance of common stock upon exercise of outstanding stock options under the Amended</w:t>
            </w:r>
          </w:p>
        </w:tc>
        <w:tc>
          <w:tcPr>
            <w:tcW w:w="2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6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and Restated 2016 Stock Incentive Plan and the Amended and Restated 2019 Omnibus</w:t>
            </w:r>
          </w:p>
        </w:tc>
        <w:tc>
          <w:tcPr>
            <w:tcW w:w="2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702,545</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Incentive Plan</w:t>
            </w:r>
          </w:p>
        </w:tc>
        <w:tc>
          <w:tcPr>
            <w:tcW w:w="23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outstanding warrants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44,741,142</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45,685</w:t>
            </w:r>
          </w:p>
        </w:tc>
        <w:tc>
          <w:tcPr>
            <w:tcW w:w="0" w:type="dxa"/>
            <w:vAlign w:val="bottom"/>
          </w:tcPr>
          <w:p>
            <w:pPr>
              <w:spacing w:after="0"/>
              <w:rPr>
                <w:sz w:val="1"/>
                <w:szCs w:val="1"/>
                <w:color w:val="auto"/>
              </w:rPr>
            </w:pPr>
          </w:p>
        </w:tc>
      </w:tr>
      <w:tr>
        <w:trPr>
          <w:trHeight w:val="184"/>
        </w:trPr>
        <w:tc>
          <w:tcPr>
            <w:tcW w:w="6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awards available under the Amended and Restated 2019 Omnibus Equity</w:t>
            </w:r>
          </w:p>
        </w:tc>
        <w:tc>
          <w:tcPr>
            <w:tcW w:w="2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466,438</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179,260</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2019 Employee Stock Purchase Plan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19,480</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24,322</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under the Sales Agreement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29,060,003</w:t>
            </w:r>
          </w:p>
        </w:tc>
        <w:tc>
          <w:tcPr>
            <w:tcW w:w="2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858,498</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75,102,420</w:t>
            </w:r>
          </w:p>
        </w:tc>
        <w:tc>
          <w:tcPr>
            <w:tcW w:w="2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1,810,310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we have 222,872,371 authorized shares of our common stock not subject to reserves and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900" w:firstLine="8"/>
        <w:spacing w:after="0" w:line="502" w:lineRule="auto"/>
        <w:tabs>
          <w:tab w:leader="none" w:pos="225"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Equity Incentive Plans</w:t>
      </w:r>
    </w:p>
    <w:p>
      <w:pPr>
        <w:spacing w:after="0"/>
        <w:rPr>
          <w:sz w:val="20"/>
          <w:szCs w:val="20"/>
          <w:color w:val="auto"/>
        </w:rPr>
      </w:pPr>
      <w:r>
        <w:rPr>
          <w:rFonts w:ascii="Times New Roman" w:cs="Times New Roman" w:eastAsia="Times New Roman" w:hAnsi="Times New Roman"/>
          <w:sz w:val="18"/>
          <w:szCs w:val="18"/>
          <w:i w:val="1"/>
          <w:iCs w:val="1"/>
          <w:color w:val="auto"/>
        </w:rPr>
        <w:t>2016 Equity Incentive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2016 Stock Incentive Plan (the 2016 Plan) provided for the grant of stock options, restricted shares of common stock, stock appreciation rights and dividend equivalent rights to employees, officers, members of the board of directors, consultants and advisors of the Company. Upon the adoption of our 2019 Plan, no further grants were permissible under the 2016 Plan and 46,280 authorized shares were transferred to the 2019 Plan and became issuable therefrom. Any options or awards outstanding under the 2016 Plan remained outstanding and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approved the Vistagen Therapeutics, Inc. 2019 Omnibus Equity Incentive Plan (the 2019 Plan) on May 27, 2019, and our stockholders adopted it and ratified all previously issued grants on September 5, 2019. The 2019 Plan provides for the grant of stock options, stock appreciation rights, restricted stock, restricted stock units and other stock-based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2021, our Board approved and, at our Annual Meeting of Stockholders on September 17, 2021, our stockholders approved certain amendments to the 2019 Plan (Amended 2019 Plan). Upon approval of the Amended 2019 Plan by our stockholders, the total number of shares authorized to be issued under the 2019 Plan increased to 600,000 shares.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there were 466,438 registered shares of our common stock remaining available for grant under the Amended 2019 Plan. On April 3, 2024, the Company granted 436,000 options to employees with a weighted average exercise price of $5.38.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Awards granted under the Company’s equity plans expire no later than 10 years from the date of grant. Options and restricted stock granted to employees typically vest over a four-year period but may have been granted with different vesting terms.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year ended March 31, 2024 is as follows (in thousands, except share and per share data and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3"/>
            <w:vMerge w:val="continue"/>
          </w:tcPr>
          <w:p>
            <w:pPr>
              <w:spacing w:after="0"/>
              <w:rPr>
                <w:sz w:val="15"/>
                <w:szCs w:val="15"/>
                <w:color w:val="auto"/>
              </w:rPr>
            </w:pPr>
          </w:p>
        </w:tc>
        <w:tc>
          <w:tcPr>
            <w:tcW w:w="1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16"/>
                <w:szCs w:val="16"/>
                <w:color w:val="auto"/>
              </w:rPr>
            </w:pPr>
          </w:p>
        </w:tc>
        <w:tc>
          <w:tcPr>
            <w:tcW w:w="13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16"/>
                <w:szCs w:val="16"/>
                <w:color w:val="auto"/>
              </w:rPr>
            </w:pPr>
          </w:p>
        </w:tc>
        <w:tc>
          <w:tcPr>
            <w:tcW w:w="178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340" w:type="dxa"/>
            <w:vAlign w:val="bottom"/>
          </w:tcPr>
          <w:p>
            <w:pPr>
              <w:spacing w:after="0"/>
              <w:rPr>
                <w:sz w:val="19"/>
                <w:szCs w:val="19"/>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702,691</w:t>
            </w:r>
          </w:p>
        </w:tc>
        <w:tc>
          <w:tcPr>
            <w:tcW w:w="2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c>
          <w:tcPr>
            <w:tcW w:w="2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116,666</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815,357</w:t>
            </w:r>
          </w:p>
        </w:tc>
        <w:tc>
          <w:tcPr>
            <w:tcW w:w="126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609,986</w:t>
            </w:r>
          </w:p>
        </w:tc>
        <w:tc>
          <w:tcPr>
            <w:tcW w:w="1260" w:type="dxa"/>
            <w:vAlign w:val="bottom"/>
            <w:tcBorders>
              <w:bottom w:val="single" w:sz="8" w:color="CCEEFF"/>
            </w:tcBorders>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 2024</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815,357</w:t>
            </w:r>
          </w:p>
        </w:tc>
        <w:tc>
          <w:tcPr>
            <w:tcW w:w="1260" w:type="dxa"/>
            <w:vAlign w:val="bottom"/>
            <w:gridSpan w:val="2"/>
          </w:tcPr>
          <w:p>
            <w:pPr>
              <w:jc w:val="right"/>
              <w:ind w:right="8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33.07</w:t>
            </w:r>
          </w:p>
        </w:tc>
        <w:tc>
          <w:tcPr>
            <w:tcW w:w="24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stock options was estimated using the following assumptions (excluding option modifications):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term (years)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176.6%</w:t>
            </w:r>
          </w:p>
        </w:tc>
        <w:tc>
          <w:tcPr>
            <w:tcW w:w="30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79.1% - 191.7%</w:t>
            </w:r>
          </w:p>
        </w:tc>
      </w:tr>
      <w:tr>
        <w:trPr>
          <w:trHeight w:val="257"/>
        </w:trPr>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yield</w:t>
            </w:r>
          </w:p>
        </w:tc>
        <w:tc>
          <w:tcPr>
            <w:tcW w:w="124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spacing w:after="0"/>
              <w:rPr>
                <w:sz w:val="22"/>
                <w:szCs w:val="22"/>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all equity awards has been included in the consolidated statements of operations and comprehensive loss as follows (in thousands):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20" w:type="dxa"/>
            <w:vAlign w:val="bottom"/>
            <w:tcBorders>
              <w:bottom w:val="single" w:sz="8" w:color="auto"/>
            </w:tcBorders>
          </w:tcPr>
          <w:p>
            <w:pPr>
              <w:spacing w:after="0"/>
              <w:rPr>
                <w:sz w:val="20"/>
                <w:szCs w:val="20"/>
                <w:color w:val="auto"/>
              </w:rPr>
            </w:pPr>
          </w:p>
        </w:tc>
      </w:tr>
      <w:tr>
        <w:trPr>
          <w:trHeight w:val="223"/>
        </w:trPr>
        <w:tc>
          <w:tcPr>
            <w:tcW w:w="59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r>
      <w:tr>
        <w:trPr>
          <w:trHeight w:val="250"/>
        </w:trPr>
        <w:tc>
          <w:tcPr>
            <w:tcW w:w="5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for the years ended March 31, 2024 and 2023 was $4.40 and $8.10 per share, respectively. For the years ended March 31, 2024 and 2023, the total fair value of options vested was $2.3 million and $3.5 million, respectively. The aggregate intrinsic value of options exercised for the years ended March 31, 2024 and 2023 was $0 and $0.1 million, respectively. As of March 31, 2024, total compensation cost not yet recognized related to unvested stock options was $2.1 million, which is expected to be recognized over a weighted-average period of 1.6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Modifications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2022, outstanding options to purchase an aggregate of 44,071 shares of our common stock previously granted to a terminated employee and otherwise set to expire on September 13, 2022, were modified to extend the exercisability of such options for a period of 90 days. No other term of the options, including exercise price, was modified. The option modification resulted in incremental expense of $0.1 million which was recognized during the year ended March 31, 2023. These options were subsequently modified on December 12, 2022, to extend the exercisability of such options through March 31, 2023, resulting in immaterial incremental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approved the Vistagen Therapeutics, Inc. 2019 Employee Stock Purchase Plan (the 2019 ESPP) on June 13, 2019. Our stockholders approved the 2019 ESPP at our annual meeting on September 5, 2019. A maximum of 33,334 shares of our common stock were originally reserved for purchase under the 2019 ESPP.</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2019 ESPP permits eligible employees who elect to participate in an offering under the 2019 ESPP to have up to 15% of their eligible earnings withheld, subject to certain limitations, to purchase shares of common stock pursuant to the 2019 ESPP. The price of common stock purchased under the 2019 ESPP is equal to 85% of the lower of the fair market value of the common stock at the commencement date of each offering period or the relevant date of purchase. Each offering period is six months, with new offering periods commencing every six months on or about the dates of January 1 and July 1 of each year.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March 31, 2024 and 2023, the Company issued 4,843 and 5,167 shares, respectively, of common stock in connection with the 2019 ESPP. As of March 31, 2024, there were 19,480 shares available for future purchase under the 2019 ESPP.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March 31, 2024 and 2023, the Company recognized an immaterial amount of expense under the 2019 ESPP.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had no current or deferred federal and state income tax expense or benefit for the year ended March 31, 2024, because we generated net operating losses, and currently management does not believe it is more likely than not that the net operating losses will be realized.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(benefit) differed from the amounts computed by applying the statutory federal income tax rate of 21% to pretax income (loss) as a result of the following:</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245"/>
        </w:trPr>
        <w:tc>
          <w:tcPr>
            <w:tcW w:w="6820" w:type="dxa"/>
            <w:vAlign w:val="bottom"/>
          </w:tcPr>
          <w:p>
            <w:pPr>
              <w:spacing w:after="0"/>
              <w:rPr>
                <w:sz w:val="21"/>
                <w:szCs w:val="21"/>
                <w:color w:val="auto"/>
              </w:rPr>
            </w:pPr>
          </w:p>
        </w:tc>
        <w:tc>
          <w:tcPr>
            <w:tcW w:w="33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Year Ended March 31,</w:t>
            </w:r>
          </w:p>
        </w:tc>
      </w:tr>
      <w:tr>
        <w:trPr>
          <w:trHeight w:val="250"/>
        </w:trPr>
        <w:tc>
          <w:tcPr>
            <w:tcW w:w="6820" w:type="dxa"/>
            <w:vAlign w:val="bottom"/>
          </w:tcPr>
          <w:p>
            <w:pPr>
              <w:spacing w:after="0"/>
              <w:rPr>
                <w:sz w:val="21"/>
                <w:szCs w:val="21"/>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68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warrant modifications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research and development credits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stock compensation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other non-deductible items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 net operating loss carryforwards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0.17 %</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only)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18.57 %</w:t>
            </w:r>
          </w:p>
        </w:tc>
      </w:tr>
      <w:tr>
        <w:trPr>
          <w:trHeight w:val="26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c>
          <w:tcPr>
            <w:tcW w:w="10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0"/>
        </w:trPr>
        <w:tc>
          <w:tcPr>
            <w:tcW w:w="6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r>
      <w:tr>
        <w:trPr>
          <w:trHeight w:val="250"/>
        </w:trPr>
        <w:tc>
          <w:tcPr>
            <w:tcW w:w="70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46,463</w:t>
            </w:r>
          </w:p>
        </w:tc>
        <w:tc>
          <w:tcPr>
            <w:tcW w:w="16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43,603</w:t>
            </w:r>
          </w:p>
        </w:tc>
      </w:tr>
      <w:tr>
        <w:trPr>
          <w:trHeight w:val="263"/>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and equipment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34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63"/>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3"/>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10,188</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57"/>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60,541</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w:t>
            </w:r>
          </w:p>
        </w:tc>
      </w:tr>
      <w:tr>
        <w:trPr>
          <w:trHeight w:val="257"/>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(60,521)</w:t>
            </w:r>
          </w:p>
        </w:tc>
        <w:tc>
          <w:tcPr>
            <w:tcW w:w="16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(59,251)</w:t>
            </w:r>
          </w:p>
        </w:tc>
      </w:tr>
      <w:tr>
        <w:trPr>
          <w:trHeight w:val="250"/>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7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Basis differences in property and equipment</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deferred tax assets have been fully offset by a valuation allowance. The valuation allowance increased by $1.3 million and $10.6 million during the fiscal years ended March 31, 2024 and 2023, respectively.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2024, we had U.S. federal net operating loss carryforwards of approximately $208.0 million. Federal net operating loss carryforwards of approximately $82.8 million generated through our fiscal year ended March 31, 2018 will expire in our fiscal years ending March 31, 2025 through March 31, 2038. Federal net operating loss carryforwards of approximately $125.2 million generated in fiscal years ending after March 31, 2018 will carry forward indefinitely, but are subject to an 80% taxable income limitation. As of March 31, 2024, we had state net operating loss carryforwards of approximately $65.8 million, which will expire in fiscal years ending in 2029 through 2043. We also have federal and state research and development tax credit carryforwards of approximately $3.3 million and $1.6 million, respectively. The federal tax credits will expire at various dates beginning with our fiscal year ending March 31, 2029, unless previously utilized. The state tax credits do not expire and will carry forward indefinitely until utilized.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made a significant change to Internal Revenue Code Section 174 that went into effect for taxable years beginning after December 31, 2021. The change eliminated the ability to currently deduct research and development costs. Instead, these costs must be capitalized and amortized. As a result, we capitalized research and development costs of approximately $19.4 million for tax purposes for the year ended March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federal and state tax laws include substantial restrictions on the utilization of net operating loss carryforwards in the event of a change in a corporation's ownership. We have not performed a change in ownership analysis since our inception in 1998, and accordingly, some or all of our net operating loss carryforwards may not be available to offset future taxable income, if 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and various U.S. state jurisdictions. We are subject to U.S. federal and state income tax examinations by tax authorities for tax years 2004 through 2024 due to net operating losses that are being carried forward for tax purposes, but we are not currently under examination by tax authorities in any jurisdiction.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unrecognized tax benefits at March 31, 2024 and 2023 relate entirely to research and development tax credits. The total amount of unrecognized tax benefits at March 31, 2024 and 2023 is $4.9 million and $1.3 million, respectively. If recognized, none of the unrecognized tax benefits would impact our effective tax rate. The following table summarizes the activity related to our unrecognized tax benefits (in thousands):</w:t>
      </w:r>
    </w:p>
    <w:p>
      <w:pPr>
        <w:spacing w:after="0" w:line="226" w:lineRule="exact"/>
        <w:rPr>
          <w:sz w:val="20"/>
          <w:szCs w:val="20"/>
          <w:color w:val="auto"/>
        </w:rPr>
      </w:pPr>
    </w:p>
    <w:tbl>
      <w:tblPr>
        <w:tblLayout w:type="fixed"/>
        <w:tblInd w:w="560" w:type="dxa"/>
        <w:tblCellMar>
          <w:top w:w="0" w:type="dxa"/>
          <w:left w:w="0" w:type="dxa"/>
          <w:bottom w:w="0" w:type="dxa"/>
          <w:right w:w="0" w:type="dxa"/>
        </w:tblCellMar>
      </w:tblPr>
      <w:tr>
        <w:trPr>
          <w:trHeight w:val="245"/>
        </w:trPr>
        <w:tc>
          <w:tcPr>
            <w:tcW w:w="7040" w:type="dxa"/>
            <w:vAlign w:val="bottom"/>
          </w:tcPr>
          <w:p>
            <w:pPr>
              <w:spacing w:after="0"/>
              <w:rPr>
                <w:sz w:val="21"/>
                <w:szCs w:val="21"/>
                <w:color w:val="auto"/>
              </w:rPr>
            </w:pPr>
          </w:p>
        </w:tc>
        <w:tc>
          <w:tcPr>
            <w:tcW w:w="25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March 31,</w:t>
            </w:r>
          </w:p>
        </w:tc>
        <w:tc>
          <w:tcPr>
            <w:tcW w:w="520" w:type="dxa"/>
            <w:vAlign w:val="bottom"/>
            <w:tcBorders>
              <w:bottom w:val="single" w:sz="8" w:color="auto"/>
            </w:tcBorders>
          </w:tcPr>
          <w:p>
            <w:pPr>
              <w:spacing w:after="0"/>
              <w:rPr>
                <w:sz w:val="21"/>
                <w:szCs w:val="21"/>
                <w:color w:val="auto"/>
              </w:rPr>
            </w:pPr>
          </w:p>
        </w:tc>
      </w:tr>
      <w:tr>
        <w:trPr>
          <w:trHeight w:val="250"/>
        </w:trPr>
        <w:tc>
          <w:tcPr>
            <w:tcW w:w="70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1"/>
                <w:szCs w:val="21"/>
                <w:color w:val="auto"/>
              </w:rPr>
            </w:pPr>
          </w:p>
        </w:tc>
      </w:tr>
      <w:tr>
        <w:trPr>
          <w:trHeight w:val="2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5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period position increases (decreases)</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tax position increases</w:t>
            </w:r>
          </w:p>
        </w:tc>
        <w:tc>
          <w:tcPr>
            <w:tcW w:w="9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7"/>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8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0"/>
        </w:trPr>
        <w:tc>
          <w:tcPr>
            <w:tcW w:w="7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2024 or 2023. We do not anticipate any significant changes in our uncertain tax positions within twelve months of this reporting date.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Sublicense and Collaborative Agreements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receivables and contract liabilities related to strategic collaboration agreements during the year ended March 31, 2024 (in thousands):</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240" w:type="dxa"/>
            <w:vAlign w:val="bottom"/>
          </w:tcPr>
          <w:p>
            <w:pPr>
              <w:spacing w:after="0"/>
              <w:rPr>
                <w:sz w:val="17"/>
                <w:szCs w:val="17"/>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17"/>
                <w:szCs w:val="17"/>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80" w:type="dxa"/>
            <w:vAlign w:val="bottom"/>
          </w:tcPr>
          <w:p>
            <w:pPr>
              <w:spacing w:after="0"/>
              <w:rPr>
                <w:sz w:val="17"/>
                <w:szCs w:val="17"/>
                <w:color w:val="auto"/>
              </w:rPr>
            </w:pPr>
          </w:p>
        </w:tc>
        <w:tc>
          <w:tcPr>
            <w:tcW w:w="1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4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AffaMed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we entered into a license and collaboration agreement with EverInsight Therapeutics Inc. (EverInsight). Subsequent to entering into the agreement with EverInsight, in October 2020, EverInsight merged with AffaMed Therapeutics, Inc., which as a combined entity is focusing on developing and commercializing therapeutics to address ophthalmologic and neurological disorders in Greater China (which includes Mainland China, Hong Kong, Macau and Taiwan) and beyond. Accordingly, we are now referring to EverInsight as AffaMed and the agreement originally entered into with EverInsight as the AffaMed Agreement. Under the AffaMed Agreement, we granted AffaMed an exclusive license to develop and commercialize fasedienol for SAD and other anxiety-related disorders in Greater China, South Korea and Southeast Asia (which includes Indonesia, Malaysia, Philippines, Thailand and Vietnam) (collectively, the Territory). We retain exclusive development and commercialization rights for fasedienol in the U.S. and throughout the rest of the world.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AffaMed Agreement, AffaMed is responsible for all costs related to developing, obtaining regulatory approval of, and commercializing fasedienol for treatment of SAD, and potentially other anxiety-related indications, in the Territory. A joint development committee has been established between AffaMed and us to coordinate and review the development and commercialization plans with respect to fasedienol in the Territory.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responsible for pursuing clinical development and regulatory submissions of fasedienol for acute treatment of anxiety in adults with SAD, and potentially other anxiety-related indications, in the United States on a ‘‘best efforts’’ basis, with no guarantee of success. AffaMed may participate in the Phase 3 global clinical trial of fasedienol and will assume all direct costs and expenses of conducting such clinical trial in the Territory and a portion of the indirect costs of a global trial in which they participate. We will transfer all development data (nonclinical and clinical data) and our regulatory documentation related to fasedienol throughout the term as it is developed or generated or otherwise comes into our control. We will grant to AffaMed a Right of Reference to our regulatory documentation and our development data.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AffaMed Agreement, AffaMed paid us a non-refundable upfront license payment of $5.0 million in August 2020. Additionally, upon successful development and commercialization of fasedienol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that we have one combined performance obligation for the license to develop and commercialize fasedienol in the Territory and related development and regulatory services. In addition, AffaMed has an option that may create manufacturing obligations for us during development if exercised by AffaMed. This option for manufacturing services was evaluated and determined not to include a material right.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recognize revenue as the combined performance obligation is satisfied over time using an output method. Significant management judgment is required to determine the level of effort attributable to the performance obligation included in the AffaMed Agreement and the period over which we expect to complete our performance obligation under the arrangement. The performance period or measure of progress was estimated at the inception of the arrangement and is re-evaluated in subsequent reporting periods. This re-evaluation may shorten or lengthen the period over which we recognize revenue. Because our PALISADE-1 trial did not meet its primary efficacy endpoint and due to the resulting anticipated delay in subsequent clinical and regulatory processes for fasdienol, at September 30, 2023, we estimated that our performance obligation under the AffaMed Agreement will be completed at the end of calendar 2026 rather than mid-calendar 2024. We have not subsequently revised our estimate, however, we will further adjust our estimates, as necessary, in subsequent periods as we obtain additional information on which to base our projections, including our ability to finance future clinical trials and satisfy other NDA-enabling requirements and/or our prospects for partnering future development of fasedienol in SAD with other entities. Contract acquisition costs and deferred revenue was $0.2 million and $2.8 million, respectively, as of March 31, 2022. As a result of the change in our estimate of the time required to complete our performance obligation, we recorded a cumulative catch-up adjustment for the quarter ending September 30, 2022 pursuant to which we de-recognized $0.9 million of previously recognized revenue, resulting in a $0.2 million net de-recognition of income for the year ended March 31, 2023. During the year ended March 31, 2024, we recognized revenue of $0.9 million related to the performance obligation under the AffaMed Agreement, all of which was included in the liability balance at the beginning of the period. At March 31, 2024, the aggregate amount of the transaction price allocated to the remaining performance obligation (deferred revenue) is $2.2 million which will be recognized as revenue as our performance obligation is completed.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Acquisition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quarter ended September 30, 2020, we made cash payments aggregating $0.4 million for sublicense fees, which we were obligated to make pursuant to our fasedienol license from Pherin, and fees for consulting services exclusively related to the AffaMed Agreement. Additionally, on June 24, 2020, we issued 7,788 unregistered shares of our common stock, valued at $0.1 million, as partial compensation for consulting services exclusively related to the AffaMed Agreement. These sublicense fees and consulting payments and the fair value of the common stock issued, aggregating $0.5 million, were capitalized as deferred contract acquisition costs in our Consolidated Balance Sheets. Similar to the related deferred revenue, capitalized contract acquisition costs are amortized over the periods during which we expect to satisfy the performance obligation under the AffaMed Agreement. As with deferred revenue, we recorded a cumulative catch-up adjustment in September 2023 pursuant to which we reversed $0.1 million of previously recognized contract acquisition cost expense related to the reassessment of the timeline for satisfying our performance obligation. Amortization expense related to the contract acquisition costs was immaterial for the years ended March 31, 2024 and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earlier terminated due to certain material breaches of the contract, or otherwise, the AffaMed Agreement will expire on a jurisdiction-by-jurisdiction basis until the latest to occur of the expiration of the last valid claim under a licensed patent of fasedienol in such jurisdiction, the expiration of regulatory exclusivity in such jurisdiction or ten years after the first commercial sale of fasedienol in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Fuji Pharma Agreement</w:t>
      </w: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On September 1, 2023, we entered into an Exclusive Negotiation Agreement (the Negotiation Agreement) with Fuji Pharma Co., Ltd. (Fuji Pharma), a Tokyo Stock Exchange-listed, Japan-based pharmaceutical company. Pursuant to the terms and conditions of the Negotiation Agreement, we agreed, for a limited period of time, to negotiate exclusively with Fuji Pharma for a potential exclusive license agreement to develop and commercialize our PH80 product candidate in Japan (the Potential Definitive Agreement). The Negotiation Agreement provides for an exclusive negotiation period beginning on the date of formal written notice being received by Fuji Pharma that we have selected a contract development and manufacturing organization to conduct preclinical toxicology studies for the product candidate (the Payment Event), and terminating on the later to occur of (i) fourteen (14) months from the date of the Payment Event or (ii) ninety (90) days from the date that the U.S. Food and Drug Administration accepts an Investigational New Drug application for PH80 for the treatment of vasomotor symptoms (hot flashes) due to menopause (the Exclusive Negotiation Period).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consideration for the Exclusive Negotiation Period, Fuji Pharma agreed to make a payment to us of $1.5 million (the Purchase Price), payable upon occurrence of the Payment Event. The Payment Event occurred in October 2023, and we received payment of the Purchase Price in full in November 2023. The Purchase Price is non-refundable, except upon a material breach of the Negotiation Agreement by the Company; however, should the Company and Fuji Pharma enter into</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Potential Definitive Agreement, the Purchase Price will be creditable against any upfront fee due in connection with the execution of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March 31, 2024, we recognized an immaterial amount of revenue, at the inception of the Negotiation Agreement. The remaining deferred revenue under the Negotiation Agreement will be recognized upon termination of the Exclusive Negotiation Period, which is currently expected in April 2025, or accounted for as a creditable prepayment under ASC 606, should an exclusive license agreement be reached with Fuji Pharma prior to the date of termination. Remaining deferred revenue under the Negotiation Agreement of $1.3 million is reflected as non-current on the consolidated balance sheets as of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in connection with his retirement, we entered into a consulting agreement with our former Chief Financial Officer, Jerrold D. Dotson, to assist in transition matters related to the employment of our new Chief Financial Officer. During the year ended March 31, 2024, we recorded expense under the agreement of $170,000.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 consulting agreement with FitzPatrick Co. LLC, a consulting firm for which Margaret FitzPatrick, an independent member of our Board of Directors, is Managing Director, to provide corporate development and public relations advisory services. The consulting agreement, as amended, was set to expire on December 31, 2023. However, the Company and FitzPatrick Co. LLC mutually agreed to conclude the term of the FitzPatrick Co. Consulting Agreement effective October 1, 2023, as all matters set forth in the statement of work were completed as of that date. We recorded expense of $70,000 and $170,000 for the years ended March 31, 2024 and 2023, respectively.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2022, Ann Cunningham resigned as our Chief Commercial Officer to serve full-time as Managing Partner of i3 Strategy Partners, a pharmaceutical consulting firm founded by Ms. Cunningham. i3 Strategy Partners began providing commercial planning advisory services to us pursuant to a consulting agreement, dated November 2022. The consulting agreement expired on March 31, 2024. We recorded expense under the consulting agreement of $200,000 and $120,000 for the years ended March 31, 2024 and 2023, respectively. Ms. Cunningham remains a member of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Contingencies, Guarantees and Indemnifications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From time to time, we may be party to litigation, arbitration or other legal proceedings in the course of our business. The outcome of any such legal proceedings, regardless of the merits, is inherently uncertain. In addition, litigation and related matters are costly and may divert the attention of our management and other resources that would otherwise be engaged in other activities. If we were unable to prevail in any such legal proceedings, our business, results of operations, liquidity, and financial condition could be adversely affected.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subsequent events through the date of this Annual Report and have identified the following material events and transactions that occurred after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 of Stockholders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29, 2024, we held a special meeting of stockholders (the Special Meeting) during which our stockholders approved of two items: (i) an amendment to our Amended 2019 Plan to increase the number of shares available for issuance thereunder to 5,000,000 shares, and (ii) an amendment to our 2019 ESPP to increase the number of shares available for issuance thereunder to 1,000,000 shares.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(our CEO) and principal financial officer (our CFO), evaluated the effectiveness of our disclosure controls and procedures (as defined in Exchange Act Rules 13a-15(e) and 15d-15(e)) as of March 31, 2024. Based upon that evaluation, our CEO and CFO concluded that, as of such date, our disclosure controls and procedures were effective to ensure that information required to be disclosed in reports filed by us under the Securities Exchange Act of 1934 is recorded, processed, summarized and reported within the required time periods and is accumulated and communicated to our management, including our CEO and CFO,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the U.S. Securities Exchange Act of 1934, Rules 13a-15(f). Management assessed the effectiveness of our internal control over financial reporting as of March 31, 2024 based on criteria set forth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 (COSO) (the COSO Framework). Based on an assessment of those criteria, management concluded that, as of March 31, 2024, our internal control over financial reporting was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independent public accounting firm regarding internal control over financial reporting pursuant to SEC rules for smaller reporting companies that permit us to provide only management’s report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and/or terminated a “Rule 10b5-1 trading arrangement” or a “non-Rule 10b5-1 trading arrangement,” as defined in Regulation S-K Item 408, during the last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2024 Annual Meeting of Stockholders, which we will file with the SEC on or before July 29,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2024 Annual Meeting of Stockholders, which we will file with the SEC on or before July 29,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2024 Annual Meeting of Stockholders, which we will file with the SEC on or before July 29,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2024 Annual Meeting of Stockholders, which we will to file with the SEC on or before July 29,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that will be contained in our proxy statement related to our 2024 Annual Meeting of Stockholders, which we will file with the SEC on or before July 29, 2024.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under Item 8 on page 78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Consolidated Financial Statement Schedules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1360" w:type="dxa"/>
            <w:vAlign w:val="bottom"/>
            <w:gridSpan w:val="7"/>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1"/>
                <w:szCs w:val="21"/>
                <w:color w:val="auto"/>
              </w:rPr>
            </w:pPr>
          </w:p>
        </w:tc>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1360" w:type="dxa"/>
            <w:vAlign w:val="bottom"/>
            <w:tcBorders>
              <w:bottom w:val="single" w:sz="8" w:color="auto"/>
            </w:tcBorders>
            <w:gridSpan w:val="7"/>
            <w:vMerge w:val="continue"/>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9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0" w:type="dxa"/>
            <w:vAlign w:val="bottom"/>
            <w:gridSpan w:val="4"/>
          </w:tcPr>
          <w:p>
            <w:pPr>
              <w:jc w:val="center"/>
              <w:ind w:left="490"/>
              <w:spacing w:after="0" w:line="202" w:lineRule="exact"/>
              <w:rPr>
                <w:rFonts w:ascii="Times New Roman" w:cs="Times New Roman" w:eastAsia="Times New Roman" w:hAnsi="Times New Roman"/>
                <w:sz w:val="18"/>
                <w:szCs w:val="18"/>
                <w:color w:val="0000FF"/>
                <w:w w:val="97"/>
              </w:rPr>
            </w:pPr>
            <w:hyperlink r:id="rId142">
              <w:r>
                <w:rPr>
                  <w:rFonts w:ascii="Times New Roman" w:cs="Times New Roman" w:eastAsia="Times New Roman" w:hAnsi="Times New Roman"/>
                  <w:sz w:val="18"/>
                  <w:szCs w:val="18"/>
                  <w:color w:val="0000FF"/>
                  <w:w w:val="97"/>
                </w:rPr>
                <w:t>1.</w:t>
              </w:r>
              <w:r>
                <w:rPr>
                  <w:rFonts w:ascii="Times New Roman" w:cs="Times New Roman" w:eastAsia="Times New Roman" w:hAnsi="Times New Roman"/>
                  <w:sz w:val="18"/>
                  <w:szCs w:val="18"/>
                  <w:u w:val="single" w:color="auto"/>
                  <w:color w:val="0000FF"/>
                  <w:w w:val="97"/>
                </w:rPr>
                <w:t>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dated May 14, 2021, by and between Vistagen Therapeutics, Inc. and Jefferies LLC, incorporated by</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reference from Exhibit 1.1 to the Company’s Current Report on Form 8-K filed on May 14, 2021.</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0" w:type="dxa"/>
            <w:vAlign w:val="bottom"/>
            <w:gridSpan w:val="4"/>
          </w:tcPr>
          <w:p>
            <w:pPr>
              <w:jc w:val="center"/>
              <w:ind w:left="490"/>
              <w:spacing w:after="0" w:line="169"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1.</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98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Underwriting Agreement, dated as of October 2, 2023, by and among the Company, Jefferies LLC, Stifel, Nicolaus &amp; Company,</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9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Incorporated and William Blair &amp; Company, L.L.C., incorporated by reference from Exhibit 1.1 to the Company’s Current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October 4, 2023.</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60" w:type="dxa"/>
            <w:vAlign w:val="bottom"/>
            <w:gridSpan w:val="6"/>
          </w:tcPr>
          <w:p>
            <w:pPr>
              <w:jc w:val="center"/>
              <w:ind w:left="410"/>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Agreement and Plan of Merger by and among Excaliber Enterprises, Ltd., Vistagen Therapeutics, Inc. and Excaliber Merger Subsidiary,</w:t>
            </w: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0000FF"/>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top w:val="single" w:sz="8" w:color="0000FF"/>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w:t>
            </w:r>
          </w:p>
        </w:tc>
        <w:tc>
          <w:tcPr>
            <w:tcW w:w="0" w:type="dxa"/>
            <w:vAlign w:val="bottom"/>
          </w:tcPr>
          <w:p>
            <w:pPr>
              <w:spacing w:after="0"/>
              <w:rPr>
                <w:sz w:val="1"/>
                <w:szCs w:val="1"/>
                <w:color w:val="auto"/>
              </w:rPr>
            </w:pPr>
          </w:p>
        </w:tc>
      </w:tr>
      <w:tr>
        <w:trPr>
          <w:trHeight w:val="203"/>
        </w:trPr>
        <w:tc>
          <w:tcPr>
            <w:tcW w:w="800" w:type="dxa"/>
            <w:vAlign w:val="bottom"/>
            <w:gridSpan w:val="4"/>
          </w:tcPr>
          <w:p>
            <w:pPr>
              <w:jc w:val="center"/>
              <w:ind w:left="490"/>
              <w:spacing w:after="0" w:line="202" w:lineRule="exact"/>
              <w:rPr>
                <w:rFonts w:ascii="Times New Roman" w:cs="Times New Roman" w:eastAsia="Times New Roman" w:hAnsi="Times New Roman"/>
                <w:sz w:val="18"/>
                <w:szCs w:val="18"/>
                <w:color w:val="0000FF"/>
                <w:w w:val="97"/>
              </w:rPr>
            </w:pPr>
            <w:hyperlink r:id="rId14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Agreement and Plan of Merger, by and among VistaGen Therapeutics, Inc., VTGN Merger Sub, Inc., Pherin Pharmaceuticals, Inc. and</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McCarthy dated December 20, 2022, incorporated by reference from Exhibit 2.1 to the Company’s Current Report on Form 8-K,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21, 2022.</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gridSpan w:val="4"/>
          </w:tcPr>
          <w:p>
            <w:pPr>
              <w:jc w:val="center"/>
              <w:ind w:left="490"/>
              <w:spacing w:after="0" w:line="196"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4</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Articles of Merger filed with the Nevada Secretary of State on May 24, 2011, incorporated by reference from Exhibit 3.1 to the</w:t>
            </w: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May 31, 2011.</w:t>
            </w:r>
          </w:p>
        </w:tc>
        <w:tc>
          <w:tcPr>
            <w:tcW w:w="0" w:type="dxa"/>
            <w:vAlign w:val="bottom"/>
          </w:tcPr>
          <w:p>
            <w:pPr>
              <w:spacing w:after="0"/>
              <w:rPr>
                <w:sz w:val="1"/>
                <w:szCs w:val="1"/>
                <w:color w:val="auto"/>
              </w:rPr>
            </w:pPr>
          </w:p>
        </w:tc>
      </w:tr>
      <w:tr>
        <w:trPr>
          <w:trHeight w:val="203"/>
        </w:trPr>
        <w:tc>
          <w:tcPr>
            <w:tcW w:w="800" w:type="dxa"/>
            <w:vAlign w:val="bottom"/>
            <w:gridSpan w:val="4"/>
          </w:tcPr>
          <w:p>
            <w:pPr>
              <w:jc w:val="center"/>
              <w:ind w:left="490"/>
              <w:spacing w:after="0" w:line="202" w:lineRule="exact"/>
              <w:rPr>
                <w:rFonts w:ascii="Times New Roman" w:cs="Times New Roman" w:eastAsia="Times New Roman" w:hAnsi="Times New Roman"/>
                <w:sz w:val="18"/>
                <w:szCs w:val="18"/>
                <w:color w:val="0000FF"/>
                <w:w w:val="97"/>
              </w:rPr>
            </w:pPr>
            <w:hyperlink r:id="rId14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Certificate of Designations Series A Preferred, incorporated by reference from Exhibit 3.1 to the Company’s Current Report on Form 8-</w:t>
            </w:r>
          </w:p>
        </w:tc>
        <w:tc>
          <w:tcPr>
            <w:tcW w:w="0" w:type="dxa"/>
            <w:vAlign w:val="bottom"/>
          </w:tcPr>
          <w:p>
            <w:pPr>
              <w:spacing w:after="0"/>
              <w:rPr>
                <w:sz w:val="1"/>
                <w:szCs w:val="1"/>
                <w:color w:val="auto"/>
              </w:rPr>
            </w:pPr>
          </w:p>
        </w:tc>
      </w:tr>
      <w:tr>
        <w:trPr>
          <w:trHeight w:val="230"/>
        </w:trPr>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top w:val="single" w:sz="8" w:color="0000FF"/>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 filed on December 23, 2011.</w:t>
            </w:r>
          </w:p>
        </w:tc>
        <w:tc>
          <w:tcPr>
            <w:tcW w:w="0" w:type="dxa"/>
            <w:vAlign w:val="bottom"/>
          </w:tcPr>
          <w:p>
            <w:pPr>
              <w:spacing w:after="0"/>
              <w:rPr>
                <w:sz w:val="1"/>
                <w:szCs w:val="1"/>
                <w:color w:val="auto"/>
              </w:rPr>
            </w:pPr>
          </w:p>
        </w:tc>
      </w:tr>
      <w:tr>
        <w:trPr>
          <w:trHeight w:val="203"/>
        </w:trPr>
        <w:tc>
          <w:tcPr>
            <w:tcW w:w="1360" w:type="dxa"/>
            <w:vAlign w:val="bottom"/>
            <w:gridSpan w:val="7"/>
          </w:tcPr>
          <w:p>
            <w:pPr>
              <w:jc w:val="center"/>
              <w:spacing w:after="0" w:line="202"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5.1</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Certificate of Withdrawal of Certificate of Designation of the Relative Rights and Preferences of the Series A Convertible Preferred</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Stock, dated November 9, 2022, incorporated by reference from Exhibit 3.2 to the Company’s Quarterly Report on Form 10-Q,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2022.</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gridSpan w:val="4"/>
          </w:tcPr>
          <w:p>
            <w:pPr>
              <w:jc w:val="center"/>
              <w:ind w:left="490"/>
              <w:spacing w:after="0" w:line="196" w:lineRule="exact"/>
              <w:rPr>
                <w:rFonts w:ascii="Times New Roman" w:cs="Times New Roman" w:eastAsia="Times New Roman" w:hAnsi="Times New Roman"/>
                <w:sz w:val="18"/>
                <w:szCs w:val="18"/>
                <w:color w:val="0000FF"/>
                <w:w w:val="97"/>
              </w:rPr>
            </w:pPr>
            <w:hyperlink r:id="rId14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7</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Certificate of Designation of the Relative Rights and Preferences of the Series B 10% Convertible Preferred Stock of VistaGen</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Therapeutics, Inc., filed with the Nevada Secretary of State on May 7, 2015, incorporated by reference from Exhibit 3.1 to the</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May 13, 2015.</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gridSpan w:val="7"/>
          </w:tcPr>
          <w:p>
            <w:pPr>
              <w:jc w:val="cente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7.1</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Certificate of Withdrawal of Certificate of Designation of the Relative Rights and Preferences of the 10% Convertible Series B</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Preferred Stock, dated November 9, 2022, incorporated by reference from Exhibit 3.3 to the Company’s Quarterly Report on Form 10-</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Q, filed on November 10, 2022.</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 w:type="dxa"/>
            <w:vAlign w:val="bottom"/>
            <w:gridSpan w:val="4"/>
          </w:tcPr>
          <w:p>
            <w:pPr>
              <w:jc w:val="center"/>
              <w:ind w:left="490"/>
              <w:spacing w:after="0" w:line="196" w:lineRule="exact"/>
              <w:rPr>
                <w:rFonts w:ascii="Times New Roman" w:cs="Times New Roman" w:eastAsia="Times New Roman" w:hAnsi="Times New Roman"/>
                <w:sz w:val="18"/>
                <w:szCs w:val="18"/>
                <w:color w:val="0000FF"/>
                <w:w w:val="97"/>
              </w:rPr>
            </w:pPr>
            <w:hyperlink r:id="rId151">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9</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Certificate of Designation of the Relative Rights and Preferences of the Series C Convertible Preferred Stock of VistaGen Therapeutics,</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 dated January 25, 2016, incorporated by reference from Exhibit 3.1 to the Company’s Current Report on Form 8-K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2016.</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gridSpan w:val="7"/>
          </w:tcPr>
          <w:p>
            <w:pPr>
              <w:jc w:val="cente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3.</w:t>
              </w:r>
              <w:r>
                <w:rPr>
                  <w:rFonts w:ascii="Times New Roman" w:cs="Times New Roman" w:eastAsia="Times New Roman" w:hAnsi="Times New Roman"/>
                  <w:sz w:val="18"/>
                  <w:szCs w:val="18"/>
                  <w:u w:val="single" w:color="auto"/>
                  <w:color w:val="0000FF"/>
                  <w:w w:val="99"/>
                </w:rPr>
                <w:t>9.1</w:t>
              </w:r>
            </w:hyperlink>
          </w:p>
        </w:tc>
        <w:tc>
          <w:tcPr>
            <w:tcW w:w="20" w:type="dxa"/>
            <w:vAlign w:val="bottom"/>
            <w:shd w:val="clear" w:color="auto" w:fill="000000"/>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Certificate of Withdrawal of Certificate of Designation of the Relative Rights and Preferences of the Series C Convertible Preferred</w:t>
            </w: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9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Stock, dated November 9, 2022, incorporated by reference from Exhibit 3.4 to the Company’s Quarterly Report on Form 10-Q,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2022.</w:t>
            </w:r>
          </w:p>
        </w:tc>
        <w:tc>
          <w:tcPr>
            <w:tcW w:w="0" w:type="dxa"/>
            <w:vAlign w:val="bottom"/>
          </w:tcPr>
          <w:p>
            <w:pPr>
              <w:spacing w:after="0"/>
              <w:rPr>
                <w:sz w:val="1"/>
                <w:szCs w:val="1"/>
                <w:color w:val="auto"/>
              </w:rPr>
            </w:pPr>
          </w:p>
        </w:tc>
      </w:tr>
      <w:tr>
        <w:trPr>
          <w:trHeight w:val="27"/>
        </w:trPr>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25" w:name="page126"/>
    <w:bookmarkEnd w:id="125"/>
    <w:p>
      <w:pPr>
        <w:jc w:val="both"/>
        <w:ind w:left="940" w:hanging="863"/>
        <w:spacing w:after="0" w:line="266" w:lineRule="auto"/>
        <w:tabs>
          <w:tab w:leader="none" w:pos="92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61633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6163310"/>
                    </a:xfrm>
                    <a:prstGeom prst="rect">
                      <a:avLst/>
                    </a:prstGeom>
                    <a:noFill/>
                  </pic:spPr>
                </pic:pic>
              </a:graphicData>
            </a:graphic>
          </wp:anchor>
        </w:drawing>
      </w:r>
      <w:hyperlink r:id="rId155">
        <w:r>
          <w:rPr>
            <w:rFonts w:ascii="Times New Roman" w:cs="Times New Roman" w:eastAsia="Times New Roman" w:hAnsi="Times New Roman"/>
            <w:sz w:val="18"/>
            <w:szCs w:val="18"/>
            <w:u w:val="single" w:color="auto"/>
            <w:color w:val="0000FF"/>
          </w:rPr>
          <w:t>3.10</w:t>
        </w:r>
      </w:hyperlink>
      <w:r>
        <w:rPr>
          <w:rFonts w:ascii="Times New Roman" w:cs="Times New Roman" w:eastAsia="Times New Roman" w:hAnsi="Times New Roman"/>
          <w:sz w:val="18"/>
          <w:szCs w:val="18"/>
          <w:color w:val="0000FF"/>
        </w:rPr>
        <w:tab/>
        <w:t>Restated Articles of Incorporation of VistaGen Therapeutics, Inc., dated August 16, 2016, incorporated by reference from Exhibit 3.1 to the Company’s Current Report on Form 8-K, filed on August 17, 2016.</w:t>
      </w:r>
    </w:p>
    <w:p>
      <w:pPr>
        <w:spacing w:after="0" w:line="14" w:lineRule="exact"/>
        <w:rPr>
          <w:sz w:val="20"/>
          <w:szCs w:val="20"/>
          <w:color w:val="auto"/>
        </w:rPr>
      </w:pPr>
    </w:p>
    <w:p>
      <w:pPr>
        <w:ind w:left="80"/>
        <w:spacing w:after="0"/>
        <w:tabs>
          <w:tab w:leader="none" w:pos="920" w:val="left"/>
        </w:tabs>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color w:val="0000FF"/>
        </w:rPr>
        <w:tab/>
        <w:t>Second Amended and Restated Bylaws of VistaGen Therapeutics, Inc., dated August 16, 2016, incorporated by reference from Exhibit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3.2 to the Company’s Current Report on Form 8-K, filed on August 17, 2016.</w:t>
      </w:r>
    </w:p>
    <w:p>
      <w:pPr>
        <w:spacing w:after="0" w:line="43" w:lineRule="exact"/>
        <w:rPr>
          <w:sz w:val="20"/>
          <w:szCs w:val="20"/>
          <w:color w:val="auto"/>
        </w:rPr>
      </w:pPr>
    </w:p>
    <w:p>
      <w:pPr>
        <w:jc w:val="both"/>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color w:val="0000FF"/>
        </w:rPr>
        <w:tab/>
        <w:t>Certificate of Amendment to the Restated and Amended Articles of Incorporation of VistaGen Therapeutics, Inc., dated September 15, 2017; incorporated by reference from Exhibit 3.1 to the Company’s Current Report on Form 8-K, filed on September 20, 2017.</w:t>
      </w:r>
    </w:p>
    <w:p>
      <w:pPr>
        <w:spacing w:after="0" w:line="14" w:lineRule="exact"/>
        <w:rPr>
          <w:sz w:val="20"/>
          <w:szCs w:val="20"/>
          <w:color w:val="auto"/>
        </w:rPr>
      </w:pPr>
    </w:p>
    <w:p>
      <w:pPr>
        <w:jc w:val="both"/>
        <w:ind w:left="940" w:hanging="863"/>
        <w:spacing w:after="0" w:line="250" w:lineRule="auto"/>
        <w:tabs>
          <w:tab w:leader="none" w:pos="920" w:val="left"/>
        </w:tabs>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u w:val="single" w:color="auto"/>
            <w:color w:val="0000FF"/>
          </w:rPr>
          <w:t>3.13</w:t>
        </w:r>
      </w:hyperlink>
      <w:r>
        <w:rPr>
          <w:rFonts w:ascii="Times New Roman" w:cs="Times New Roman" w:eastAsia="Times New Roman" w:hAnsi="Times New Roman"/>
          <w:sz w:val="18"/>
          <w:szCs w:val="18"/>
          <w:color w:val="0000FF"/>
        </w:rPr>
        <w:tab/>
        <w:t>Certificate of Amendment to the Restated and Amended Articles of Incorporation, as amended, of VistaGen Therapeutics, Inc., dated September 6 ,2019; incorporated by reference from Exhibit 3.1 to the Company’s Current Report on Form 8-K, filed on September 6, 2019.</w:t>
      </w:r>
    </w:p>
    <w:p>
      <w:pPr>
        <w:spacing w:after="0" w:line="42" w:lineRule="exact"/>
        <w:rPr>
          <w:sz w:val="20"/>
          <w:szCs w:val="20"/>
          <w:color w:val="auto"/>
        </w:rPr>
      </w:pPr>
    </w:p>
    <w:p>
      <w:pPr>
        <w:jc w:val="both"/>
        <w:ind w:left="940" w:hanging="863"/>
        <w:spacing w:after="0" w:line="250" w:lineRule="auto"/>
        <w:tabs>
          <w:tab w:leader="none" w:pos="920" w:val="left"/>
        </w:tabs>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u w:val="single" w:color="auto"/>
            <w:color w:val="0000FF"/>
          </w:rPr>
          <w:t>3.14</w:t>
        </w:r>
      </w:hyperlink>
      <w:r>
        <w:rPr>
          <w:rFonts w:ascii="Times New Roman" w:cs="Times New Roman" w:eastAsia="Times New Roman" w:hAnsi="Times New Roman"/>
          <w:sz w:val="18"/>
          <w:szCs w:val="18"/>
          <w:color w:val="0000FF"/>
        </w:rPr>
        <w:tab/>
        <w:t>Certificate of Designation of the Relative Rights and Preferences of the Series D Convertible Preferred Stock of Vistagen Therapeutics, Inc., filed with the Nevada Secretary of State on December 21, 2020, incorporated by reference from Exhibit 3.1 to the Company’s Current Report on Form 8-K filed on December 22, 2020.</w:t>
      </w:r>
    </w:p>
    <w:p>
      <w:pPr>
        <w:spacing w:after="0" w:line="42" w:lineRule="exact"/>
        <w:rPr>
          <w:sz w:val="20"/>
          <w:szCs w:val="20"/>
          <w:color w:val="auto"/>
        </w:rPr>
      </w:pPr>
    </w:p>
    <w:p>
      <w:pPr>
        <w:jc w:val="both"/>
        <w:ind w:left="940" w:hanging="930"/>
        <w:spacing w:after="0" w:line="250" w:lineRule="auto"/>
        <w:tabs>
          <w:tab w:leader="none" w:pos="920" w:val="left"/>
        </w:tabs>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u w:val="single" w:color="auto"/>
            <w:color w:val="0000FF"/>
          </w:rPr>
          <w:t>3.14.1</w:t>
        </w:r>
      </w:hyperlink>
      <w:r>
        <w:rPr>
          <w:rFonts w:ascii="Times New Roman" w:cs="Times New Roman" w:eastAsia="Times New Roman" w:hAnsi="Times New Roman"/>
          <w:sz w:val="18"/>
          <w:szCs w:val="18"/>
          <w:color w:val="0000FF"/>
        </w:rPr>
        <w:tab/>
        <w:t>Certificate of Withdrawal of Certificate of Designation of the Relative Rights and Preferences of the Series D Convertible Preferred Stock, dated November 9, 2022, incorporated by reference from Exhibit 3.5 to the Company’s Quarterly Report on Form 10-Q, filed on November 10, 2022.</w:t>
      </w:r>
    </w:p>
    <w:p>
      <w:pPr>
        <w:spacing w:after="0" w:line="42" w:lineRule="exact"/>
        <w:rPr>
          <w:sz w:val="20"/>
          <w:szCs w:val="20"/>
          <w:color w:val="auto"/>
        </w:rPr>
      </w:pPr>
    </w:p>
    <w:p>
      <w:pPr>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u w:val="single" w:color="auto"/>
            <w:color w:val="0000FF"/>
          </w:rPr>
          <w:t>3.15</w:t>
        </w:r>
      </w:hyperlink>
      <w:r>
        <w:rPr>
          <w:rFonts w:ascii="Times New Roman" w:cs="Times New Roman" w:eastAsia="Times New Roman" w:hAnsi="Times New Roman"/>
          <w:sz w:val="18"/>
          <w:szCs w:val="18"/>
          <w:color w:val="0000FF"/>
        </w:rPr>
        <w:tab/>
        <w:t>Certificate of Amendment to the Restated and Amended Articles of Incorporation, as amended, of VistaGen Therapeutics, Inc., dated March 5, 2021, incorporated by reference from Exhibit 3.1 to the Company’s Current Report on Form 8-K, filed on March 5, 2021.</w:t>
      </w:r>
    </w:p>
    <w:p>
      <w:pPr>
        <w:spacing w:after="0" w:line="14" w:lineRule="exact"/>
        <w:rPr>
          <w:sz w:val="20"/>
          <w:szCs w:val="20"/>
          <w:color w:val="auto"/>
        </w:rPr>
      </w:pPr>
    </w:p>
    <w:p>
      <w:pPr>
        <w:ind w:left="80"/>
        <w:spacing w:after="0"/>
        <w:tabs>
          <w:tab w:leader="none" w:pos="920" w:val="left"/>
        </w:tabs>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u w:val="single" w:color="auto"/>
            <w:color w:val="0000FF"/>
          </w:rPr>
          <w:t>3.16</w:t>
        </w:r>
      </w:hyperlink>
      <w:r>
        <w:rPr>
          <w:rFonts w:ascii="Times New Roman" w:cs="Times New Roman" w:eastAsia="Times New Roman" w:hAnsi="Times New Roman"/>
          <w:sz w:val="18"/>
          <w:szCs w:val="18"/>
          <w:color w:val="0000FF"/>
        </w:rPr>
        <w:tab/>
        <w:t>Amendment No. 2 to the Second Amended and Restated Bylaws of Vistagen Therapeutics, Inc., incorporated by reference from Exhibit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3.1 to the Company’s Current Report on Form 8-K, filed on August 31, 2022.</w:t>
      </w:r>
    </w:p>
    <w:p>
      <w:pPr>
        <w:spacing w:after="0" w:line="43" w:lineRule="exact"/>
        <w:rPr>
          <w:sz w:val="20"/>
          <w:szCs w:val="20"/>
          <w:color w:val="auto"/>
        </w:rPr>
      </w:pPr>
    </w:p>
    <w:p>
      <w:pPr>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3.17</w:t>
        </w:r>
      </w:hyperlink>
      <w:r>
        <w:rPr>
          <w:rFonts w:ascii="Times New Roman" w:cs="Times New Roman" w:eastAsia="Times New Roman" w:hAnsi="Times New Roman"/>
          <w:sz w:val="18"/>
          <w:szCs w:val="18"/>
          <w:color w:val="0000FF"/>
        </w:rPr>
        <w:tab/>
        <w:t>Certificate of Amendment to the Restated and Amended Articles of Incorporation, as amended, of Vistagen Therapeutics, Inc., dated June 6, 2023, incorporated by reference from Exhibit 3.1 to the Current Report on Form 8-K, filed June 6, 2023.</w:t>
      </w:r>
    </w:p>
    <w:p>
      <w:pPr>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u w:val="single" w:color="auto"/>
            <w:color w:val="0000FF"/>
          </w:rPr>
          <w:t>4.10</w:t>
        </w:r>
      </w:hyperlink>
      <w:r>
        <w:rPr>
          <w:rFonts w:ascii="Times New Roman" w:cs="Times New Roman" w:eastAsia="Times New Roman" w:hAnsi="Times New Roman"/>
          <w:sz w:val="18"/>
          <w:szCs w:val="18"/>
          <w:color w:val="0000FF"/>
        </w:rPr>
        <w:tab/>
        <w:t>Form of Pre-Funded Warrant (October 2023 Public Offering), incorporated by reference from Exhibit 4.1 to the Company’s Current Report on Form 8-K filed on October 4, 2023.</w:t>
      </w:r>
    </w:p>
    <w:p>
      <w:pPr>
        <w:spacing w:after="0" w:line="14" w:lineRule="exact"/>
        <w:rPr>
          <w:sz w:val="20"/>
          <w:szCs w:val="20"/>
          <w:color w:val="auto"/>
        </w:rPr>
      </w:pPr>
    </w:p>
    <w:p>
      <w:pPr>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u w:val="single" w:color="auto"/>
            <w:color w:val="0000FF"/>
          </w:rPr>
          <w:t>4.20</w:t>
        </w:r>
      </w:hyperlink>
      <w:r>
        <w:rPr>
          <w:rFonts w:ascii="Times New Roman" w:cs="Times New Roman" w:eastAsia="Times New Roman" w:hAnsi="Times New Roman"/>
          <w:sz w:val="18"/>
          <w:szCs w:val="18"/>
          <w:color w:val="0000FF"/>
        </w:rPr>
        <w:tab/>
        <w:t>Form of T1 Warrant (October 2023 Public Offering), incorporated by reference from Exhibit 4.2 to the Company’s Current Report on Form 8-K filed on October 4, 2023.</w:t>
      </w:r>
    </w:p>
    <w:p>
      <w:pPr>
        <w:spacing w:after="0" w:line="14" w:lineRule="exact"/>
        <w:rPr>
          <w:sz w:val="20"/>
          <w:szCs w:val="20"/>
          <w:color w:val="auto"/>
        </w:rPr>
      </w:pPr>
    </w:p>
    <w:p>
      <w:pPr>
        <w:ind w:left="940" w:hanging="863"/>
        <w:spacing w:after="0" w:line="266" w:lineRule="auto"/>
        <w:tabs>
          <w:tab w:leader="none" w:pos="920" w:val="left"/>
        </w:tabs>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u w:val="single" w:color="auto"/>
            <w:color w:val="0000FF"/>
          </w:rPr>
          <w:t>4.30</w:t>
        </w:r>
      </w:hyperlink>
      <w:r>
        <w:rPr>
          <w:rFonts w:ascii="Times New Roman" w:cs="Times New Roman" w:eastAsia="Times New Roman" w:hAnsi="Times New Roman"/>
          <w:sz w:val="18"/>
          <w:szCs w:val="18"/>
          <w:color w:val="0000FF"/>
        </w:rPr>
        <w:tab/>
        <w:t>Form of T2 Warrant (October 2023 Public Offering), incorporated by reference from Exhibit 4.3 to the Company’s Current Report on Form 8-K filed on October 4, 2023.</w:t>
      </w:r>
    </w:p>
    <w:p>
      <w:pPr>
        <w:spacing w:after="0" w:line="14" w:lineRule="exact"/>
        <w:rPr>
          <w:sz w:val="20"/>
          <w:szCs w:val="20"/>
          <w:color w:val="auto"/>
        </w:rPr>
      </w:pPr>
    </w:p>
    <w:p>
      <w:pPr>
        <w:ind w:left="8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0000FF"/>
        </w:rPr>
        <w:t>4.31</w:t>
      </w:r>
      <w:r>
        <w:rPr>
          <w:sz w:val="20"/>
          <w:szCs w:val="20"/>
          <w:color w:val="auto"/>
        </w:rPr>
        <w:tab/>
      </w:r>
      <w:r>
        <w:rPr>
          <w:rFonts w:ascii="Times New Roman" w:cs="Times New Roman" w:eastAsia="Times New Roman" w:hAnsi="Times New Roman"/>
          <w:sz w:val="18"/>
          <w:szCs w:val="18"/>
          <w:color w:val="auto"/>
        </w:rPr>
        <w:t>Description of Registrant's Securities, filed herewith.</w:t>
      </w:r>
    </w:p>
    <w:p>
      <w:pPr>
        <w:spacing w:after="0" w:line="77" w:lineRule="exact"/>
        <w:rPr>
          <w:sz w:val="20"/>
          <w:szCs w:val="20"/>
          <w:color w:val="auto"/>
        </w:rPr>
      </w:pPr>
    </w:p>
    <w:p>
      <w:pPr>
        <w:spacing w:after="0"/>
        <w:tabs>
          <w:tab w:leader="none" w:pos="920" w:val="left"/>
        </w:tabs>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Employment Agreement, by and between, Vistagen and Shawn K. Singh, dated April 28, 2010, as amended May 9, 2011.</w:t>
      </w:r>
    </w:p>
    <w:p>
      <w:pPr>
        <w:spacing w:after="0" w:line="63" w:lineRule="exact"/>
        <w:rPr>
          <w:sz w:val="20"/>
          <w:szCs w:val="20"/>
          <w:color w:val="auto"/>
        </w:rPr>
      </w:pPr>
    </w:p>
    <w:p>
      <w:pPr>
        <w:ind w:left="940" w:hanging="908"/>
        <w:spacing w:after="0" w:line="266" w:lineRule="auto"/>
        <w:tabs>
          <w:tab w:leader="none" w:pos="920" w:val="left"/>
        </w:tabs>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u w:val="single" w:color="auto"/>
            <w:color w:val="0000FF"/>
          </w:rPr>
          <w:t>10.83</w:t>
        </w:r>
      </w:hyperlink>
      <w:r>
        <w:rPr>
          <w:rFonts w:ascii="Times New Roman" w:cs="Times New Roman" w:eastAsia="Times New Roman" w:hAnsi="Times New Roman"/>
          <w:sz w:val="18"/>
          <w:szCs w:val="18"/>
          <w:color w:val="0000FF"/>
        </w:rPr>
        <w:tab/>
        <w:t>Lease between Bayside Area Development, LLC and VistaGen Therapeutics, Inc. (California) dated April 24, 2013, incorporated by reference from Exhibit 10.83 to the Company’s Annual Report on Form 10-K filed July 18, 2013.</w:t>
      </w:r>
    </w:p>
    <w:p>
      <w:pPr>
        <w:spacing w:after="0" w:line="14" w:lineRule="exact"/>
        <w:rPr>
          <w:sz w:val="20"/>
          <w:szCs w:val="20"/>
          <w:color w:val="auto"/>
        </w:rPr>
      </w:pPr>
    </w:p>
    <w:p>
      <w:pPr>
        <w:ind w:left="40"/>
        <w:spacing w:after="0"/>
        <w:tabs>
          <w:tab w:leader="none" w:pos="920" w:val="left"/>
        </w:tabs>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u w:val="single" w:color="auto"/>
            <w:color w:val="0000FF"/>
          </w:rPr>
          <w:t>10.84</w:t>
        </w:r>
      </w:hyperlink>
      <w:r>
        <w:rPr>
          <w:rFonts w:ascii="Times New Roman" w:cs="Times New Roman" w:eastAsia="Times New Roman" w:hAnsi="Times New Roman"/>
          <w:sz w:val="18"/>
          <w:szCs w:val="18"/>
          <w:color w:val="0000FF"/>
        </w:rPr>
        <w:tab/>
        <w:t>Indemnification Agreement effective May 20, 2013 between the Company and Jon S. Saxe, incorporated by reference from Exhibit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10.84 to the Company’s Annual Report on Form 10-K filed on July 18, 2013.</w:t>
      </w:r>
    </w:p>
    <w:p>
      <w:pPr>
        <w:spacing w:after="0" w:line="43" w:lineRule="exact"/>
        <w:rPr>
          <w:sz w:val="20"/>
          <w:szCs w:val="20"/>
          <w:color w:val="auto"/>
        </w:rPr>
      </w:pPr>
    </w:p>
    <w:p>
      <w:pPr>
        <w:ind w:left="40"/>
        <w:spacing w:after="0"/>
        <w:tabs>
          <w:tab w:leader="none" w:pos="920" w:val="left"/>
        </w:tabs>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u w:val="single" w:color="auto"/>
            <w:color w:val="0000FF"/>
          </w:rPr>
          <w:t>10.85</w:t>
        </w:r>
      </w:hyperlink>
      <w:r>
        <w:rPr>
          <w:rFonts w:ascii="Times New Roman" w:cs="Times New Roman" w:eastAsia="Times New Roman" w:hAnsi="Times New Roman"/>
          <w:sz w:val="18"/>
          <w:szCs w:val="18"/>
          <w:color w:val="0000FF"/>
        </w:rPr>
        <w:tab/>
        <w:t>Indemnification Agreement effective May 20, 2013 between the Company and Shawn K. Singh, incorporated by reference from Exhibit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10.85 to the Company’s Annual Report on Form 10-K filed on July 18, 2013.</w:t>
      </w:r>
    </w:p>
    <w:p>
      <w:pPr>
        <w:spacing w:after="0" w:line="43" w:lineRule="exact"/>
        <w:rPr>
          <w:sz w:val="20"/>
          <w:szCs w:val="20"/>
          <w:color w:val="auto"/>
        </w:rPr>
      </w:pPr>
    </w:p>
    <w:p>
      <w:pPr>
        <w:spacing w:after="0"/>
        <w:tabs>
          <w:tab w:leader="none" w:pos="920" w:val="left"/>
        </w:tabs>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u w:val="single" w:color="auto"/>
            <w:color w:val="0000FF"/>
          </w:rPr>
          <w:t>10.112</w:t>
        </w:r>
      </w:hyperlink>
      <w:r>
        <w:rPr>
          <w:rFonts w:ascii="Times New Roman" w:cs="Times New Roman" w:eastAsia="Times New Roman" w:hAnsi="Times New Roman"/>
          <w:sz w:val="18"/>
          <w:szCs w:val="18"/>
          <w:color w:val="0000FF"/>
        </w:rPr>
        <w:tab/>
        <w:t>Indemnification Agreement effective April 8, 2016 between the Company and Jerry B. Gin, incorporated by reference from Exhibit</w:t>
      </w:r>
    </w:p>
    <w:p>
      <w:pPr>
        <w:spacing w:after="0" w:line="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10.112 to the Company’s Annual Report on Form 10-K filed on June 24, 2016.</w:t>
      </w:r>
    </w:p>
    <w:p>
      <w:pPr>
        <w:spacing w:after="0" w:line="43" w:lineRule="exact"/>
        <w:rPr>
          <w:sz w:val="20"/>
          <w:szCs w:val="20"/>
          <w:color w:val="auto"/>
        </w:rPr>
      </w:pPr>
    </w:p>
    <w:p>
      <w:pPr>
        <w:ind w:left="940" w:right="20" w:hanging="949"/>
        <w:spacing w:after="0" w:line="266" w:lineRule="auto"/>
        <w:tabs>
          <w:tab w:leader="none" w:pos="920" w:val="left"/>
        </w:tabs>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u w:val="single" w:color="auto"/>
            <w:color w:val="0000FF"/>
          </w:rPr>
          <w:t>10.116</w:t>
        </w:r>
      </w:hyperlink>
      <w:r>
        <w:rPr>
          <w:rFonts w:ascii="Times New Roman" w:cs="Times New Roman" w:eastAsia="Times New Roman" w:hAnsi="Times New Roman"/>
          <w:sz w:val="18"/>
          <w:szCs w:val="18"/>
          <w:color w:val="0000FF"/>
        </w:rPr>
        <w:tab/>
        <w:t>Second Amendment to Employment Agreement by and between VistaGen Therapeutics, Inc. and Shawn K. Singh, dated June 22, 2016, incorporated by reference from Exhibit 10.116 to the Company’s Annual Report on Form 10-K filed on June 24, 2016.</w:t>
      </w:r>
    </w:p>
    <w:p>
      <w:pPr>
        <w:spacing w:after="0" w:line="14" w:lineRule="exact"/>
        <w:rPr>
          <w:sz w:val="20"/>
          <w:szCs w:val="20"/>
          <w:color w:val="auto"/>
        </w:rPr>
      </w:pPr>
    </w:p>
    <w:p>
      <w:pPr>
        <w:ind w:left="940" w:hanging="949"/>
        <w:spacing w:after="0" w:line="266" w:lineRule="auto"/>
        <w:tabs>
          <w:tab w:leader="none" w:pos="920" w:val="left"/>
        </w:tabs>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10.118</w:t>
        </w:r>
      </w:hyperlink>
      <w:r>
        <w:rPr>
          <w:rFonts w:ascii="Times New Roman" w:cs="Times New Roman" w:eastAsia="Times New Roman" w:hAnsi="Times New Roman"/>
          <w:sz w:val="18"/>
          <w:szCs w:val="18"/>
          <w:color w:val="0000FF"/>
        </w:rPr>
        <w:tab/>
        <w:t>Second Amendment to Lease between Bayside Area Development and the Company, effective November 10, 2016, incorporated by reference from Exhibit 10.1 to the Company’s Quarterly Report on Form 10-Q filed on November 15, 2016.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1215" w:right="359" w:bottom="1440" w:gutter="0" w:footer="0" w:header="0"/>
        </w:sectPr>
      </w:pPr>
    </w:p>
    <w:bookmarkStart w:id="126" w:name="page127"/>
    <w:bookmarkEnd w:id="126"/>
    <w:p>
      <w:pPr>
        <w:ind w:left="1020" w:right="20" w:hanging="953"/>
        <w:spacing w:after="0" w:line="266" w:lineRule="auto"/>
        <w:tabs>
          <w:tab w:leader="none" w:pos="10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55803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7132320" cy="5580380"/>
                    </a:xfrm>
                    <a:prstGeom prst="rect">
                      <a:avLst/>
                    </a:prstGeom>
                    <a:noFill/>
                  </pic:spPr>
                </pic:pic>
              </a:graphicData>
            </a:graphic>
          </wp:anchor>
        </w:drawing>
      </w:r>
      <w:hyperlink r:id="rId176">
        <w:r>
          <w:rPr>
            <w:rFonts w:ascii="Times New Roman" w:cs="Times New Roman" w:eastAsia="Times New Roman" w:hAnsi="Times New Roman"/>
            <w:sz w:val="18"/>
            <w:szCs w:val="18"/>
            <w:u w:val="single" w:color="auto"/>
            <w:color w:val="0000FF"/>
          </w:rPr>
          <w:t>10.122</w:t>
        </w:r>
      </w:hyperlink>
      <w:r>
        <w:rPr>
          <w:rFonts w:ascii="Times New Roman" w:cs="Times New Roman" w:eastAsia="Times New Roman" w:hAnsi="Times New Roman"/>
          <w:sz w:val="18"/>
          <w:szCs w:val="18"/>
          <w:color w:val="0000FF"/>
        </w:rPr>
        <w:tab/>
        <w:t>Amended and Restated 2016 Stock Incentive Plan (formerly the VistaGen Therapeutics, Inc. 2008 Stock Incentive Plan), incorporated by reference from Exhibit 10.122 to the Company’s Annual Report on Form 10-K filed on June 29, 2017.</w:t>
      </w:r>
    </w:p>
    <w:p>
      <w:pPr>
        <w:spacing w:after="0" w:line="14" w:lineRule="exact"/>
        <w:rPr>
          <w:sz w:val="20"/>
          <w:szCs w:val="20"/>
          <w:color w:val="auto"/>
        </w:rPr>
      </w:pPr>
    </w:p>
    <w:p>
      <w:pPr>
        <w:ind w:left="1020" w:hanging="1003"/>
        <w:spacing w:after="0" w:line="266" w:lineRule="auto"/>
        <w:tabs>
          <w:tab w:leader="none" w:pos="1000" w:val="left"/>
        </w:tabs>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u w:val="single" w:color="auto"/>
            <w:color w:val="0000FF"/>
          </w:rPr>
          <w:t>10.130+</w:t>
        </w:r>
      </w:hyperlink>
      <w:r>
        <w:rPr>
          <w:rFonts w:ascii="Times New Roman" w:cs="Times New Roman" w:eastAsia="Times New Roman" w:hAnsi="Times New Roman"/>
          <w:sz w:val="18"/>
          <w:szCs w:val="18"/>
          <w:color w:val="0000FF"/>
        </w:rPr>
        <w:tab/>
        <w:t>License Agreement (PH94B), by and between VistaGen Therapeutics, Inc. and Pherin Pharmaceuticals, Inc., dated September 11, 2018, incorporated by reference from Exhibit 10.1 to the Company’s Current Report on Form 8-K filed on September 13, 2018</w:t>
      </w:r>
    </w:p>
    <w:p>
      <w:pPr>
        <w:spacing w:after="0" w:line="14" w:lineRule="exact"/>
        <w:rPr>
          <w:sz w:val="20"/>
          <w:szCs w:val="20"/>
          <w:color w:val="auto"/>
        </w:rPr>
      </w:pPr>
    </w:p>
    <w:p>
      <w:pPr>
        <w:ind w:left="1020" w:hanging="1003"/>
        <w:spacing w:after="0" w:line="266" w:lineRule="auto"/>
        <w:tabs>
          <w:tab w:leader="none" w:pos="1000" w:val="left"/>
        </w:tabs>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u w:val="single" w:color="auto"/>
            <w:color w:val="0000FF"/>
          </w:rPr>
          <w:t>10.131+</w:t>
        </w:r>
      </w:hyperlink>
      <w:r>
        <w:rPr>
          <w:rFonts w:ascii="Times New Roman" w:cs="Times New Roman" w:eastAsia="Times New Roman" w:hAnsi="Times New Roman"/>
          <w:sz w:val="18"/>
          <w:szCs w:val="18"/>
          <w:color w:val="0000FF"/>
        </w:rPr>
        <w:tab/>
        <w:t>Option Agreement, by and between the Company and Pherin Pharmaceuticals, Inc., dated September 11, 2018, incorporated by reference from Exhibit 10.2 to the Company’s Current Report on Form 8-K filed on September 13, 2018.</w:t>
      </w:r>
    </w:p>
    <w:p>
      <w:pPr>
        <w:spacing w:after="0" w:line="14" w:lineRule="exact"/>
        <w:rPr>
          <w:sz w:val="20"/>
          <w:szCs w:val="20"/>
          <w:color w:val="auto"/>
        </w:rPr>
      </w:pPr>
    </w:p>
    <w:p>
      <w:pPr>
        <w:ind w:left="1020" w:hanging="1003"/>
        <w:spacing w:after="0" w:line="266" w:lineRule="auto"/>
        <w:tabs>
          <w:tab w:leader="none" w:pos="1000" w:val="left"/>
        </w:tabs>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u w:val="single" w:color="auto"/>
            <w:color w:val="0000FF"/>
          </w:rPr>
          <w:t>10.132+</w:t>
        </w:r>
      </w:hyperlink>
      <w:r>
        <w:rPr>
          <w:rFonts w:ascii="Times New Roman" w:cs="Times New Roman" w:eastAsia="Times New Roman" w:hAnsi="Times New Roman"/>
          <w:sz w:val="18"/>
          <w:szCs w:val="18"/>
          <w:color w:val="0000FF"/>
        </w:rPr>
        <w:tab/>
        <w:t>License Agreement (PH10), by and between the Company and Pherin Pharmaceuticals, Inc., dated October 24, 2018, incorporated by reference from Exhibit 10.3 to the Company’s Quarterly Report on Form 10-Q/A filed on October 30, 2018.</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u w:val="single" w:color="auto"/>
            <w:color w:val="0000FF"/>
          </w:rPr>
          <w:t>10.135</w:t>
        </w:r>
      </w:hyperlink>
      <w:r>
        <w:rPr>
          <w:rFonts w:ascii="Times New Roman" w:cs="Times New Roman" w:eastAsia="Times New Roman" w:hAnsi="Times New Roman"/>
          <w:sz w:val="18"/>
          <w:szCs w:val="18"/>
          <w:color w:val="0000FF"/>
        </w:rPr>
        <w:tab/>
        <w:t>Indemnification Agreement, dated January 10, 2019, by and between the Company and Ann Cunningham, incorporated by reference from Exhibit 10.1 to the Company’s Current Report on Form 8-K filed on January 15, 2019.</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u w:val="single" w:color="auto"/>
            <w:color w:val="0000FF"/>
          </w:rPr>
          <w:t>10.139</w:t>
        </w:r>
      </w:hyperlink>
      <w:r>
        <w:rPr>
          <w:rFonts w:ascii="Times New Roman" w:cs="Times New Roman" w:eastAsia="Times New Roman" w:hAnsi="Times New Roman"/>
          <w:sz w:val="18"/>
          <w:szCs w:val="18"/>
          <w:color w:val="0000FF"/>
        </w:rPr>
        <w:tab/>
        <w:t>Vistagen Therapeutics, Inc. 2019 Omnibus Equity Incentive Plan, incorporated by reference from Exhibit 99.1 to the Company’s Registration Statement on Form S-8 filed on October 1, 2019.</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u w:val="single" w:color="auto"/>
            <w:color w:val="0000FF"/>
          </w:rPr>
          <w:t>10.140</w:t>
        </w:r>
      </w:hyperlink>
      <w:r>
        <w:rPr>
          <w:rFonts w:ascii="Times New Roman" w:cs="Times New Roman" w:eastAsia="Times New Roman" w:hAnsi="Times New Roman"/>
          <w:sz w:val="18"/>
          <w:szCs w:val="18"/>
          <w:color w:val="0000FF"/>
        </w:rPr>
        <w:tab/>
        <w:t>Vistagen Therapeutics, Inc. 2019 Employee Stock Purchase Plan, incorporated by reference from Exhibit 99.2 to the Company’s Registration Statement on Form S-8 filed on October 1, 2019.</w:t>
      </w:r>
    </w:p>
    <w:p>
      <w:pPr>
        <w:spacing w:after="0" w:line="14" w:lineRule="exact"/>
        <w:rPr>
          <w:sz w:val="20"/>
          <w:szCs w:val="20"/>
          <w:color w:val="auto"/>
        </w:rPr>
      </w:pPr>
    </w:p>
    <w:p>
      <w:pPr>
        <w:ind w:left="1020" w:hanging="1020"/>
        <w:spacing w:after="0" w:line="266" w:lineRule="auto"/>
        <w:tabs>
          <w:tab w:leader="none" w:pos="1000" w:val="left"/>
        </w:tabs>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u w:val="single" w:color="auto"/>
            <w:color w:val="0000FF"/>
          </w:rPr>
          <w:t>10.148 #</w:t>
        </w:r>
      </w:hyperlink>
      <w:r>
        <w:rPr>
          <w:rFonts w:ascii="Times New Roman" w:cs="Times New Roman" w:eastAsia="Times New Roman" w:hAnsi="Times New Roman"/>
          <w:sz w:val="18"/>
          <w:szCs w:val="18"/>
          <w:color w:val="0000FF"/>
        </w:rPr>
        <w:tab/>
        <w:t>License and Collaboration Agreement between VistaGen Therapeutics, Inc. and EverInsight Therapeutics Inc. incorporated by reference from Exhibit 10.1 to the Company’s Current Report on Form 8-K, filed June 26, 2020.</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u w:val="single" w:color="auto"/>
            <w:color w:val="0000FF"/>
          </w:rPr>
          <w:t>10.151</w:t>
        </w:r>
      </w:hyperlink>
      <w:r>
        <w:rPr>
          <w:rFonts w:ascii="Times New Roman" w:cs="Times New Roman" w:eastAsia="Times New Roman" w:hAnsi="Times New Roman"/>
          <w:sz w:val="18"/>
          <w:szCs w:val="18"/>
          <w:color w:val="0000FF"/>
        </w:rPr>
        <w:tab/>
        <w:t>Indemnification Agreement, dated April 26, 2021, by and between the Company and Joanne Curley, Ph.D. incorporated by reference from Exhibit 10.1 to the Company’s Current Report on Form 8-K filed on April 27,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u w:val="single" w:color="auto"/>
            <w:color w:val="0000FF"/>
          </w:rPr>
          <w:t>10.152</w:t>
        </w:r>
      </w:hyperlink>
      <w:r>
        <w:rPr>
          <w:rFonts w:ascii="Times New Roman" w:cs="Times New Roman" w:eastAsia="Times New Roman" w:hAnsi="Times New Roman"/>
          <w:sz w:val="18"/>
          <w:szCs w:val="18"/>
          <w:color w:val="0000FF"/>
        </w:rPr>
        <w:tab/>
        <w:t>Indemnification Agreement, dated July 6, 2021, by and between the Company and Mary L. Rotunno, J.D. incorporated by reference from Exhibit 10.1 to the Company’s Current Report on Form 8-K, filed on July 8,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u w:val="single" w:color="auto"/>
            <w:color w:val="0000FF"/>
          </w:rPr>
          <w:t>10.153</w:t>
        </w:r>
      </w:hyperlink>
      <w:r>
        <w:rPr>
          <w:rFonts w:ascii="Times New Roman" w:cs="Times New Roman" w:eastAsia="Times New Roman" w:hAnsi="Times New Roman"/>
          <w:sz w:val="18"/>
          <w:szCs w:val="18"/>
          <w:color w:val="0000FF"/>
        </w:rPr>
        <w:tab/>
        <w:t>Indemnification Agreement, dated July 21, 2021, by and between the Company and Margaret M. FitzPatrick incorporated by reference from Exhibit 10.1 to the Company’s Current Report on Form 8-K filed on July 22,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u w:val="single" w:color="auto"/>
            <w:color w:val="0000FF"/>
          </w:rPr>
          <w:t>10.154</w:t>
        </w:r>
      </w:hyperlink>
      <w:r>
        <w:rPr>
          <w:rFonts w:ascii="Times New Roman" w:cs="Times New Roman" w:eastAsia="Times New Roman" w:hAnsi="Times New Roman"/>
          <w:sz w:val="18"/>
          <w:szCs w:val="18"/>
          <w:color w:val="0000FF"/>
        </w:rPr>
        <w:tab/>
        <w:t>Third Amendment to Lease, by and between Bayside Area Development, LLC and VistaGen Therapeutics, Inc. dated October 14, 2021, incorporated by reference from Exhibit 10.1 to the Company’s Quarterly Report on Form 10-Q, filed on November 10, 2021.</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u w:val="single" w:color="auto"/>
            <w:color w:val="0000FF"/>
          </w:rPr>
          <w:t>10.155</w:t>
        </w:r>
      </w:hyperlink>
      <w:r>
        <w:rPr>
          <w:rFonts w:ascii="Times New Roman" w:cs="Times New Roman" w:eastAsia="Times New Roman" w:hAnsi="Times New Roman"/>
          <w:sz w:val="18"/>
          <w:szCs w:val="18"/>
          <w:color w:val="0000FF"/>
        </w:rPr>
        <w:tab/>
        <w:t>Indemnification Agreement, dated May 13, 2022, by and between Vistagen Therapeutics, Inc. and Reid G. Adler, J.D., incorporated by reference from Exhibit 10.1 to the Company’s Quarterly Report on Form 10-Q, filed on August 11, 2022.</w:t>
      </w:r>
    </w:p>
    <w:p>
      <w:pPr>
        <w:spacing w:after="0" w:line="14"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u w:val="single" w:color="auto"/>
            <w:color w:val="0000FF"/>
          </w:rPr>
          <w:t>10.156</w:t>
        </w:r>
      </w:hyperlink>
      <w:r>
        <w:rPr>
          <w:rFonts w:ascii="Times New Roman" w:cs="Times New Roman" w:eastAsia="Times New Roman" w:hAnsi="Times New Roman"/>
          <w:sz w:val="18"/>
          <w:szCs w:val="18"/>
          <w:color w:val="0000FF"/>
        </w:rPr>
        <w:tab/>
        <w:t>Consulting Services Agreement between Vistagen Therapeutics, Inc and FitzPatrick &amp; Co. LLC, dated January 21, 2022, incorporated by reference from Exhibit 10.1 to the Company’s Quarterly Report on Form 10-Q, filed on November 10, 2022.</w:t>
      </w:r>
    </w:p>
    <w:p>
      <w:pPr>
        <w:spacing w:after="0" w:line="14" w:lineRule="exact"/>
        <w:rPr>
          <w:sz w:val="20"/>
          <w:szCs w:val="20"/>
          <w:color w:val="auto"/>
        </w:rPr>
      </w:pPr>
    </w:p>
    <w:p>
      <w:pPr>
        <w:ind w:left="80"/>
        <w:spacing w:after="0"/>
        <w:tabs>
          <w:tab w:leader="none" w:pos="1000" w:val="left"/>
        </w:tabs>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u w:val="single" w:color="auto"/>
            <w:color w:val="0000FF"/>
          </w:rPr>
          <w:t>10.157</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Amendment No. 1 to Consulting Services Agreement between Vistagen Therapeutics, Inc and FitzPatrick &amp; Co. LLC, effective June 1,</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2022, incorporated by reference from Exhibit 10.2 to the Company’s Quarterly Report on Form 10-Q, filed on November 10, 2022.</w:t>
      </w:r>
    </w:p>
    <w:p>
      <w:pPr>
        <w:spacing w:after="0" w:line="43" w:lineRule="exact"/>
        <w:rPr>
          <w:sz w:val="20"/>
          <w:szCs w:val="20"/>
          <w:color w:val="auto"/>
        </w:rPr>
      </w:pPr>
    </w:p>
    <w:p>
      <w:pPr>
        <w:ind w:left="80"/>
        <w:spacing w:after="0"/>
        <w:tabs>
          <w:tab w:leader="none" w:pos="1000" w:val="left"/>
        </w:tabs>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u w:val="single" w:color="auto"/>
            <w:color w:val="0000FF"/>
          </w:rPr>
          <w:t>10.158</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Amendment No 2. to Consulting Services Agreement between Vistagen Therapeutics, Inc. and FitzPatrick &amp; Co. LLC effective January</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 2023, incorporated by reference from Exhibit 10.1 to the Company’s Quarterly Report on Form 10-Q, filed on February 7, 2023.</w:t>
      </w:r>
    </w:p>
    <w:p>
      <w:pPr>
        <w:spacing w:after="0" w:line="43" w:lineRule="exact"/>
        <w:rPr>
          <w:sz w:val="20"/>
          <w:szCs w:val="20"/>
          <w:color w:val="auto"/>
        </w:rPr>
      </w:pPr>
    </w:p>
    <w:p>
      <w:pPr>
        <w:ind w:left="80"/>
        <w:spacing w:after="0"/>
        <w:tabs>
          <w:tab w:leader="none" w:pos="1000" w:val="left"/>
        </w:tabs>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u w:val="single" w:color="auto"/>
            <w:color w:val="0000FF"/>
          </w:rPr>
          <w:t>10.159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Amendment No 3. to Consulting Services Agreement between Vistagen Therapeutics, Inc. and FitzPatrick &amp; Co. LLC effective July 1,</w:t>
      </w:r>
    </w:p>
    <w:p>
      <w:pPr>
        <w:spacing w:after="0" w:line="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2023, filed herewith.</w:t>
      </w:r>
    </w:p>
    <w:p>
      <w:pPr>
        <w:spacing w:after="0" w:line="43" w:lineRule="exact"/>
        <w:rPr>
          <w:sz w:val="20"/>
          <w:szCs w:val="20"/>
          <w:color w:val="auto"/>
        </w:rPr>
      </w:pPr>
    </w:p>
    <w:p>
      <w:pPr>
        <w:ind w:left="1020" w:hanging="953"/>
        <w:spacing w:after="0" w:line="266" w:lineRule="auto"/>
        <w:tabs>
          <w:tab w:leader="none" w:pos="1000" w:val="left"/>
        </w:tabs>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u w:val="single" w:color="auto"/>
            <w:color w:val="0000FF"/>
          </w:rPr>
          <w:t>10.160</w:t>
        </w:r>
      </w:hyperlink>
      <w:r>
        <w:rPr>
          <w:rFonts w:ascii="Times New Roman" w:cs="Times New Roman" w:eastAsia="Times New Roman" w:hAnsi="Times New Roman"/>
          <w:sz w:val="18"/>
          <w:szCs w:val="18"/>
          <w:color w:val="0000FF"/>
        </w:rPr>
        <w:tab/>
        <w:t>Consulting Agreement between Vistagen Therapeutics, Inc and i3 Strategy, dated November 10, 2022, incorporated by reference from Exhibit 10.3 to the Company’s Quarterly Report on Form 10-Q filed on November 10, 2022.</w:t>
      </w:r>
    </w:p>
    <w:p>
      <w:pPr>
        <w:spacing w:after="0" w:line="14"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FF"/>
        </w:rPr>
        <w:t>10.163</w:t>
      </w:r>
      <w:r>
        <w:rPr>
          <w:sz w:val="20"/>
          <w:szCs w:val="20"/>
          <w:color w:val="auto"/>
        </w:rPr>
        <w:tab/>
      </w:r>
      <w:r>
        <w:rPr>
          <w:rFonts w:ascii="Times New Roman" w:cs="Times New Roman" w:eastAsia="Times New Roman" w:hAnsi="Times New Roman"/>
          <w:sz w:val="17"/>
          <w:szCs w:val="17"/>
          <w:color w:val="auto"/>
        </w:rPr>
        <w:t>Indemnification Agreement, dated August 10, 2023, by and between Vistagen Therapeutics, Inc. and Cynthia Anderson, filed herewith.</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80" w:top="1215" w:right="3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1380" w:type="dxa"/>
            <w:vAlign w:val="bottom"/>
            <w:tcBorders>
              <w:top w:val="single" w:sz="8" w:color="auto"/>
              <w:right w:val="single" w:sz="8" w:color="auto"/>
            </w:tcBorders>
            <w:gridSpan w:val="5"/>
          </w:tcPr>
          <w:p>
            <w:pPr>
              <w:jc w:val="cente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10.164</w:t>
              </w:r>
            </w:hyperlink>
          </w:p>
        </w:tc>
        <w:tc>
          <w:tcPr>
            <w:tcW w:w="9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Exclusive Negotiation Agreement, by and between Vistagen Therapeutics, Inc. and Fuji Pharma Co., Ltd., dated September 1, 2023,</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incorporated by reference from Exhibit 10.1 to the Company’s Current Report on Form 8-K filed on September 8, 2023.</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10.165</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4 to Consulting Agreement by and between the Company and FitzPatrick Co. LLC, dated November 9, 2023,</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incorporated by reference from Exhibit 10.2 to the Company’s Quarterly Report on Form 10-Q filed on November 9, 2023.</w:t>
            </w:r>
          </w:p>
        </w:tc>
      </w:tr>
      <w:tr>
        <w:trPr>
          <w:trHeight w:val="203"/>
        </w:trPr>
        <w:tc>
          <w:tcPr>
            <w:tcW w:w="1380" w:type="dxa"/>
            <w:vAlign w:val="bottom"/>
            <w:tcBorders>
              <w:right w:val="single" w:sz="8" w:color="auto"/>
            </w:tcBorders>
            <w:gridSpan w:val="5"/>
          </w:tcPr>
          <w:p>
            <w:pPr>
              <w:jc w:val="center"/>
              <w:spacing w:after="0" w:line="20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10.166</w:t>
              </w:r>
            </w:hyperlink>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Indemnification Agreement, dated October 24, 2023, by and between Vistagen Therapeutics, Inc. and Joshua Prince, incorporated by</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top w:val="single" w:sz="8" w:color="0000FF"/>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top w:val="single" w:sz="8" w:color="0000FF"/>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reference from Exhibit 10.1 to the Company’s Current Report on Form 8-K filed on October 26, 2023.</w:t>
            </w:r>
          </w:p>
        </w:tc>
      </w:tr>
      <w:tr>
        <w:trPr>
          <w:trHeight w:val="203"/>
        </w:trPr>
        <w:tc>
          <w:tcPr>
            <w:tcW w:w="940" w:type="dxa"/>
            <w:vAlign w:val="bottom"/>
            <w:gridSpan w:val="4"/>
          </w:tcPr>
          <w:p>
            <w:pPr>
              <w:jc w:val="center"/>
              <w:ind w:left="330"/>
              <w:spacing w:after="0" w:line="20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21.1</w:t>
              </w:r>
            </w:hyperlink>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List of Subsidiaries,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23.1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Consent of WithumSmith+Brown, PC, Independent Registered Public Accounting Firm,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31.1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Executive Officer pursuant to Section 302 of the Sarbanes-Oxley Act of 2002,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31.2</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Financial Officer pursuant to Section 302 of the Sarbanes-Oxley Act of 2002,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196"/>
        </w:trPr>
        <w:tc>
          <w:tcPr>
            <w:tcW w:w="940" w:type="dxa"/>
            <w:vAlign w:val="bottom"/>
            <w:gridSpan w:val="4"/>
          </w:tcPr>
          <w:p>
            <w:pPr>
              <w:jc w:val="center"/>
              <w:ind w:left="330"/>
              <w:spacing w:after="0" w:line="196" w:lineRule="exact"/>
              <w:rPr>
                <w:sz w:val="20"/>
                <w:szCs w:val="20"/>
                <w:color w:val="auto"/>
              </w:rPr>
            </w:pPr>
            <w:r>
              <w:rPr>
                <w:rFonts w:ascii="Times New Roman" w:cs="Times New Roman" w:eastAsia="Times New Roman" w:hAnsi="Times New Roman"/>
                <w:sz w:val="18"/>
                <w:szCs w:val="18"/>
                <w:color w:val="0000FF"/>
              </w:rPr>
              <w:t>32.1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Certification of the Company’s Chief Executive Officer and Chief Financial Officer pursuant to Section 906 of the Sarbanes-Oxley Act</w:t>
            </w:r>
          </w:p>
        </w:tc>
      </w:tr>
      <w:tr>
        <w:trPr>
          <w:trHeight w:val="230"/>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top w:val="single" w:sz="8" w:color="0000FF"/>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of 2002, filed herewith.</w:t>
            </w:r>
          </w:p>
        </w:tc>
      </w:tr>
      <w:tr>
        <w:trPr>
          <w:trHeight w:val="203"/>
        </w:trPr>
        <w:tc>
          <w:tcPr>
            <w:tcW w:w="940" w:type="dxa"/>
            <w:vAlign w:val="bottom"/>
            <w:gridSpan w:val="4"/>
          </w:tcPr>
          <w:p>
            <w:pPr>
              <w:jc w:val="center"/>
              <w:ind w:left="330"/>
              <w:spacing w:after="0" w:line="202" w:lineRule="exact"/>
              <w:rPr>
                <w:sz w:val="20"/>
                <w:szCs w:val="20"/>
                <w:color w:val="auto"/>
              </w:rPr>
            </w:pPr>
            <w:r>
              <w:rPr>
                <w:rFonts w:ascii="Times New Roman" w:cs="Times New Roman" w:eastAsia="Times New Roman" w:hAnsi="Times New Roman"/>
                <w:sz w:val="18"/>
                <w:szCs w:val="18"/>
                <w:color w:val="0000FF"/>
              </w:rPr>
              <w:t>97.1</w:t>
            </w:r>
          </w:p>
        </w:tc>
        <w:tc>
          <w:tcPr>
            <w:tcW w:w="440" w:type="dxa"/>
            <w:vAlign w:val="bottom"/>
            <w:tcBorders>
              <w:right w:val="single" w:sz="8" w:color="auto"/>
            </w:tcBorders>
          </w:tcPr>
          <w:p>
            <w:pPr>
              <w:spacing w:after="0"/>
              <w:rPr>
                <w:sz w:val="17"/>
                <w:szCs w:val="17"/>
                <w:color w:val="auto"/>
              </w:rPr>
            </w:pPr>
          </w:p>
        </w:tc>
        <w:tc>
          <w:tcPr>
            <w:tcW w:w="9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Policy for Recovery of Erroneously Awarded Compensation, filed herewith.</w:t>
            </w:r>
          </w:p>
        </w:tc>
      </w:tr>
      <w:tr>
        <w:trPr>
          <w:trHeight w:val="34"/>
        </w:trPr>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top w:val="single" w:sz="8" w:color="0000FF"/>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205"/>
        </w:trPr>
        <w:tc>
          <w:tcPr>
            <w:tcW w:w="1380" w:type="dxa"/>
            <w:vAlign w:val="bottom"/>
            <w:tcBorders>
              <w:right w:val="single" w:sz="8" w:color="auto"/>
            </w:tcBorders>
            <w:gridSpan w:val="5"/>
          </w:tcPr>
          <w:p>
            <w:pPr>
              <w:jc w:val="center"/>
              <w:ind w:right="20"/>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9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41"/>
        </w:trPr>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50"/>
        </w:trPr>
        <w:tc>
          <w:tcPr>
            <w:tcW w:w="1380" w:type="dxa"/>
            <w:vAlign w:val="bottom"/>
            <w:tcBorders>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Schema,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50"/>
        </w:trPr>
        <w:tc>
          <w:tcPr>
            <w:tcW w:w="1380" w:type="dxa"/>
            <w:vAlign w:val="bottom"/>
            <w:tcBorders>
              <w:bottom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filed herewith</w:t>
            </w:r>
          </w:p>
        </w:tc>
      </w:tr>
      <w:tr>
        <w:trPr>
          <w:trHeight w:val="250"/>
        </w:trPr>
        <w:tc>
          <w:tcPr>
            <w:tcW w:w="1380" w:type="dxa"/>
            <w:vAlign w:val="bottom"/>
            <w:tcBorders>
              <w:bottom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101.PRE</w:t>
            </w: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filed herewith</w:t>
            </w:r>
          </w:p>
        </w:tc>
      </w:tr>
      <w:tr>
        <w:trPr>
          <w:trHeight w:val="250"/>
        </w:trPr>
        <w:tc>
          <w:tcPr>
            <w:tcW w:w="8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820" w:hanging="812"/>
        <w:spacing w:after="0"/>
        <w:tabs>
          <w:tab w:leader="none" w:pos="8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like-numbered exhibit filed with our Current Report on Form 8-K on May 16, 2011.</w:t>
      </w:r>
    </w:p>
    <w:p>
      <w:pPr>
        <w:spacing w:after="0" w:line="6" w:lineRule="exact"/>
        <w:rPr>
          <w:sz w:val="20"/>
          <w:szCs w:val="20"/>
          <w:color w:val="auto"/>
        </w:rPr>
      </w:pPr>
    </w:p>
    <w:p>
      <w:pPr>
        <w:ind w:left="820" w:hanging="812"/>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for certain confidential portions of this agreement.</w:t>
      </w:r>
    </w:p>
    <w:p>
      <w:pPr>
        <w:ind w:left="820" w:right="60" w:hanging="812"/>
        <w:spacing w:after="0" w:line="246" w:lineRule="auto"/>
        <w:tabs>
          <w:tab w:leader="none" w:pos="8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(indicated by “[*****]”) have been omitted as the Company has determined (i) the omitted information is not material and (ii) the omitted information would likely cause harm to the Company if publicly disclosed.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28" w:name="page129"/>
    <w:bookmarkEnd w:id="128"/>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22" w:lineRule="exact"/>
        <w:rPr>
          <w:sz w:val="20"/>
          <w:szCs w:val="20"/>
          <w:color w:val="auto"/>
        </w:rPr>
      </w:pPr>
    </w:p>
    <w:p>
      <w:pPr>
        <w:ind w:left="20"/>
        <w:spacing w:after="0"/>
        <w:tabs>
          <w:tab w:leader="none" w:pos="4420" w:val="left"/>
          <w:tab w:leader="none" w:pos="4940" w:val="left"/>
          <w:tab w:leader="none" w:pos="5300" w:val="left"/>
        </w:tabs>
        <w:rPr>
          <w:sz w:val="20"/>
          <w:szCs w:val="20"/>
          <w:color w:val="auto"/>
        </w:rPr>
      </w:pPr>
      <w:r>
        <w:rPr>
          <w:rFonts w:ascii="Times New Roman" w:cs="Times New Roman" w:eastAsia="Times New Roman" w:hAnsi="Times New Roman"/>
          <w:sz w:val="18"/>
          <w:szCs w:val="18"/>
          <w:color w:val="auto"/>
        </w:rPr>
        <w:t>Date: June 11, 2024</w:t>
      </w:r>
      <w:r>
        <w:rPr>
          <w:sz w:val="20"/>
          <w:szCs w:val="20"/>
          <w:color w:val="auto"/>
        </w:rPr>
        <w:tab/>
      </w: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i w:val="1"/>
          <w:iCs w:val="1"/>
          <w:color w:val="auto"/>
        </w:rPr>
        <w:t>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27305</wp:posOffset>
            </wp:positionV>
            <wp:extent cx="15087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4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Shawn K. Singh, J.D.</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0" w:lineRule="exact"/>
        <w:rPr>
          <w:sz w:val="20"/>
          <w:szCs w:val="20"/>
          <w:color w:val="auto"/>
        </w:rPr>
      </w:pPr>
    </w:p>
    <w:p>
      <w:pPr>
        <w:spacing w:after="0" w:line="385" w:lineRule="exact"/>
        <w:rPr>
          <w:sz w:val="20"/>
          <w:szCs w:val="20"/>
          <w:color w:val="auto"/>
        </w:rPr>
      </w:pPr>
    </w:p>
    <w:p>
      <w:pPr>
        <w:ind w:right="20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35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6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33"/>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Shawn K. Singh</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Shawn K. Singh, J.D.</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Cynthia L. Anderson</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Cynthia L. Anderson, CPA</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Margaret M. FitzPatrick</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Margaret M. FitzPatrick</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Ann M. Cunningham</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Ann M. Cunningham</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Joanne Curley</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Joanne Curley, Ph.D.</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Jerry B. Gin</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Jerry B. Gin, Ph.D.</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Mary L. Rotunno</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Mary L. Rotunno, J.D.</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425"/>
        </w:trPr>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w:t>
            </w:r>
          </w:p>
        </w:tc>
        <w:tc>
          <w:tcPr>
            <w:tcW w:w="3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Jon S. Saxe</w:t>
            </w:r>
          </w:p>
        </w:tc>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June 11, 2024</w:t>
            </w: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Jon S. Saxe, J.D., LL.M.</w:t>
            </w:r>
          </w:p>
        </w:tc>
        <w:tc>
          <w:tcPr>
            <w:tcW w:w="46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931"/>
        </w:trPr>
        <w:tc>
          <w:tcPr>
            <w:tcW w:w="2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6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124</w:t>
            </w:r>
          </w:p>
        </w:tc>
        <w:tc>
          <w:tcPr>
            <w:tcW w:w="2200" w:type="dxa"/>
            <w:vAlign w:val="bottom"/>
          </w:tcPr>
          <w:p>
            <w:pPr>
              <w:spacing w:after="0"/>
              <w:rPr>
                <w:sz w:val="24"/>
                <w:szCs w:val="24"/>
                <w:color w:val="auto"/>
              </w:rPr>
            </w:pPr>
          </w:p>
        </w:tc>
      </w:tr>
    </w:tbl>
    <w:p>
      <w:pPr>
        <w:sectPr>
          <w:pgSz w:w="11900" w:h="16838" w:orient="portrait"/>
          <w:cols w:equalWidth="0" w:num="1">
            <w:col w:w="10700"/>
          </w:cols>
          <w:pgMar w:left="320" w:top="1143" w:right="87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capital stock of Vistagen Therapeutics, Inc. (</w:t>
      </w:r>
      <w:r>
        <w:rPr>
          <w:rFonts w:ascii="Times New Roman" w:cs="Times New Roman" w:eastAsia="Times New Roman" w:hAnsi="Times New Roman"/>
          <w:sz w:val="18"/>
          <w:szCs w:val="18"/>
          <w:i w:val="1"/>
          <w:iCs w:val="1"/>
          <w:color w:val="auto"/>
        </w:rPr>
        <w:t>Vistagen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is intended as a summary only and is therefore not a complete description of our capital stock. This description is based upon, and is qualified by reference to, our Restated and Amended Articles of Incorporation, as amended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our Amended and Restated Bylaws, as amended (our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and applicable provisions of Nevada corporate law. You should read our Charter and Bylaws for the provisions that are important to you.</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325,000,000 shares of common stock, $0.001 par value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10,000,000 shares of preferred stock, $0.001 par value per share, all of which preferred stock is undesignated. The following description of our capital stock and provisions of our Charter and Bylaws are summaries and are qualified by reference to our Charter and Bylaws. Copies of these documents are filed with the Securities and Exchange Commission as exhibits to our Annual Report on Form 10-K.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common stock and certain provisions of our Charter, and our Bylaws, and certain provisions of Nevada corporate law.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of our common stock that we may offer from time to time. For more detailed information, a holder of our common stock should refer to our Charter and our Bylaws.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our common stock is entitled to cast one vote for each share of common stock held on all matters submitted to a vote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Cumulative voting for election of directors is not allowed under our Charter, which means that a plurality of the shares voted can elect all of the directors then outstanding for election. Except as otherwise provided under Nevada corporate law or our Charter and Bylaws, on matters other than election of directors, action on a matter is approved if the votes cast favoring the action exceed the votes cast opposing the action.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Directors (our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its discretion, determines to issue a dividend, and only at the times and in the amounts that our Board may determine. Our Board is not obligated to declare a dividend. We have not paid any dividends on our common stock in the past and we do not intend to pay dividends in the foreseeable future.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in all assets remaining, subject to the prior satisfaction of all outstanding debt and liabilities and the preferential rights and payment of liquidation preferences, if any, on any 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Our common stock is not subject to conversion, redemption, sinking fund or similar provisions.</w:t>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i w:val="1"/>
          <w:iCs w:val="1"/>
          <w:color w:val="auto"/>
        </w:rPr>
        <w:t xml:space="preserve">Listing on The Nasdaq Capital Market </w:t>
      </w:r>
      <w:r>
        <w:rPr>
          <w:rFonts w:ascii="Times New Roman" w:cs="Times New Roman" w:eastAsia="Times New Roman" w:hAnsi="Times New Roman"/>
          <w:sz w:val="18"/>
          <w:szCs w:val="18"/>
          <w:color w:val="auto"/>
        </w:rPr>
        <w:t>Our common stock is listed on The Nasdaq Capital Market under the symbol “VTGN.”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common stock are available for future issuance without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limitations imposed by applicable listing rules of The Nasdaq Stock Market. These additional shares may be used for a variety of corporate finance transactions, acquisitions and employee benefit plans. The existence of authorized but unissued and unreserved common stock could make it more difficult or discourage an attempt to obtain control of us by means of a proxy contest, tender offer, merger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240"/>
          </w:cols>
          <w:pgMar w:left="320" w:top="1415" w:right="339" w:bottom="1440" w:gutter="0" w:footer="0" w:header="0"/>
        </w:sectPr>
      </w:pPr>
    </w:p>
    <w:bookmarkStart w:id="131" w:name="page132"/>
    <w:bookmarkEnd w:id="131"/>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VISTAGEN THERAPEUTICS, INC. INDEMNIFICATION</w:t>
      </w:r>
    </w:p>
    <w:p>
      <w:pPr>
        <w:spacing w:after="0" w:line="2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29" w:lineRule="exact"/>
        <w:rPr>
          <w:sz w:val="20"/>
          <w:szCs w:val="20"/>
          <w:color w:val="auto"/>
        </w:rPr>
      </w:pPr>
    </w:p>
    <w:p>
      <w:pPr>
        <w:jc w:val="both"/>
        <w:ind w:right="120" w:firstLine="648"/>
        <w:spacing w:after="0" w:line="271" w:lineRule="auto"/>
        <w:rPr>
          <w:sz w:val="20"/>
          <w:szCs w:val="20"/>
          <w:color w:val="auto"/>
        </w:rPr>
      </w:pPr>
      <w:r>
        <w:rPr>
          <w:rFonts w:ascii="Times New Roman" w:cs="Times New Roman" w:eastAsia="Times New Roman" w:hAnsi="Times New Roman"/>
          <w:sz w:val="22"/>
          <w:szCs w:val="22"/>
          <w:color w:val="auto"/>
        </w:rPr>
        <w:t>THIS AGREEMENT is entered into, effective as of August 10, 2023 between Vistagen Therapeutics, Inc., a Nevada corporation (the "Company"), and Cynthia Anderson (“Indemnitee”).</w:t>
      </w:r>
    </w:p>
    <w:p>
      <w:pPr>
        <w:spacing w:after="0" w:line="198" w:lineRule="exact"/>
        <w:rPr>
          <w:sz w:val="20"/>
          <w:szCs w:val="20"/>
          <w:color w:val="auto"/>
        </w:rPr>
      </w:pPr>
    </w:p>
    <w:p>
      <w:pPr>
        <w:jc w:val="both"/>
        <w:ind w:right="120" w:firstLine="648"/>
        <w:spacing w:after="0" w:line="271" w:lineRule="auto"/>
        <w:rPr>
          <w:sz w:val="20"/>
          <w:szCs w:val="20"/>
          <w:color w:val="auto"/>
        </w:rPr>
      </w:pPr>
      <w:r>
        <w:rPr>
          <w:rFonts w:ascii="Times New Roman" w:cs="Times New Roman" w:eastAsia="Times New Roman" w:hAnsi="Times New Roman"/>
          <w:sz w:val="22"/>
          <w:szCs w:val="22"/>
          <w:color w:val="auto"/>
        </w:rPr>
        <w:t>WHEREAS, it is essential to the Company to retain and attract as directors and officers the most capable persons available;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WHEREAS, Indemnitee is an officer of the Company;</w:t>
      </w:r>
    </w:p>
    <w:p>
      <w:pPr>
        <w:spacing w:after="0" w:line="247" w:lineRule="exact"/>
        <w:rPr>
          <w:sz w:val="20"/>
          <w:szCs w:val="20"/>
          <w:color w:val="auto"/>
        </w:rPr>
      </w:pPr>
    </w:p>
    <w:p>
      <w:pPr>
        <w:jc w:val="both"/>
        <w:ind w:right="100" w:firstLine="648"/>
        <w:spacing w:after="0" w:line="271" w:lineRule="auto"/>
        <w:rPr>
          <w:sz w:val="20"/>
          <w:szCs w:val="20"/>
          <w:color w:val="auto"/>
        </w:rPr>
      </w:pPr>
      <w:r>
        <w:rPr>
          <w:rFonts w:ascii="Times New Roman" w:cs="Times New Roman" w:eastAsia="Times New Roman" w:hAnsi="Times New Roman"/>
          <w:sz w:val="22"/>
          <w:szCs w:val="22"/>
          <w:color w:val="auto"/>
        </w:rPr>
        <w:t>WHEREAS, both the Company and Indemnitee recognize the increased risk of litigation and other claims currently being asserted against directors and officers of corporations; and</w:t>
      </w:r>
    </w:p>
    <w:p>
      <w:pPr>
        <w:spacing w:after="0" w:line="185" w:lineRule="exact"/>
        <w:rPr>
          <w:sz w:val="20"/>
          <w:szCs w:val="20"/>
          <w:color w:val="auto"/>
        </w:rPr>
      </w:pPr>
    </w:p>
    <w:p>
      <w:pPr>
        <w:jc w:val="both"/>
        <w:ind w:right="100" w:firstLine="648"/>
        <w:spacing w:after="0" w:line="251" w:lineRule="auto"/>
        <w:rPr>
          <w:sz w:val="20"/>
          <w:szCs w:val="20"/>
          <w:color w:val="auto"/>
        </w:rPr>
      </w:pPr>
      <w:r>
        <w:rPr>
          <w:rFonts w:ascii="Times New Roman" w:cs="Times New Roman" w:eastAsia="Times New Roman" w:hAnsi="Times New Roman"/>
          <w:sz w:val="22"/>
          <w:szCs w:val="22"/>
          <w:color w:val="auto"/>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222" w:lineRule="exact"/>
        <w:rPr>
          <w:sz w:val="20"/>
          <w:szCs w:val="20"/>
          <w:color w:val="auto"/>
        </w:rPr>
      </w:pPr>
    </w:p>
    <w:p>
      <w:pPr>
        <w:jc w:val="both"/>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5" w:lineRule="exact"/>
        <w:rPr>
          <w:sz w:val="20"/>
          <w:szCs w:val="20"/>
          <w:color w:val="auto"/>
        </w:rPr>
      </w:pPr>
    </w:p>
    <w:p>
      <w:pPr>
        <w:ind w:left="1020" w:hanging="376"/>
        <w:spacing w:after="0"/>
        <w:tabs>
          <w:tab w:leader="none" w:pos="10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Definitions:</w:t>
      </w:r>
    </w:p>
    <w:p>
      <w:pPr>
        <w:spacing w:after="0" w:line="246"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w:t>
      </w:r>
    </w:p>
    <w:p>
      <w:pPr>
        <w:spacing w:after="0" w:line="341" w:lineRule="exact"/>
        <w:rPr>
          <w:rFonts w:ascii="Times New Roman" w:cs="Times New Roman" w:eastAsia="Times New Roman" w:hAnsi="Times New Roman"/>
          <w:sz w:val="22"/>
          <w:szCs w:val="22"/>
          <w:color w:val="auto"/>
        </w:rPr>
      </w:pPr>
    </w:p>
    <w:p>
      <w:pPr>
        <w:jc w:val="both"/>
        <w:ind w:firstLine="1291"/>
        <w:spacing w:after="0" w:line="247" w:lineRule="auto"/>
        <w:tabs>
          <w:tab w:leader="none" w:pos="180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w:t>
      </w:r>
    </w:p>
    <w:p>
      <w:pPr>
        <w:sectPr>
          <w:pgSz w:w="11900" w:h="16838" w:orient="portrait"/>
          <w:cols w:equalWidth="0" w:num="1">
            <w:col w:w="11120"/>
          </w:cols>
          <w:pgMar w:left="440" w:top="1440" w:right="339" w:bottom="1440" w:gutter="0" w:footer="0" w:header="0"/>
        </w:sectPr>
      </w:pPr>
    </w:p>
    <w:bookmarkStart w:id="132" w:name="page133"/>
    <w:bookmarkEnd w:id="132"/>
    <w:p>
      <w:pPr>
        <w:spacing w:after="0" w:line="3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08" w:lineRule="exact"/>
        <w:rPr>
          <w:sz w:val="20"/>
          <w:szCs w:val="20"/>
          <w:color w:val="auto"/>
        </w:rPr>
      </w:pPr>
    </w:p>
    <w:p>
      <w:pPr>
        <w:jc w:val="both"/>
        <w:ind w:firstLine="1292"/>
        <w:spacing w:after="0" w:line="253" w:lineRule="auto"/>
        <w:tabs>
          <w:tab w:leader="none" w:pos="180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 with investigating, defending, being a witness in, or participating in (including on appeal), or preparing for any of the foregoing in, any Proceeding relating to any Indemnifiable Event.</w:t>
      </w:r>
    </w:p>
    <w:p>
      <w:pPr>
        <w:spacing w:after="0" w:line="205" w:lineRule="exact"/>
        <w:rPr>
          <w:rFonts w:ascii="Times New Roman" w:cs="Times New Roman" w:eastAsia="Times New Roman" w:hAnsi="Times New Roman"/>
          <w:sz w:val="22"/>
          <w:szCs w:val="22"/>
          <w:color w:val="auto"/>
        </w:rPr>
      </w:pPr>
    </w:p>
    <w:p>
      <w:pPr>
        <w:jc w:val="both"/>
        <w:ind w:firstLine="1292"/>
        <w:spacing w:after="0" w:line="264" w:lineRule="auto"/>
        <w:tabs>
          <w:tab w:leader="none" w:pos="1791"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Indemnifiable Event</w:t>
      </w:r>
      <w:r>
        <w:rPr>
          <w:rFonts w:ascii="Times New Roman" w:cs="Times New Roman" w:eastAsia="Times New Roman" w:hAnsi="Times New Roman"/>
          <w:sz w:val="21"/>
          <w:szCs w:val="21"/>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196" w:lineRule="exact"/>
        <w:rPr>
          <w:rFonts w:ascii="Times New Roman" w:cs="Times New Roman" w:eastAsia="Times New Roman" w:hAnsi="Times New Roman"/>
          <w:sz w:val="21"/>
          <w:szCs w:val="21"/>
          <w:color w:val="auto"/>
        </w:rPr>
      </w:pPr>
    </w:p>
    <w:p>
      <w:pPr>
        <w:ind w:left="1740" w:hanging="448"/>
        <w:spacing w:after="0"/>
        <w:tabs>
          <w:tab w:leader="none" w:pos="17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Counsel</w:t>
      </w:r>
      <w:r>
        <w:rPr>
          <w:rFonts w:ascii="Times New Roman" w:cs="Times New Roman" w:eastAsia="Times New Roman" w:hAnsi="Times New Roman"/>
          <w:sz w:val="22"/>
          <w:szCs w:val="22"/>
          <w:color w:val="auto"/>
        </w:rPr>
        <w:t>:  the person or body appointed in connection with Section 3.</w:t>
      </w:r>
    </w:p>
    <w:p>
      <w:pPr>
        <w:spacing w:after="0" w:line="260" w:lineRule="exact"/>
        <w:rPr>
          <w:rFonts w:ascii="Times New Roman" w:cs="Times New Roman" w:eastAsia="Times New Roman" w:hAnsi="Times New Roman"/>
          <w:sz w:val="22"/>
          <w:szCs w:val="22"/>
          <w:color w:val="auto"/>
        </w:rPr>
      </w:pPr>
    </w:p>
    <w:p>
      <w:pPr>
        <w:jc w:val="both"/>
        <w:ind w:firstLine="1292"/>
        <w:spacing w:after="0" w:line="252" w:lineRule="auto"/>
        <w:tabs>
          <w:tab w:leader="none" w:pos="17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19"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Reviewing Party</w:t>
      </w:r>
      <w:r>
        <w:rPr>
          <w:rFonts w:ascii="Times New Roman" w:cs="Times New Roman" w:eastAsia="Times New Roman" w:hAnsi="Times New Roman"/>
          <w:sz w:val="22"/>
          <w:szCs w:val="22"/>
          <w:color w:val="auto"/>
        </w:rPr>
        <w:t>: the person or body appointed in accordance with Section 3.</w:t>
      </w:r>
    </w:p>
    <w:p>
      <w:pPr>
        <w:spacing w:after="0" w:line="327" w:lineRule="exact"/>
        <w:rPr>
          <w:rFonts w:ascii="Times New Roman" w:cs="Times New Roman" w:eastAsia="Times New Roman" w:hAnsi="Times New Roman"/>
          <w:sz w:val="22"/>
          <w:szCs w:val="22"/>
          <w:color w:val="auto"/>
        </w:rPr>
      </w:pPr>
    </w:p>
    <w:p>
      <w:pPr>
        <w:ind w:left="1760" w:hanging="468"/>
        <w:spacing w:after="0"/>
        <w:tabs>
          <w:tab w:leader="none" w:pos="176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any securities of the Company that vote generally in the election of directors.</w:t>
      </w:r>
    </w:p>
    <w:p>
      <w:pPr>
        <w:spacing w:after="0" w:line="246" w:lineRule="exact"/>
        <w:rPr>
          <w:rFonts w:ascii="Times New Roman" w:cs="Times New Roman" w:eastAsia="Times New Roman" w:hAnsi="Times New Roman"/>
          <w:sz w:val="22"/>
          <w:szCs w:val="22"/>
          <w:color w:val="auto"/>
        </w:rPr>
      </w:pPr>
    </w:p>
    <w:p>
      <w:pPr>
        <w:ind w:left="1020" w:hanging="376"/>
        <w:spacing w:after="0"/>
        <w:tabs>
          <w:tab w:leader="none" w:pos="10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Indemnify</w:t>
      </w:r>
      <w:r>
        <w:rPr>
          <w:rFonts w:ascii="Times New Roman" w:cs="Times New Roman" w:eastAsia="Times New Roman" w:hAnsi="Times New Roman"/>
          <w:sz w:val="22"/>
          <w:szCs w:val="22"/>
          <w:color w:val="auto"/>
        </w:rPr>
        <w:t>.</w:t>
      </w:r>
    </w:p>
    <w:p>
      <w:pPr>
        <w:spacing w:after="0" w:line="327" w:lineRule="exact"/>
        <w:rPr>
          <w:rFonts w:ascii="Times New Roman" w:cs="Times New Roman" w:eastAsia="Times New Roman" w:hAnsi="Times New Roman"/>
          <w:sz w:val="22"/>
          <w:szCs w:val="22"/>
          <w:color w:val="auto"/>
        </w:rPr>
      </w:pPr>
    </w:p>
    <w:p>
      <w:pPr>
        <w:ind w:left="1740" w:hanging="448"/>
        <w:spacing w:after="0"/>
        <w:tabs>
          <w:tab w:leader="none" w:pos="17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Agreement</w:t>
      </w:r>
      <w:r>
        <w:rPr>
          <w:rFonts w:ascii="Times New Roman" w:cs="Times New Roman" w:eastAsia="Times New Roman" w:hAnsi="Times New Roman"/>
          <w:sz w:val="22"/>
          <w:szCs w:val="22"/>
          <w:color w:val="auto"/>
        </w:rPr>
        <w:t>. General Agreement. In the event Indemnitee was, is, or</w:t>
      </w:r>
    </w:p>
    <w:p>
      <w:pPr>
        <w:sectPr>
          <w:pgSz w:w="11900" w:h="16838" w:orient="portrait"/>
          <w:cols w:equalWidth="0" w:num="1">
            <w:col w:w="11020"/>
          </w:cols>
          <w:pgMar w:left="440" w:top="1440" w:right="439" w:bottom="1440" w:gutter="0" w:footer="0" w:header="0"/>
        </w:sectPr>
      </w:pPr>
    </w:p>
    <w:bookmarkStart w:id="133" w:name="page134"/>
    <w:bookmarkEnd w:id="133"/>
    <w:p>
      <w:pPr>
        <w:spacing w:after="0" w:line="387" w:lineRule="exact"/>
        <w:rPr>
          <w:sz w:val="20"/>
          <w:szCs w:val="20"/>
          <w:color w:val="auto"/>
        </w:rPr>
      </w:pPr>
    </w:p>
    <w:p>
      <w:pPr>
        <w:jc w:val="both"/>
        <w:ind w:left="4" w:right="100"/>
        <w:spacing w:after="0" w:line="250" w:lineRule="auto"/>
        <w:rPr>
          <w:sz w:val="20"/>
          <w:szCs w:val="20"/>
          <w:color w:val="auto"/>
        </w:rPr>
      </w:pPr>
      <w:r>
        <w:rPr>
          <w:rFonts w:ascii="Times New Roman" w:cs="Times New Roman" w:eastAsia="Times New Roman" w:hAnsi="Times New Roman"/>
          <w:sz w:val="22"/>
          <w:szCs w:val="22"/>
          <w:color w:val="auto"/>
        </w:rPr>
        <w:t>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214" w:lineRule="exact"/>
        <w:rPr>
          <w:sz w:val="20"/>
          <w:szCs w:val="20"/>
          <w:color w:val="auto"/>
        </w:rPr>
      </w:pPr>
    </w:p>
    <w:p>
      <w:pPr>
        <w:jc w:val="both"/>
        <w:ind w:left="4" w:right="120" w:firstLine="1292"/>
        <w:spacing w:after="0" w:line="249" w:lineRule="auto"/>
        <w:tabs>
          <w:tab w:leader="none" w:pos="178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Initiation of Proceeding</w:t>
      </w:r>
      <w:r>
        <w:rPr>
          <w:rFonts w:ascii="Times New Roman" w:cs="Times New Roman" w:eastAsia="Times New Roman" w:hAnsi="Times New Roman"/>
          <w:sz w:val="22"/>
          <w:szCs w:val="22"/>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w:t>
      </w:r>
    </w:p>
    <w:p>
      <w:pPr>
        <w:jc w:val="both"/>
        <w:ind w:left="4" w:right="100" w:hanging="4"/>
        <w:spacing w:after="0" w:line="252" w:lineRule="auto"/>
        <w:tabs>
          <w:tab w:leader="none" w:pos="41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05" w:lineRule="exact"/>
        <w:rPr>
          <w:rFonts w:ascii="Times New Roman" w:cs="Times New Roman" w:eastAsia="Times New Roman" w:hAnsi="Times New Roman"/>
          <w:sz w:val="22"/>
          <w:szCs w:val="22"/>
          <w:color w:val="auto"/>
        </w:rPr>
      </w:pPr>
    </w:p>
    <w:p>
      <w:pPr>
        <w:jc w:val="both"/>
        <w:ind w:left="4" w:firstLine="1291"/>
        <w:spacing w:after="0" w:line="262" w:lineRule="auto"/>
        <w:tabs>
          <w:tab w:leader="none" w:pos="176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 Advances</w:t>
      </w:r>
      <w:r>
        <w:rPr>
          <w:rFonts w:ascii="Times New Roman" w:cs="Times New Roman" w:eastAsia="Times New Roman" w:hAnsi="Times New Roman"/>
          <w:sz w:val="21"/>
          <w:szCs w:val="21"/>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 applicable law, as provided in Section 4, any determination made by the Reviewing Party that Indemnitee would not be permitted to be indemnified under applicable law shall not be binding ai1d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198" w:lineRule="exact"/>
        <w:rPr>
          <w:rFonts w:ascii="Times New Roman" w:cs="Times New Roman" w:eastAsia="Times New Roman" w:hAnsi="Times New Roman"/>
          <w:sz w:val="21"/>
          <w:szCs w:val="21"/>
          <w:color w:val="auto"/>
        </w:rPr>
      </w:pPr>
    </w:p>
    <w:p>
      <w:pPr>
        <w:jc w:val="both"/>
        <w:ind w:left="4" w:right="100" w:firstLine="1291"/>
        <w:spacing w:after="0" w:line="256" w:lineRule="auto"/>
        <w:tabs>
          <w:tab w:leader="none" w:pos="186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Indemnification</w:t>
      </w:r>
      <w:r>
        <w:rPr>
          <w:rFonts w:ascii="Times New Roman" w:cs="Times New Roman" w:eastAsia="Times New Roman" w:hAnsi="Times New Roman"/>
          <w:sz w:val="22"/>
          <w:szCs w:val="22"/>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03" w:lineRule="exact"/>
        <w:rPr>
          <w:rFonts w:ascii="Times New Roman" w:cs="Times New Roman" w:eastAsia="Times New Roman" w:hAnsi="Times New Roman"/>
          <w:sz w:val="22"/>
          <w:szCs w:val="22"/>
          <w:color w:val="auto"/>
        </w:rPr>
      </w:pPr>
    </w:p>
    <w:p>
      <w:pPr>
        <w:jc w:val="both"/>
        <w:ind w:left="4" w:right="100" w:firstLine="1292"/>
        <w:spacing w:after="0" w:line="257" w:lineRule="auto"/>
        <w:tabs>
          <w:tab w:leader="none" w:pos="176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37" w:lineRule="exact"/>
        <w:rPr>
          <w:rFonts w:ascii="Times New Roman" w:cs="Times New Roman" w:eastAsia="Times New Roman" w:hAnsi="Times New Roman"/>
          <w:sz w:val="22"/>
          <w:szCs w:val="22"/>
          <w:color w:val="auto"/>
        </w:rPr>
      </w:pPr>
    </w:p>
    <w:p>
      <w:pPr>
        <w:jc w:val="both"/>
        <w:ind w:left="4" w:firstLine="1292"/>
        <w:spacing w:after="0" w:line="257" w:lineRule="auto"/>
        <w:tabs>
          <w:tab w:leader="none" w:pos="178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Indemnification</w:t>
      </w:r>
      <w:r>
        <w:rPr>
          <w:rFonts w:ascii="Times New Roman" w:cs="Times New Roman" w:eastAsia="Times New Roman" w:hAnsi="Times New Roman"/>
          <w:sz w:val="22"/>
          <w:szCs w:val="22"/>
          <w:color w:val="auto"/>
        </w:rPr>
        <w:t>. No indemnification pursuant to this Agreement shall be paid by the Company on account of any Proceeding in which final unappealed judgment beyond the right of appeal is rendered against Indemnitee for an accounting of profits made from</w:t>
      </w:r>
    </w:p>
    <w:p>
      <w:pPr>
        <w:sectPr>
          <w:pgSz w:w="11900" w:h="16838" w:orient="portrait"/>
          <w:cols w:equalWidth="0" w:num="1">
            <w:col w:w="11124"/>
          </w:cols>
          <w:pgMar w:left="436" w:top="1440" w:right="339" w:bottom="1440" w:gutter="0" w:footer="0" w:header="0"/>
        </w:sectPr>
      </w:pPr>
    </w:p>
    <w:bookmarkStart w:id="134" w:name="page135"/>
    <w:bookmarkEnd w:id="134"/>
    <w:p>
      <w:pPr>
        <w:spacing w:after="0" w:line="38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the purchase or sale by Indemnitee of securities of the Company pursuant to the provisions of Section 16(b) of the Securities Exchange Act of 1934, as amended, or similar provisions of any federal, state, or local laws.</w:t>
      </w:r>
    </w:p>
    <w:p>
      <w:pPr>
        <w:spacing w:after="0" w:line="198" w:lineRule="exact"/>
        <w:rPr>
          <w:sz w:val="20"/>
          <w:szCs w:val="20"/>
          <w:color w:val="auto"/>
        </w:rPr>
      </w:pPr>
    </w:p>
    <w:p>
      <w:pPr>
        <w:jc w:val="both"/>
        <w:ind w:firstLine="644"/>
        <w:spacing w:after="0" w:line="247" w:lineRule="auto"/>
        <w:tabs>
          <w:tab w:leader="none" w:pos="11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Reviewing Party</w:t>
      </w:r>
      <w:r>
        <w:rPr>
          <w:rFonts w:ascii="Times New Roman" w:cs="Times New Roman" w:eastAsia="Times New Roman" w:hAnsi="Times New Roman"/>
          <w:sz w:val="22"/>
          <w:szCs w:val="22"/>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17" w:lineRule="exact"/>
        <w:rPr>
          <w:rFonts w:ascii="Times New Roman" w:cs="Times New Roman" w:eastAsia="Times New Roman" w:hAnsi="Times New Roman"/>
          <w:sz w:val="22"/>
          <w:szCs w:val="22"/>
          <w:color w:val="auto"/>
        </w:rPr>
      </w:pPr>
    </w:p>
    <w:p>
      <w:pPr>
        <w:ind w:left="1020" w:hanging="376"/>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Process and Appeal</w:t>
      </w:r>
      <w:r>
        <w:rPr>
          <w:rFonts w:ascii="Times New Roman" w:cs="Times New Roman" w:eastAsia="Times New Roman" w:hAnsi="Times New Roman"/>
          <w:sz w:val="22"/>
          <w:szCs w:val="22"/>
          <w:color w:val="auto"/>
        </w:rPr>
        <w:t>.</w:t>
      </w:r>
    </w:p>
    <w:p>
      <w:pPr>
        <w:spacing w:after="0" w:line="327" w:lineRule="exact"/>
        <w:rPr>
          <w:rFonts w:ascii="Times New Roman" w:cs="Times New Roman" w:eastAsia="Times New Roman" w:hAnsi="Times New Roman"/>
          <w:sz w:val="22"/>
          <w:szCs w:val="22"/>
          <w:color w:val="auto"/>
        </w:rPr>
      </w:pPr>
    </w:p>
    <w:p>
      <w:pPr>
        <w:jc w:val="both"/>
        <w:ind w:right="100" w:firstLine="1292"/>
        <w:spacing w:after="0" w:line="256" w:lineRule="auto"/>
        <w:tabs>
          <w:tab w:leader="none" w:pos="181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Payment</w:t>
      </w:r>
      <w:r>
        <w:rPr>
          <w:rFonts w:ascii="Times New Roman" w:cs="Times New Roman" w:eastAsia="Times New Roman" w:hAnsi="Times New Roman"/>
          <w:sz w:val="22"/>
          <w:szCs w:val="22"/>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03" w:lineRule="exact"/>
        <w:rPr>
          <w:rFonts w:ascii="Times New Roman" w:cs="Times New Roman" w:eastAsia="Times New Roman" w:hAnsi="Times New Roman"/>
          <w:sz w:val="22"/>
          <w:szCs w:val="22"/>
          <w:color w:val="auto"/>
        </w:rPr>
      </w:pPr>
    </w:p>
    <w:p>
      <w:pPr>
        <w:jc w:val="both"/>
        <w:ind w:right="100" w:firstLine="1292"/>
        <w:spacing w:after="0" w:line="250" w:lineRule="auto"/>
        <w:tabs>
          <w:tab w:leader="none" w:pos="181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Suit to Enforce Rights</w:t>
      </w:r>
      <w:r>
        <w:rPr>
          <w:rFonts w:ascii="Times New Roman" w:cs="Times New Roman" w:eastAsia="Times New Roman" w:hAnsi="Times New Roman"/>
          <w:sz w:val="22"/>
          <w:szCs w:val="22"/>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 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w:t>
      </w:r>
    </w:p>
    <w:p>
      <w:pPr>
        <w:spacing w:after="0" w:line="32"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22"/>
          <w:szCs w:val="22"/>
          <w:color w:val="auto"/>
        </w:rPr>
        <w:t>be binding on the Company and Indemnitee. The remedy provided for in this Section 4 shall be in addition to any other remedies available to Indemnitee in law or equity.</w:t>
      </w:r>
    </w:p>
    <w:p>
      <w:pPr>
        <w:sectPr>
          <w:pgSz w:w="11900" w:h="16838" w:orient="portrait"/>
          <w:cols w:equalWidth="0" w:num="1">
            <w:col w:w="11120"/>
          </w:cols>
          <w:pgMar w:left="440" w:top="1440" w:right="339" w:bottom="1440" w:gutter="0" w:footer="0" w:header="0"/>
        </w:sectPr>
      </w:pPr>
    </w:p>
    <w:bookmarkStart w:id="135" w:name="page136"/>
    <w:bookmarkEnd w:id="135"/>
    <w:p>
      <w:pPr>
        <w:spacing w:after="0" w:line="319" w:lineRule="exact"/>
        <w:rPr>
          <w:sz w:val="20"/>
          <w:szCs w:val="20"/>
          <w:color w:val="auto"/>
        </w:rPr>
      </w:pPr>
    </w:p>
    <w:p>
      <w:pPr>
        <w:jc w:val="both"/>
        <w:ind w:firstLine="1292"/>
        <w:spacing w:after="0" w:line="260" w:lineRule="auto"/>
        <w:tabs>
          <w:tab w:leader="none" w:pos="176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Defense to Indemnification, Burden of Proof, and Presumptions</w:t>
      </w:r>
      <w:r>
        <w:rPr>
          <w:rFonts w:ascii="Times New Roman" w:cs="Times New Roman" w:eastAsia="Times New Roman" w:hAnsi="Times New Roman"/>
          <w:sz w:val="21"/>
          <w:szCs w:val="21"/>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06" w:lineRule="exact"/>
        <w:rPr>
          <w:rFonts w:ascii="Times New Roman" w:cs="Times New Roman" w:eastAsia="Times New Roman" w:hAnsi="Times New Roman"/>
          <w:sz w:val="21"/>
          <w:szCs w:val="21"/>
          <w:color w:val="auto"/>
        </w:rPr>
      </w:pPr>
    </w:p>
    <w:p>
      <w:pPr>
        <w:ind w:right="100" w:firstLine="644"/>
        <w:spacing w:after="0" w:line="271" w:lineRule="auto"/>
        <w:tabs>
          <w:tab w:leader="none" w:pos="10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for Expenses Incurred in Enforcing Rights</w:t>
      </w:r>
      <w:r>
        <w:rPr>
          <w:rFonts w:ascii="Times New Roman" w:cs="Times New Roman" w:eastAsia="Times New Roman" w:hAnsi="Times New Roman"/>
          <w:sz w:val="22"/>
          <w:szCs w:val="22"/>
          <w:color w:val="auto"/>
        </w:rPr>
        <w:t>. The Company shall indemnify Indemnitee against any and all Expenses that are incurred by Indemnitee in connection with any action brought by Indemnitee for</w:t>
      </w:r>
    </w:p>
    <w:p>
      <w:pPr>
        <w:spacing w:after="0" w:line="184" w:lineRule="exact"/>
        <w:rPr>
          <w:rFonts w:ascii="Times New Roman" w:cs="Times New Roman" w:eastAsia="Times New Roman" w:hAnsi="Times New Roman"/>
          <w:sz w:val="22"/>
          <w:szCs w:val="22"/>
          <w:color w:val="auto"/>
        </w:rPr>
      </w:pPr>
    </w:p>
    <w:p>
      <w:pPr>
        <w:jc w:val="both"/>
        <w:ind w:left="1300" w:right="120" w:firstLine="640"/>
        <w:spacing w:after="0" w:line="263" w:lineRule="auto"/>
        <w:tabs>
          <w:tab w:leader="none" w:pos="2482"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94" w:lineRule="exact"/>
        <w:rPr>
          <w:rFonts w:ascii="Times New Roman" w:cs="Times New Roman" w:eastAsia="Times New Roman" w:hAnsi="Times New Roman"/>
          <w:sz w:val="22"/>
          <w:szCs w:val="22"/>
          <w:color w:val="auto"/>
        </w:rPr>
      </w:pPr>
    </w:p>
    <w:p>
      <w:pPr>
        <w:jc w:val="both"/>
        <w:ind w:left="1300" w:firstLine="640"/>
        <w:spacing w:after="0" w:line="256" w:lineRule="auto"/>
        <w:tabs>
          <w:tab w:leader="none" w:pos="2485"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03" w:lineRule="exact"/>
        <w:rPr>
          <w:rFonts w:ascii="Times New Roman" w:cs="Times New Roman" w:eastAsia="Times New Roman" w:hAnsi="Times New Roman"/>
          <w:sz w:val="22"/>
          <w:szCs w:val="22"/>
          <w:color w:val="auto"/>
        </w:rPr>
      </w:pPr>
    </w:p>
    <w:p>
      <w:pPr>
        <w:ind w:left="1020" w:hanging="376"/>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and Defense of Proceeding</w:t>
      </w:r>
      <w:r>
        <w:rPr>
          <w:rFonts w:ascii="Times New Roman" w:cs="Times New Roman" w:eastAsia="Times New Roman" w:hAnsi="Times New Roman"/>
          <w:sz w:val="22"/>
          <w:szCs w:val="22"/>
          <w:color w:val="auto"/>
        </w:rPr>
        <w:t>.</w:t>
      </w:r>
    </w:p>
    <w:p>
      <w:pPr>
        <w:spacing w:after="0" w:line="341" w:lineRule="exact"/>
        <w:rPr>
          <w:rFonts w:ascii="Times New Roman" w:cs="Times New Roman" w:eastAsia="Times New Roman" w:hAnsi="Times New Roman"/>
          <w:sz w:val="22"/>
          <w:szCs w:val="22"/>
          <w:color w:val="auto"/>
        </w:rPr>
      </w:pPr>
    </w:p>
    <w:p>
      <w:pPr>
        <w:jc w:val="both"/>
        <w:ind w:right="100" w:firstLine="1292"/>
        <w:spacing w:after="0" w:line="257" w:lineRule="auto"/>
        <w:tabs>
          <w:tab w:leader="none" w:pos="196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Promptly after receipt by Indemnitee of notice of the commencement of any Proceeding, Indemnitee will, if a claim in respect thereof is to be made against the Company under this Agreement, notify the Company of the commencement thereof; but the</w:t>
      </w:r>
    </w:p>
    <w:p>
      <w:pPr>
        <w:spacing w:after="0" w:line="24"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22"/>
          <w:szCs w:val="22"/>
          <w:color w:val="auto"/>
        </w:rPr>
        <w:t>omission so to notify the Company will not relieve it from any liability that it may have to Indemnitee, except as provided in Section 6(c).</w:t>
      </w:r>
    </w:p>
    <w:p>
      <w:pPr>
        <w:spacing w:after="0" w:line="171" w:lineRule="exact"/>
        <w:rPr>
          <w:sz w:val="20"/>
          <w:szCs w:val="20"/>
          <w:color w:val="auto"/>
        </w:rPr>
      </w:pPr>
    </w:p>
    <w:p>
      <w:pPr>
        <w:jc w:val="both"/>
        <w:ind w:firstLine="1291"/>
        <w:spacing w:after="0" w:line="257" w:lineRule="auto"/>
        <w:tabs>
          <w:tab w:leader="none" w:pos="204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Defense</w:t>
      </w:r>
      <w:r>
        <w:rPr>
          <w:rFonts w:ascii="Times New Roman" w:cs="Times New Roman" w:eastAsia="Times New Roman" w:hAnsi="Times New Roman"/>
          <w:sz w:val="22"/>
          <w:szCs w:val="22"/>
          <w:color w:val="auto"/>
        </w:rPr>
        <w:t>. With respect to any Proceeding as to which Indemnitee notifies the Company of the commencement thereof, the Company will be entitled to participate in the Proceeding at its own expense and except as otherwise provided below, to the extent the Company</w:t>
      </w:r>
    </w:p>
    <w:p>
      <w:pPr>
        <w:sectPr>
          <w:pgSz w:w="11900" w:h="16838" w:orient="portrait"/>
          <w:cols w:equalWidth="0" w:num="1">
            <w:col w:w="11120"/>
          </w:cols>
          <w:pgMar w:left="440" w:top="1440" w:right="339" w:bottom="1440" w:gutter="0" w:footer="0" w:header="0"/>
        </w:sectPr>
      </w:pPr>
    </w:p>
    <w:bookmarkStart w:id="136" w:name="page137"/>
    <w:bookmarkEnd w:id="136"/>
    <w:p>
      <w:pPr>
        <w:spacing w:after="0" w:line="3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 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20" w:lineRule="exact"/>
        <w:rPr>
          <w:sz w:val="20"/>
          <w:szCs w:val="20"/>
          <w:color w:val="auto"/>
        </w:rPr>
      </w:pPr>
    </w:p>
    <w:p>
      <w:pPr>
        <w:jc w:val="both"/>
        <w:ind w:firstLine="1292"/>
        <w:spacing w:after="0" w:line="248" w:lineRule="auto"/>
        <w:tabs>
          <w:tab w:leader="none" w:pos="180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Claims</w:t>
      </w:r>
      <w:r>
        <w:rPr>
          <w:rFonts w:ascii="Times New Roman" w:cs="Times New Roman" w:eastAsia="Times New Roman" w:hAnsi="Times New Roman"/>
          <w:sz w:val="22"/>
          <w:szCs w:val="22"/>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29" w:lineRule="exact"/>
        <w:rPr>
          <w:rFonts w:ascii="Times New Roman" w:cs="Times New Roman" w:eastAsia="Times New Roman" w:hAnsi="Times New Roman"/>
          <w:sz w:val="22"/>
          <w:szCs w:val="22"/>
          <w:color w:val="auto"/>
        </w:rPr>
      </w:pPr>
    </w:p>
    <w:p>
      <w:pPr>
        <w:jc w:val="both"/>
        <w:ind w:right="100" w:firstLine="644"/>
        <w:spacing w:after="0" w:line="248" w:lineRule="auto"/>
        <w:tabs>
          <w:tab w:leader="none" w:pos="10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Trust</w:t>
      </w:r>
      <w:r>
        <w:rPr>
          <w:rFonts w:ascii="Times New Roman" w:cs="Times New Roman" w:eastAsia="Times New Roman" w:hAnsi="Times New Roman"/>
          <w:sz w:val="22"/>
          <w:szCs w:val="22"/>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w:t>
      </w:r>
    </w:p>
    <w:p>
      <w:pPr>
        <w:spacing w:after="0" w:line="52"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2"/>
          <w:szCs w:val="22"/>
          <w:color w:val="auto"/>
        </w:rPr>
        <w:t>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w:t>
      </w:r>
    </w:p>
    <w:p>
      <w:pPr>
        <w:sectPr>
          <w:pgSz w:w="11900" w:h="16838" w:orient="portrait"/>
          <w:cols w:equalWidth="0" w:num="1">
            <w:col w:w="11120"/>
          </w:cols>
          <w:pgMar w:left="440" w:top="1440" w:right="339" w:bottom="1440" w:gutter="0" w:footer="0" w:header="0"/>
        </w:sectPr>
      </w:pPr>
    </w:p>
    <w:bookmarkStart w:id="137" w:name="page138"/>
    <w:bookmarkEnd w:id="137"/>
    <w:p>
      <w:pPr>
        <w:spacing w:after="0" w:line="387"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22"/>
          <w:szCs w:val="22"/>
          <w:color w:val="auto"/>
        </w:rPr>
        <w:t>required to reimburse the Company under Section 2(c) of this Agreement), (iii) the Trust shall continue to be funded by the Company in accordance with the funding obligation set forth above,</w:t>
      </w:r>
    </w:p>
    <w:p>
      <w:pPr>
        <w:spacing w:after="0" w:line="1" w:lineRule="exact"/>
        <w:rPr>
          <w:sz w:val="20"/>
          <w:szCs w:val="20"/>
          <w:color w:val="auto"/>
        </w:rPr>
      </w:pPr>
    </w:p>
    <w:p>
      <w:pPr>
        <w:jc w:val="both"/>
        <w:ind w:left="4" w:right="100" w:hanging="4"/>
        <w:spacing w:after="0" w:line="246" w:lineRule="auto"/>
        <w:tabs>
          <w:tab w:leader="none" w:pos="375"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18"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0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205" w:lineRule="exact"/>
        <w:rPr>
          <w:rFonts w:ascii="Times New Roman" w:cs="Times New Roman" w:eastAsia="Times New Roman" w:hAnsi="Times New Roman"/>
          <w:sz w:val="22"/>
          <w:szCs w:val="22"/>
          <w:color w:val="auto"/>
        </w:rPr>
      </w:pPr>
    </w:p>
    <w:p>
      <w:pPr>
        <w:jc w:val="both"/>
        <w:ind w:left="4" w:right="100" w:firstLine="644"/>
        <w:spacing w:after="0" w:line="263" w:lineRule="auto"/>
        <w:tabs>
          <w:tab w:leader="none" w:pos="10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 Insurance</w:t>
      </w:r>
      <w:r>
        <w:rPr>
          <w:rFonts w:ascii="Times New Roman" w:cs="Times New Roman" w:eastAsia="Times New Roman" w:hAnsi="Times New Roman"/>
          <w:sz w:val="22"/>
          <w:szCs w:val="22"/>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94" w:lineRule="exact"/>
        <w:rPr>
          <w:rFonts w:ascii="Times New Roman" w:cs="Times New Roman" w:eastAsia="Times New Roman" w:hAnsi="Times New Roman"/>
          <w:sz w:val="22"/>
          <w:szCs w:val="22"/>
          <w:color w:val="auto"/>
        </w:rPr>
      </w:pPr>
    </w:p>
    <w:p>
      <w:pPr>
        <w:jc w:val="both"/>
        <w:ind w:left="4" w:right="100" w:firstLine="644"/>
        <w:spacing w:after="0" w:line="265" w:lineRule="auto"/>
        <w:tabs>
          <w:tab w:leader="none" w:pos="1151"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Period of Limitations</w:t>
      </w:r>
      <w:r>
        <w:rPr>
          <w:rFonts w:ascii="Times New Roman" w:cs="Times New Roman" w:eastAsia="Times New Roman" w:hAnsi="Times New Roman"/>
          <w:sz w:val="21"/>
          <w:szCs w:val="21"/>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195" w:lineRule="exact"/>
        <w:rPr>
          <w:rFonts w:ascii="Times New Roman" w:cs="Times New Roman" w:eastAsia="Times New Roman" w:hAnsi="Times New Roman"/>
          <w:sz w:val="21"/>
          <w:szCs w:val="21"/>
          <w:color w:val="auto"/>
        </w:rPr>
      </w:pPr>
    </w:p>
    <w:p>
      <w:pPr>
        <w:jc w:val="both"/>
        <w:ind w:left="4" w:right="100" w:firstLine="644"/>
        <w:spacing w:after="0" w:line="256" w:lineRule="auto"/>
        <w:tabs>
          <w:tab w:leader="none" w:pos="117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this Agreement</w:t>
      </w:r>
      <w:r>
        <w:rPr>
          <w:rFonts w:ascii="Times New Roman" w:cs="Times New Roman" w:eastAsia="Times New Roman" w:hAnsi="Times New Roman"/>
          <w:sz w:val="22"/>
          <w:szCs w:val="22"/>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w:t>
      </w:r>
    </w:p>
    <w:p>
      <w:pPr>
        <w:spacing w:after="0" w:line="28" w:lineRule="exact"/>
        <w:rPr>
          <w:sz w:val="20"/>
          <w:szCs w:val="20"/>
          <w:color w:val="auto"/>
        </w:rPr>
      </w:pPr>
    </w:p>
    <w:p>
      <w:pPr>
        <w:jc w:val="both"/>
        <w:ind w:left="4" w:right="100"/>
        <w:spacing w:after="0" w:line="257" w:lineRule="auto"/>
        <w:rPr>
          <w:sz w:val="20"/>
          <w:szCs w:val="20"/>
          <w:color w:val="auto"/>
        </w:rPr>
      </w:pPr>
      <w:r>
        <w:rPr>
          <w:rFonts w:ascii="Times New Roman" w:cs="Times New Roman" w:eastAsia="Times New Roman" w:hAnsi="Times New Roman"/>
          <w:sz w:val="22"/>
          <w:szCs w:val="22"/>
          <w:color w:val="auto"/>
        </w:rPr>
        <w:t>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13" w:lineRule="exact"/>
        <w:rPr>
          <w:sz w:val="20"/>
          <w:szCs w:val="20"/>
          <w:color w:val="auto"/>
        </w:rPr>
      </w:pPr>
    </w:p>
    <w:p>
      <w:pPr>
        <w:jc w:val="both"/>
        <w:ind w:left="4" w:right="100" w:firstLine="644"/>
        <w:spacing w:after="0" w:line="257" w:lineRule="auto"/>
        <w:tabs>
          <w:tab w:leader="none" w:pos="120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w:t>
      </w:r>
    </w:p>
    <w:p>
      <w:pPr>
        <w:sectPr>
          <w:pgSz w:w="11900" w:h="16838" w:orient="portrait"/>
          <w:cols w:equalWidth="0" w:num="1">
            <w:col w:w="11124"/>
          </w:cols>
          <w:pgMar w:left="436" w:top="1440" w:right="339" w:bottom="1440" w:gutter="0" w:footer="0" w:header="0"/>
        </w:sectPr>
      </w:pPr>
    </w:p>
    <w:bookmarkStart w:id="138" w:name="page139"/>
    <w:bookmarkEnd w:id="138"/>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including the execution of such documents necessary to enable the Company effectively to bring suit to enforce such rights.</w:t>
      </w:r>
    </w:p>
    <w:p>
      <w:pPr>
        <w:spacing w:after="0" w:line="247" w:lineRule="exact"/>
        <w:rPr>
          <w:sz w:val="20"/>
          <w:szCs w:val="20"/>
          <w:color w:val="auto"/>
        </w:rPr>
      </w:pPr>
    </w:p>
    <w:p>
      <w:pPr>
        <w:jc w:val="both"/>
        <w:ind w:right="100" w:firstLine="644"/>
        <w:spacing w:after="0" w:line="263" w:lineRule="auto"/>
        <w:tabs>
          <w:tab w:leader="none" w:pos="121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Duplication of Payments</w:t>
      </w:r>
      <w:r>
        <w:rPr>
          <w:rFonts w:ascii="Times New Roman" w:cs="Times New Roman" w:eastAsia="Times New Roman" w:hAnsi="Times New Roman"/>
          <w:sz w:val="22"/>
          <w:szCs w:val="22"/>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194" w:lineRule="exact"/>
        <w:rPr>
          <w:rFonts w:ascii="Times New Roman" w:cs="Times New Roman" w:eastAsia="Times New Roman" w:hAnsi="Times New Roman"/>
          <w:sz w:val="22"/>
          <w:szCs w:val="22"/>
          <w:color w:val="auto"/>
        </w:rPr>
      </w:pPr>
    </w:p>
    <w:p>
      <w:pPr>
        <w:jc w:val="both"/>
        <w:ind w:firstLine="644"/>
        <w:spacing w:after="0" w:line="247" w:lineRule="auto"/>
        <w:tabs>
          <w:tab w:leader="none" w:pos="114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231" w:lineRule="exact"/>
        <w:rPr>
          <w:rFonts w:ascii="Times New Roman" w:cs="Times New Roman" w:eastAsia="Times New Roman" w:hAnsi="Times New Roman"/>
          <w:sz w:val="22"/>
          <w:szCs w:val="22"/>
          <w:color w:val="auto"/>
        </w:rPr>
      </w:pPr>
    </w:p>
    <w:p>
      <w:pPr>
        <w:jc w:val="both"/>
        <w:ind w:right="100" w:firstLine="644"/>
        <w:spacing w:after="0" w:line="251" w:lineRule="auto"/>
        <w:tabs>
          <w:tab w:leader="none" w:pos="126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08" w:lineRule="exact"/>
        <w:rPr>
          <w:rFonts w:ascii="Times New Roman" w:cs="Times New Roman" w:eastAsia="Times New Roman" w:hAnsi="Times New Roman"/>
          <w:sz w:val="22"/>
          <w:szCs w:val="22"/>
          <w:color w:val="auto"/>
        </w:rPr>
      </w:pPr>
    </w:p>
    <w:p>
      <w:pPr>
        <w:jc w:val="both"/>
        <w:ind w:right="120" w:firstLine="644"/>
        <w:spacing w:after="0" w:line="257" w:lineRule="auto"/>
        <w:tabs>
          <w:tab w:leader="none" w:pos="113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199" w:lineRule="exact"/>
        <w:rPr>
          <w:rFonts w:ascii="Times New Roman" w:cs="Times New Roman" w:eastAsia="Times New Roman" w:hAnsi="Times New Roman"/>
          <w:sz w:val="22"/>
          <w:szCs w:val="22"/>
          <w:color w:val="auto"/>
        </w:rPr>
      </w:pPr>
    </w:p>
    <w:p>
      <w:pPr>
        <w:jc w:val="both"/>
        <w:ind w:right="120" w:firstLine="644"/>
        <w:spacing w:after="0" w:line="263" w:lineRule="auto"/>
        <w:tabs>
          <w:tab w:leader="none" w:pos="1269"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Vistagen Therapeutics, Inc. 343 Allerton Avenue</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South San Francisco, CA 94080 Attention: Chief Executive Officer</w:t>
      </w:r>
    </w:p>
    <w:p>
      <w:pPr>
        <w:spacing w:after="0" w:line="23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and to Indemnitee at:</w:t>
      </w:r>
    </w:p>
    <w:p>
      <w:pPr>
        <w:spacing w:after="0" w:line="24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Cynthia Anderson</w:t>
      </w:r>
    </w:p>
    <w:p>
      <w:pPr>
        <w:spacing w:after="0" w:line="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6611 E. Mayo Blvd, Unit 1114</w:t>
      </w:r>
    </w:p>
    <w:p>
      <w:pPr>
        <w:spacing w:after="0" w:line="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Pheonix, AZ 85054</w:t>
      </w:r>
    </w:p>
    <w:p>
      <w:pPr>
        <w:sectPr>
          <w:pgSz w:w="11900" w:h="16838" w:orient="portrait"/>
          <w:cols w:equalWidth="0" w:num="1">
            <w:col w:w="11120"/>
          </w:cols>
          <w:pgMar w:left="440" w:top="1440" w:right="339" w:bottom="1440" w:gutter="0" w:footer="0" w:header="0"/>
        </w:sectPr>
      </w:pPr>
    </w:p>
    <w:bookmarkStart w:id="139" w:name="page140"/>
    <w:bookmarkEnd w:id="139"/>
    <w:p>
      <w:pPr>
        <w:spacing w:after="0" w:line="200" w:lineRule="exact"/>
        <w:rPr>
          <w:sz w:val="20"/>
          <w:szCs w:val="20"/>
          <w:color w:val="auto"/>
        </w:rPr>
      </w:pPr>
    </w:p>
    <w:p>
      <w:pPr>
        <w:spacing w:after="0" w:line="36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18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020"/>
          </w:cols>
          <w:pgMar w:left="440" w:top="1440" w:right="439" w:bottom="1440" w:gutter="0" w:footer="0" w:header="0"/>
        </w:sectPr>
      </w:pPr>
    </w:p>
    <w:bookmarkStart w:id="140" w:name="page141"/>
    <w:bookmarkEnd w:id="140"/>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duly executed and delivered this Agreement as of the day specified above.</w:t>
      </w: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left="120"/>
        <w:spacing w:after="0"/>
        <w:tabs>
          <w:tab w:leader="none" w:pos="3560" w:val="left"/>
        </w:tabs>
        <w:rPr>
          <w:sz w:val="20"/>
          <w:szCs w:val="20"/>
          <w:color w:val="auto"/>
        </w:rPr>
      </w:pPr>
      <w:r>
        <w:rPr>
          <w:rFonts w:ascii="Times New Roman" w:cs="Times New Roman" w:eastAsia="Times New Roman" w:hAnsi="Times New Roman"/>
          <w:sz w:val="22"/>
          <w:szCs w:val="22"/>
          <w:color w:val="auto"/>
        </w:rPr>
        <w:t>VISTAGEN THERAPEUTICS, INC.</w:t>
      </w:r>
      <w:r>
        <w:rPr>
          <w:sz w:val="20"/>
          <w:szCs w:val="20"/>
          <w:color w:val="auto"/>
        </w:rPr>
        <w:tab/>
      </w:r>
      <w:r>
        <w:rPr>
          <w:rFonts w:ascii="Times New Roman" w:cs="Times New Roman" w:eastAsia="Times New Roman" w:hAnsi="Times New Roman"/>
          <w:sz w:val="21"/>
          <w:szCs w:val="21"/>
          <w:color w:val="auto"/>
        </w:rPr>
        <w:t>INDEMNITEE</w:t>
      </w:r>
    </w:p>
    <w:p>
      <w:pPr>
        <w:spacing w:after="0" w:line="200" w:lineRule="exact"/>
        <w:rPr>
          <w:sz w:val="20"/>
          <w:szCs w:val="20"/>
          <w:color w:val="auto"/>
        </w:rPr>
      </w:pPr>
    </w:p>
    <w:p>
      <w:pPr>
        <w:spacing w:after="0" w:line="303" w:lineRule="exact"/>
        <w:rPr>
          <w:sz w:val="20"/>
          <w:szCs w:val="20"/>
          <w:color w:val="auto"/>
        </w:rPr>
      </w:pPr>
    </w:p>
    <w:p>
      <w:pPr>
        <w:ind w:left="120"/>
        <w:spacing w:after="0"/>
        <w:tabs>
          <w:tab w:leader="none" w:pos="2340" w:val="left"/>
        </w:tabs>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Shawn K. Singh</w:t>
      </w:r>
      <w:r>
        <w:rPr>
          <w:sz w:val="20"/>
          <w:szCs w:val="20"/>
          <w:color w:val="auto"/>
        </w:rPr>
        <w:tab/>
      </w: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Cynthia Anderson</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Shawn K. Singh</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p>
    <w:p>
      <w:pPr>
        <w:spacing w:after="0" w:line="328" w:lineRule="exact"/>
        <w:rPr>
          <w:sz w:val="20"/>
          <w:szCs w:val="20"/>
          <w:color w:val="auto"/>
        </w:rPr>
      </w:pPr>
    </w:p>
    <w:p>
      <w:pPr>
        <w:ind w:left="120"/>
        <w:spacing w:after="0"/>
        <w:tabs>
          <w:tab w:leader="none" w:pos="2260" w:val="left"/>
        </w:tabs>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August 10, 2023</w:t>
      </w:r>
      <w:r>
        <w:rPr>
          <w:sz w:val="20"/>
          <w:szCs w:val="20"/>
          <w:color w:val="auto"/>
        </w:rPr>
        <w:tab/>
      </w: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August 10, 2023</w:t>
      </w:r>
    </w:p>
    <w:p>
      <w:pPr>
        <w:sectPr>
          <w:pgSz w:w="11900" w:h="16838" w:orient="portrait"/>
          <w:cols w:equalWidth="0" w:num="1">
            <w:col w:w="10840"/>
          </w:cols>
          <w:pgMar w:left="320" w:top="1440" w:right="73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(File Nos. 333-259799, 333-234026, 333-223556 and 333-208354) and Form S-3 (File Nos. 333-277041, 333-270232, and 333-237968) of Vistagen Therapeutics, Inc. of our report dated June 11, 2024, relating to the consolidated financial statements as of and for the years ended March 31, 2024 and 2023, which appears in this Annual Report on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WithumSmith+Brown,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11, 2024</w:t>
      </w:r>
    </w:p>
    <w:p>
      <w:pPr>
        <w:sectPr>
          <w:pgSz w:w="11900" w:h="16838" w:orient="portrait"/>
          <w:cols w:equalWidth="0" w:num="1">
            <w:col w:w="11240"/>
          </w:cols>
          <w:pgMar w:left="320" w:top="1409"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Shawn K. Singh, certify that;</w:t>
      </w:r>
    </w:p>
    <w:p>
      <w:pPr>
        <w:spacing w:after="0" w:line="225" w:lineRule="exact"/>
        <w:rPr>
          <w:sz w:val="20"/>
          <w:szCs w:val="20"/>
          <w:color w:val="auto"/>
        </w:rPr>
      </w:pPr>
    </w:p>
    <w:p>
      <w:pPr>
        <w:ind w:left="520" w:hanging="512"/>
        <w:spacing w:after="0"/>
        <w:tabs>
          <w:tab w:leader="none" w:pos="5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67"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77"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542"/>
        <w:spacing w:after="0" w:line="282" w:lineRule="auto"/>
        <w:tabs>
          <w:tab w:leader="none" w:pos="867"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880" w:right="140" w:hanging="542"/>
        <w:spacing w:after="0" w:line="266" w:lineRule="auto"/>
        <w:tabs>
          <w:tab w:leader="none" w:pos="877"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94"/>
        <w:spacing w:after="0" w:line="282" w:lineRule="auto"/>
        <w:tabs>
          <w:tab w:leader="none" w:pos="81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20" w:hanging="494"/>
        <w:spacing w:after="0" w:line="282" w:lineRule="auto"/>
        <w:tabs>
          <w:tab w:leader="none" w:pos="81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6680" w:val="left"/>
        </w:tabs>
        <w:rPr>
          <w:sz w:val="20"/>
          <w:szCs w:val="20"/>
          <w:color w:val="auto"/>
        </w:rPr>
      </w:pPr>
      <w:r>
        <w:rPr>
          <w:rFonts w:ascii="Times New Roman" w:cs="Times New Roman" w:eastAsia="Times New Roman" w:hAnsi="Times New Roman"/>
          <w:sz w:val="18"/>
          <w:szCs w:val="18"/>
          <w:color w:val="auto"/>
        </w:rPr>
        <w:t>June 11, 2024</w:t>
      </w:r>
      <w:r>
        <w:rPr>
          <w:sz w:val="20"/>
          <w:szCs w:val="20"/>
          <w:color w:val="auto"/>
        </w:rPr>
        <w:tab/>
      </w:r>
      <w:r>
        <w:rPr>
          <w:rFonts w:ascii="Times New Roman" w:cs="Times New Roman" w:eastAsia="Times New Roman" w:hAnsi="Times New Roman"/>
          <w:sz w:val="18"/>
          <w:szCs w:val="18"/>
          <w:u w:val="single" w:color="auto"/>
          <w:color w:val="auto"/>
        </w:rPr>
        <w:t>/s/ Shawn K. Singh</w:t>
      </w:r>
    </w:p>
    <w:p>
      <w:pPr>
        <w:spacing w:after="0" w:line="5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5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Cynthia L. Anderson, certify that:</w:t>
      </w:r>
    </w:p>
    <w:p>
      <w:pPr>
        <w:spacing w:after="0" w:line="225" w:lineRule="exact"/>
        <w:rPr>
          <w:sz w:val="20"/>
          <w:szCs w:val="20"/>
          <w:color w:val="auto"/>
        </w:rPr>
      </w:pPr>
    </w:p>
    <w:p>
      <w:pPr>
        <w:ind w:left="520" w:hanging="512"/>
        <w:spacing w:after="0"/>
        <w:tabs>
          <w:tab w:leader="none" w:pos="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Vistagen Therapeutics, Inc., a Nevada corporation;</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0" w:hanging="512"/>
        <w:spacing w:after="0" w:line="266" w:lineRule="auto"/>
        <w:tabs>
          <w:tab w:leader="none" w:pos="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80" w:hanging="542"/>
        <w:spacing w:after="0" w:line="266" w:lineRule="auto"/>
        <w:tabs>
          <w:tab w:leader="none" w:pos="8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80" w:hanging="542"/>
        <w:spacing w:after="0" w:line="282" w:lineRule="auto"/>
        <w:tabs>
          <w:tab w:leader="none" w:pos="86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80" w:right="20" w:hanging="542"/>
        <w:spacing w:after="0" w:line="266" w:lineRule="auto"/>
        <w:tabs>
          <w:tab w:leader="none" w:pos="87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1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40" w:hanging="495"/>
        <w:spacing w:after="0" w:line="282" w:lineRule="auto"/>
        <w:tabs>
          <w:tab w:leader="none" w:pos="83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40" w:hanging="495"/>
        <w:spacing w:after="0" w:line="282" w:lineRule="auto"/>
        <w:tabs>
          <w:tab w:leader="none" w:pos="83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6700" w:val="left"/>
        </w:tabs>
        <w:rPr>
          <w:sz w:val="20"/>
          <w:szCs w:val="20"/>
          <w:color w:val="auto"/>
        </w:rPr>
      </w:pPr>
      <w:r>
        <w:rPr>
          <w:rFonts w:ascii="Times New Roman" w:cs="Times New Roman" w:eastAsia="Times New Roman" w:hAnsi="Times New Roman"/>
          <w:sz w:val="18"/>
          <w:szCs w:val="18"/>
          <w:color w:val="auto"/>
        </w:rPr>
        <w:t>June 11, 2024</w:t>
      </w:r>
      <w:r>
        <w:rPr>
          <w:sz w:val="20"/>
          <w:szCs w:val="20"/>
          <w:color w:val="auto"/>
        </w:rPr>
        <w:tab/>
      </w:r>
      <w:r>
        <w:rPr>
          <w:rFonts w:ascii="Times New Roman" w:cs="Times New Roman" w:eastAsia="Times New Roman" w:hAnsi="Times New Roman"/>
          <w:sz w:val="18"/>
          <w:szCs w:val="18"/>
          <w:u w:val="single" w:color="auto"/>
          <w:color w:val="auto"/>
        </w:rPr>
        <w:t>/s/ Cynthia L. Anderson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 hereby certifies, to such officer’s knowledge, that:</w:t>
      </w:r>
    </w:p>
    <w:p>
      <w:pPr>
        <w:spacing w:after="0" w:line="160" w:lineRule="exact"/>
        <w:rPr>
          <w:sz w:val="20"/>
          <w:szCs w:val="20"/>
          <w:color w:val="auto"/>
        </w:rPr>
      </w:pPr>
    </w:p>
    <w:p>
      <w:pPr>
        <w:ind w:left="860" w:hanging="204"/>
        <w:spacing w:after="0" w:line="284" w:lineRule="auto"/>
        <w:tabs>
          <w:tab w:leader="none" w:pos="8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annual period ended March 31, 2024 (the “</w:t>
      </w:r>
      <w:r>
        <w:rPr>
          <w:rFonts w:ascii="Times New Roman" w:cs="Times New Roman" w:eastAsia="Times New Roman" w:hAnsi="Times New Roman"/>
          <w:sz w:val="18"/>
          <w:szCs w:val="18"/>
          <w:i w:val="1"/>
          <w:iCs w:val="1"/>
          <w:color w:val="auto"/>
        </w:rPr>
        <w:t>Report</w:t>
      </w:r>
      <w:r>
        <w:rPr>
          <w:rFonts w:ascii="Times New Roman" w:cs="Times New Roman" w:eastAsia="Times New Roman" w:hAnsi="Times New Roman"/>
          <w:sz w:val="18"/>
          <w:szCs w:val="18"/>
          <w:color w:val="auto"/>
        </w:rPr>
        <w:t>”) fully complies with the requirements of Section 13(a) or Section 15(d), as applicable, of the Securities Exchange Act of 1934, as amended; and</w:t>
      </w:r>
    </w:p>
    <w:p>
      <w:pPr>
        <w:spacing w:after="0" w:line="160" w:lineRule="exact"/>
        <w:rPr>
          <w:rFonts w:ascii="Times New Roman" w:cs="Times New Roman" w:eastAsia="Times New Roman" w:hAnsi="Times New Roman"/>
          <w:sz w:val="18"/>
          <w:szCs w:val="18"/>
          <w:color w:val="auto"/>
        </w:rPr>
      </w:pPr>
    </w:p>
    <w:p>
      <w:pPr>
        <w:ind w:left="920" w:hanging="264"/>
        <w:spacing w:after="0" w:line="282" w:lineRule="auto"/>
        <w:tabs>
          <w:tab w:leader="none" w:pos="9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Cynthia L. Anderson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Cynthia L. Anderson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43" w:right="339" w:bottom="1440" w:gutter="0" w:footer="0" w:header="0"/>
        </w:sectPr>
      </w:pPr>
    </w:p>
    <w:bookmarkStart w:id="145" w:name="page146"/>
    <w:bookmarkEnd w:id="145"/>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1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Vistagen Therapeutics, Inc., a Nevada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herein are defined in Section 11.</w:t>
      </w:r>
    </w:p>
    <w:p>
      <w:pPr>
        <w:spacing w:after="0" w:line="179"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69"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7" w:lineRule="exact"/>
        <w:rPr>
          <w:sz w:val="20"/>
          <w:szCs w:val="20"/>
          <w:color w:val="auto"/>
        </w:rPr>
      </w:pPr>
    </w:p>
    <w:p>
      <w:pPr>
        <w:ind w:left="380" w:hanging="372"/>
        <w:spacing w:after="0"/>
        <w:tabs>
          <w:tab w:leader="none" w:pos="38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3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78" w:lineRule="exact"/>
        <w:rPr>
          <w:sz w:val="20"/>
          <w:szCs w:val="20"/>
          <w:color w:val="auto"/>
        </w:rPr>
      </w:pPr>
    </w:p>
    <w:p>
      <w:pPr>
        <w:ind w:left="380" w:hanging="372"/>
        <w:spacing w:after="0"/>
        <w:tabs>
          <w:tab w:leader="none" w:pos="38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1"/>
          <w:szCs w:val="21"/>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4"/>
          <w:szCs w:val="14"/>
          <w:color w:val="auto"/>
        </w:rPr>
        <w:t>upup</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6" w:lineRule="exact"/>
        <w:rPr>
          <w:sz w:val="20"/>
          <w:szCs w:val="20"/>
          <w:color w:val="auto"/>
        </w:rPr>
      </w:pPr>
    </w:p>
    <w:p>
      <w:pPr>
        <w:ind w:left="380" w:hanging="372"/>
        <w:spacing w:after="0"/>
        <w:tabs>
          <w:tab w:leader="none" w:pos="380" w:val="left"/>
        </w:tabs>
        <w:numPr>
          <w:ilvl w:val="0"/>
          <w:numId w:val="8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2" w:lineRule="exact"/>
        <w:rPr>
          <w:sz w:val="20"/>
          <w:szCs w:val="20"/>
          <w:color w:val="auto"/>
        </w:rPr>
      </w:pPr>
    </w:p>
    <w:p>
      <w:pPr>
        <w:ind w:left="380" w:hanging="372"/>
        <w:spacing w:after="0"/>
        <w:tabs>
          <w:tab w:leader="none" w:pos="38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9" w:lineRule="exact"/>
        <w:rPr>
          <w:sz w:val="20"/>
          <w:szCs w:val="20"/>
          <w:color w:val="auto"/>
        </w:rPr>
      </w:pPr>
    </w:p>
    <w:p>
      <w:pPr>
        <w:ind w:left="380" w:hanging="372"/>
        <w:spacing w:after="0"/>
        <w:tabs>
          <w:tab w:leader="none" w:pos="38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Liability</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90"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Arrangements</w:t>
      </w:r>
      <w:r>
        <w:rPr>
          <w:rFonts w:ascii="Times New Roman" w:cs="Times New Roman" w:eastAsia="Times New Roman" w:hAnsi="Times New Roman"/>
          <w:sz w:val="22"/>
          <w:szCs w:val="22"/>
          <w:color w:val="auto"/>
        </w:rPr>
        <w:t>”). The remedy specified in this Policy shall not be exclusive and shall be in addition to every other right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remedy at law or in equity that may be available to the Company or an affiliate of the Company.</w:t>
      </w:r>
    </w:p>
    <w:p>
      <w:pPr>
        <w:spacing w:after="0" w:line="190" w:lineRule="exact"/>
        <w:rPr>
          <w:sz w:val="20"/>
          <w:szCs w:val="20"/>
          <w:color w:val="auto"/>
        </w:rPr>
      </w:pPr>
    </w:p>
    <w:p>
      <w:pPr>
        <w:ind w:left="380" w:hanging="372"/>
        <w:spacing w:after="0"/>
        <w:tabs>
          <w:tab w:leader="none" w:pos="380"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89" w:lineRule="exact"/>
        <w:rPr>
          <w:sz w:val="20"/>
          <w:szCs w:val="20"/>
          <w:color w:val="auto"/>
        </w:rPr>
      </w:pPr>
    </w:p>
    <w:p>
      <w:pPr>
        <w:ind w:left="500" w:hanging="492"/>
        <w:spacing w:after="0"/>
        <w:tabs>
          <w:tab w:leader="none" w:pos="5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9" w:lineRule="exact"/>
        <w:rPr>
          <w:sz w:val="20"/>
          <w:szCs w:val="20"/>
          <w:color w:val="auto"/>
        </w:rPr>
      </w:pPr>
    </w:p>
    <w:p>
      <w:pPr>
        <w:ind w:left="480" w:hanging="472"/>
        <w:spacing w:after="0"/>
        <w:tabs>
          <w:tab w:leader="none" w:pos="4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firstLine="310"/>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24"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73"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6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2" w:lineRule="exact"/>
        <w:rPr>
          <w:sz w:val="20"/>
          <w:szCs w:val="20"/>
          <w:color w:val="auto"/>
        </w:rPr>
      </w:pPr>
    </w:p>
    <w:p>
      <w:pPr>
        <w:ind w:right="20" w:firstLine="8"/>
        <w:spacing w:after="0" w:line="248" w:lineRule="auto"/>
        <w:tabs>
          <w:tab w:leader="none" w:pos="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0" w:lineRule="exact"/>
        <w:rPr>
          <w:sz w:val="20"/>
          <w:szCs w:val="20"/>
          <w:color w:val="auto"/>
        </w:rPr>
      </w:pPr>
    </w:p>
    <w:p>
      <w:pPr>
        <w:jc w:val="both"/>
        <w:ind w:left="40" w:right="20" w:hanging="23"/>
        <w:spacing w:after="0" w:line="281" w:lineRule="auto"/>
        <w:rPr>
          <w:sz w:val="20"/>
          <w:szCs w:val="20"/>
          <w:color w:val="auto"/>
        </w:rPr>
      </w:pPr>
      <w:r>
        <w:rPr>
          <w:rFonts w:ascii="Times New Roman" w:cs="Times New Roman" w:eastAsia="Times New Roman" w:hAnsi="Times New Roman"/>
          <w:sz w:val="21"/>
          <w:szCs w:val="21"/>
          <w:color w:val="auto"/>
        </w:rPr>
        <w:t>Company to prepare such Restatement. The “Three-Year Period” also includes any transition period (that results from a change in the Company’s fiscal year) within or immediately following the three completed fiscal years identified in the preceding sentence.</w:t>
      </w:r>
    </w:p>
    <w:p>
      <w:pPr>
        <w:jc w:val="center"/>
        <w:ind w:left="340" w:right="180"/>
        <w:spacing w:after="0" w:line="256" w:lineRule="auto"/>
        <w:rPr>
          <w:sz w:val="20"/>
          <w:szCs w:val="20"/>
          <w:color w:val="auto"/>
        </w:rPr>
      </w:pPr>
      <w:r>
        <w:rPr>
          <w:rFonts w:ascii="Times New Roman" w:cs="Times New Roman" w:eastAsia="Times New Roman" w:hAnsi="Times New Roman"/>
          <w:sz w:val="22"/>
          <w:szCs w:val="22"/>
          <w:color w:val="auto"/>
        </w:rPr>
        <w:t>However, a transition period between the last day of the Company’s previous fiscal year end and the first day of its new fiscal year that comprises a period of nine to 12 months shall be deemed a completed fiscal year.</w:t>
      </w:r>
      <w:r>
        <w:rPr>
          <w:rFonts w:ascii="Times New Roman" w:cs="Times New Roman" w:eastAsia="Times New Roman" w:hAnsi="Times New Roman"/>
          <w:sz w:val="22"/>
          <w:szCs w:val="22"/>
          <w:b w:val="1"/>
          <w:bCs w:val="1"/>
          <w:color w:val="auto"/>
        </w:rPr>
        <w:t>ACKNOWLEDGMENT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CONSENT TO</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“Policy”) adopted by Vistagen Therapeutics, Inc. (the “Company”).</w:t>
      </w:r>
    </w:p>
    <w:p>
      <w:pPr>
        <w:spacing w:after="0" w:line="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sectPr>
          <w:pgSz w:w="11900" w:h="16838" w:orient="portrait"/>
          <w:cols w:equalWidth="0" w:num="2">
            <w:col w:w="2480" w:space="720"/>
            <w:col w:w="8040"/>
          </w:cols>
          <w:pgMar w:left="320" w:top="1440" w:right="3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0" w:lineRule="exact"/>
        <w:rPr>
          <w:sz w:val="20"/>
          <w:szCs w:val="20"/>
          <w:color w:val="auto"/>
        </w:rPr>
      </w:pPr>
    </w:p>
    <w:p>
      <w:pPr>
        <w:sectPr>
          <w:pgSz w:w="11900" w:h="16838" w:orient="portrait"/>
          <w:cols w:equalWidth="0" w:num="2">
            <w:col w:w="2480" w:space="720"/>
            <w:col w:w="8040"/>
          </w:cols>
          <w:pgMar w:left="320" w:top="1440" w:right="339" w:bottom="1440" w:gutter="0" w:footer="0" w:header="0"/>
          <w:type w:val="continuous"/>
        </w:sectPr>
      </w:pPr>
    </w:p>
    <w:p>
      <w:pPr>
        <w:spacing w:after="0" w:line="1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w:t>
      </w:r>
    </w:p>
    <w:p>
      <w:pPr>
        <w:spacing w:after="0" w:line="20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________________________________________</w:t>
      </w:r>
    </w:p>
    <w:p>
      <w:pPr>
        <w:spacing w:after="0" w:line="17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x"/>
      <w:numFmt w:val="bullet"/>
      <w:start w:val="1"/>
    </w:lvl>
  </w:abstractNum>
  <w:abstractNum w:abstractNumId="1">
    <w:nsid w:val="38437FDB"/>
    <w:multiLevelType w:val="hybridMultilevel"/>
    <w:lvl w:ilvl="0">
      <w:lvlJc w:val="left"/>
      <w:lvlText w:val="o"/>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1)"/>
      <w:numFmt w:val="decimal"/>
      <w:start w:val="2"/>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lvl w:ilvl="1">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lowerRoman"/>
      <w:start w:val="3"/>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lvl w:ilvl="1">
      <w:lvlJc w:val="left"/>
      <w:lvlText w:val="◦"/>
      <w:numFmt w:val="bullet"/>
      <w:start w:val="1"/>
    </w:lvl>
  </w:abstractNum>
  <w:abstractNum w:abstractNumId="54">
    <w:nsid w:val="5DC79EA8"/>
    <w:multiLevelType w:val="hybridMultilevel"/>
    <w:lvl w:ilvl="0">
      <w:lvlJc w:val="left"/>
      <w:lvlText w:val="%1."/>
      <w:numFmt w:val="decimal"/>
      <w:start w:val="1"/>
    </w:lvl>
  </w:abstractNum>
  <w:abstractNum w:abstractNumId="55">
    <w:nsid w:val="540A471C"/>
    <w:multiLevelType w:val="hybridMultilevel"/>
    <w:lvl w:ilvl="0">
      <w:lvlJc w:val="left"/>
      <w:lvlText w:val="(%1)"/>
      <w:numFmt w:val="lowerRoman"/>
      <w:start w:val="3"/>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5"/>
    </w:lvl>
  </w:abstractNum>
  <w:abstractNum w:abstractNumId="58">
    <w:nsid w:val="613EFDC5"/>
    <w:multiLevelType w:val="hybridMultilevel"/>
    <w:lvl w:ilvl="0">
      <w:lvlJc w:val="left"/>
      <w:lvlText w:val="%1."/>
      <w:numFmt w:val="decimal"/>
      <w:start w:val="8"/>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decimal"/>
      <w:start w:val="9"/>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1."/>
      <w:numFmt w:val="decimal"/>
      <w:start w:val="1"/>
    </w:lvl>
    <w:lvl w:ilvl="1">
      <w:lvlJc w:val="left"/>
      <w:lvlText w:val="(%2)"/>
      <w:numFmt w:val="lowerLetter"/>
      <w:start w:val="1"/>
    </w:lvl>
  </w:abstractNum>
  <w:abstractNum w:abstractNumId="65">
    <w:nsid w:val="3B0FD379"/>
    <w:multiLevelType w:val="hybridMultilevel"/>
    <w:lvl w:ilvl="0">
      <w:lvlJc w:val="left"/>
      <w:lvlText w:val="%1"/>
      <w:numFmt w:val="decimal"/>
      <w:start w:val="1"/>
    </w:lvl>
    <w:lvl w:ilvl="1">
      <w:lvlJc w:val="left"/>
      <w:lvlText w:val="(%2)"/>
      <w:numFmt w:val="lowerLetter"/>
      <w:start w:val="3"/>
    </w:lvl>
  </w:abstractNum>
  <w:abstractNum w:abstractNumId="66">
    <w:nsid w:val="68EB2F63"/>
    <w:multiLevelType w:val="hybridMultilevel"/>
    <w:lvl w:ilvl="0">
      <w:lvlJc w:val="left"/>
      <w:lvlText w:val="%1."/>
      <w:numFmt w:val="decimal"/>
      <w:start w:val="2"/>
    </w:lvl>
    <w:lvl w:ilvl="1">
      <w:lvlJc w:val="left"/>
      <w:lvlText w:val="(%2)"/>
      <w:numFmt w:val="lowerLetter"/>
      <w:start w:val="1"/>
    </w:lvl>
  </w:abstractNum>
  <w:abstractNum w:abstractNumId="67">
    <w:nsid w:val="4962813B"/>
    <w:multiLevelType w:val="hybridMultilevel"/>
    <w:lvl w:ilvl="0">
      <w:lvlJc w:val="left"/>
      <w:lvlText w:val="%1"/>
      <w:numFmt w:val="lowerLetter"/>
      <w:start w:val="1"/>
    </w:lvl>
    <w:lvl w:ilvl="1">
      <w:lvlJc w:val="left"/>
      <w:lvlText w:val="(%2)"/>
      <w:numFmt w:val="lowerLetter"/>
      <w:start w:val="2"/>
    </w:lvl>
  </w:abstractNum>
  <w:abstractNum w:abstractNumId="68">
    <w:nsid w:val="60B6DF70"/>
    <w:multiLevelType w:val="hybridMultilevel"/>
    <w:lvl w:ilvl="0">
      <w:lvlJc w:val="left"/>
      <w:lvlText w:val="(%1)"/>
      <w:numFmt w:val="lowerLetter"/>
      <w:start w:val="61"/>
    </w:lvl>
    <w:lvl w:ilvl="1">
      <w:lvlJc w:val="left"/>
      <w:lvlText w:val="(%2)"/>
      <w:numFmt w:val="lowerLetter"/>
      <w:start w:val="3"/>
    </w:lvl>
  </w:abstractNum>
  <w:abstractNum w:abstractNumId="69">
    <w:nsid w:val="6A5EE64"/>
    <w:multiLevelType w:val="hybridMultilevel"/>
    <w:lvl w:ilvl="0">
      <w:lvlJc w:val="left"/>
      <w:lvlText w:val="%1."/>
      <w:numFmt w:val="decimal"/>
      <w:start w:val="3"/>
    </w:lvl>
    <w:lvl w:ilvl="1">
      <w:lvlJc w:val="left"/>
      <w:lvlText w:val="(%2)"/>
      <w:numFmt w:val="lowerLetter"/>
      <w:start w:val="1"/>
    </w:lvl>
  </w:abstractNum>
  <w:abstractNum w:abstractNumId="70">
    <w:nsid w:val="1433062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1">
    <w:nsid w:val="7FFFCA1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decimal"/>
      <w:start w:val="1"/>
    </w:lvl>
    <w:lvl w:ilvl="1">
      <w:lvlJc w:val="left"/>
      <w:lvlText w:val="(%2)"/>
      <w:numFmt w:val="lowerLetter"/>
      <w:start w:val="3"/>
    </w:lvl>
  </w:abstractNum>
  <w:abstractNum w:abstractNumId="74">
    <w:nsid w:val="100F59DC"/>
    <w:multiLevelType w:val="hybridMultilevel"/>
    <w:lvl w:ilvl="0">
      <w:lvlJc w:val="left"/>
      <w:lvlText w:val="%1."/>
      <w:numFmt w:val="decimal"/>
      <w:start w:val="7"/>
    </w:lvl>
    <w:lvl w:ilvl="1">
      <w:lvlJc w:val="left"/>
      <w:lvlText w:val="%2"/>
      <w:numFmt w:val="lowerLetter"/>
      <w:start w:val="1"/>
    </w:lvl>
  </w:abstractNum>
  <w:abstractNum w:abstractNumId="75">
    <w:nsid w:val="7FB7E0AA"/>
    <w:multiLevelType w:val="hybridMultilevel"/>
    <w:lvl w:ilvl="0">
      <w:lvlJc w:val="left"/>
      <w:lvlText w:val="(%1)"/>
      <w:numFmt w:val="lowerRoman"/>
      <w:start w:val="4"/>
    </w:lvl>
    <w:lvl w:ilvl="1">
      <w:lvlJc w:val="left"/>
      <w:lvlText w:val="%2."/>
      <w:numFmt w:val="decimal"/>
      <w:start w:val="8"/>
    </w:lvl>
  </w:abstractNum>
  <w:abstractNum w:abstractNumId="76">
    <w:nsid w:val="6EB5BD4"/>
    <w:multiLevelType w:val="hybridMultilevel"/>
    <w:lvl w:ilvl="0">
      <w:lvlJc w:val="left"/>
      <w:lvlText w:val="%1."/>
      <w:numFmt w:val="decimal"/>
      <w:start w:val="12"/>
    </w:lvl>
  </w:abstractNum>
  <w:abstractNum w:abstractNumId="77">
    <w:nsid w:val="6F6DD9AC"/>
    <w:multiLevelType w:val="hybridMultilevel"/>
    <w:lvl w:ilvl="0">
      <w:lvlJc w:val="left"/>
      <w:lvlText w:val="%1."/>
      <w:numFmt w:val="decimal"/>
      <w:start w:val="13"/>
    </w:lvl>
  </w:abstractNum>
  <w:abstractNum w:abstractNumId="78">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9">
    <w:nsid w:val="885E1B"/>
    <w:multiLevelType w:val="hybridMultilevel"/>
    <w:lvl w:ilvl="0">
      <w:lvlJc w:val="left"/>
      <w:lvlText w:val="%1."/>
      <w:numFmt w:val="decimal"/>
      <w:start w:val="1"/>
    </w:lvl>
    <w:lvl w:ilvl="1">
      <w:lvlJc w:val="left"/>
      <w:lvlText w:val="%2)"/>
      <w:numFmt w:val="lowerLetter"/>
      <w:start w:val="1"/>
    </w:lvl>
  </w:abstractNum>
  <w:abstractNum w:abstractNumId="80">
    <w:nsid w:val="76272110"/>
    <w:multiLevelType w:val="hybridMultilevel"/>
    <w:lvl w:ilvl="0">
      <w:lvlJc w:val="left"/>
      <w:lvlText w:val="(%1)"/>
      <w:numFmt w:val="lowerRoman"/>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2"/>
    </w:lvl>
  </w:abstractNum>
  <w:abstractNum w:abstractNumId="83">
    <w:nsid w:val="14E17E33"/>
    <w:multiLevelType w:val="hybridMultilevel"/>
    <w:lvl w:ilvl="0">
      <w:lvlJc w:val="left"/>
      <w:lvlText w:val="%1."/>
      <w:numFmt w:val="decimal"/>
      <w:start w:val="3"/>
    </w:lvl>
  </w:abstractNum>
  <w:abstractNum w:abstractNumId="84">
    <w:nsid w:val="3222E7CD"/>
    <w:multiLevelType w:val="hybridMultilevel"/>
    <w:lvl w:ilvl="0">
      <w:lvlJc w:val="left"/>
      <w:lvlText w:val="%1."/>
      <w:numFmt w:val="decimal"/>
      <w:start w:val="4"/>
    </w:lvl>
  </w:abstractNum>
  <w:abstractNum w:abstractNumId="85">
    <w:nsid w:val="74DE0EE3"/>
    <w:multiLevelType w:val="hybridMultilevel"/>
    <w:lvl w:ilvl="0">
      <w:lvlJc w:val="left"/>
      <w:lvlText w:val="%1."/>
      <w:numFmt w:val="decimal"/>
      <w:start w:val="5"/>
    </w:lvl>
  </w:abstractNum>
  <w:abstractNum w:abstractNumId="86">
    <w:nsid w:val="68EBC550"/>
    <w:multiLevelType w:val="hybridMultilevel"/>
    <w:lvl w:ilvl="0">
      <w:lvlJc w:val="left"/>
      <w:lvlText w:val="%1."/>
      <w:numFmt w:val="decimal"/>
      <w:start w:val="6"/>
    </w:lvl>
  </w:abstractNum>
  <w:abstractNum w:abstractNumId="87">
    <w:nsid w:val="2DF6D648"/>
    <w:multiLevelType w:val="hybridMultilevel"/>
    <w:lvl w:ilvl="0">
      <w:lvlJc w:val="left"/>
      <w:lvlText w:val="%1."/>
      <w:numFmt w:val="decimal"/>
      <w:start w:val="7"/>
    </w:lvl>
  </w:abstractNum>
  <w:abstractNum w:abstractNumId="88">
    <w:nsid w:val="46B7D447"/>
    <w:multiLevelType w:val="hybridMultilevel"/>
    <w:lvl w:ilvl="0">
      <w:lvlJc w:val="left"/>
      <w:lvlText w:val="%1."/>
      <w:numFmt w:val="decimal"/>
      <w:start w:val="8"/>
    </w:lvl>
  </w:abstractNum>
  <w:abstractNum w:abstractNumId="89">
    <w:nsid w:val="4A2AC315"/>
    <w:multiLevelType w:val="hybridMultilevel"/>
    <w:lvl w:ilvl="0">
      <w:lvlJc w:val="left"/>
      <w:lvlText w:val="%1."/>
      <w:numFmt w:val="decimal"/>
      <w:start w:val="9"/>
    </w:lvl>
  </w:abstractNum>
  <w:abstractNum w:abstractNumId="90">
    <w:nsid w:val="39EE015C"/>
    <w:multiLevelType w:val="hybridMultilevel"/>
    <w:lvl w:ilvl="0">
      <w:lvlJc w:val="left"/>
      <w:lvlText w:val="%1."/>
      <w:numFmt w:val="decimal"/>
      <w:start w:val="10"/>
    </w:lvl>
  </w:abstractNum>
  <w:abstractNum w:abstractNumId="91">
    <w:nsid w:val="57FC4FBB"/>
    <w:multiLevelType w:val="hybridMultilevel"/>
    <w:lvl w:ilvl="0">
      <w:lvlJc w:val="left"/>
      <w:lvlText w:val="%1."/>
      <w:numFmt w:val="decimal"/>
      <w:start w:val="11"/>
    </w:lvl>
  </w:abstractNum>
  <w:abstractNum w:abstractNumId="92">
    <w:nsid w:val="CC1016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93"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142" Type="http://schemas.openxmlformats.org/officeDocument/2006/relationships/hyperlink" Target="https://www.sec.gov/Archives/edgar/data/1411685/000165495421005701/vtgn8k_may2021.htm" TargetMode="External"/><Relationship Id="rId143" Type="http://schemas.openxmlformats.org/officeDocument/2006/relationships/hyperlink" Target="https://www.sec.gov/Archives/edgar/data/1411685/000143774923027662/ex_576126.htm" TargetMode="External"/><Relationship Id="rId144" Type="http://schemas.openxmlformats.org/officeDocument/2006/relationships/hyperlink" Target="https://www.sec.gov/Archives/edgar/data/1411685/000141588911000362/ex2-1.htm" TargetMode="External"/><Relationship Id="rId145" Type="http://schemas.openxmlformats.org/officeDocument/2006/relationships/hyperlink" Target="https://www.sec.gov/Archives/edgar/data/1411685/000185173422000740/ex_458079.htm" TargetMode="External"/><Relationship Id="rId146" Type="http://schemas.openxmlformats.org/officeDocument/2006/relationships/hyperlink" Target="https://www.sec.gov/Archives/edgar/data/1411685/000141588911000445/exhibit3-1.htm" TargetMode="External"/><Relationship Id="rId147" Type="http://schemas.openxmlformats.org/officeDocument/2006/relationships/hyperlink" Target="https://www.sec.gov/Archives/edgar/data/1411685/000141588911001446/ex3-12232011_081210.htm" TargetMode="External"/><Relationship Id="rId148" Type="http://schemas.openxmlformats.org/officeDocument/2006/relationships/hyperlink" Target="https://www.sec.gov/Archives/edgar/data/1411685/000185173422000662/ex_442810.htm" TargetMode="External"/><Relationship Id="rId149" Type="http://schemas.openxmlformats.org/officeDocument/2006/relationships/hyperlink" Target="https://www.sec.gov/Archives/edgar/data/1411685/000141588915001677/ex3-1.htm" TargetMode="External"/><Relationship Id="rId150" Type="http://schemas.openxmlformats.org/officeDocument/2006/relationships/hyperlink" Target="https://www.sec.gov/Archives/edgar/data/1411685/000185173422000662/ex_442811.htm" TargetMode="External"/><Relationship Id="rId151" Type="http://schemas.openxmlformats.org/officeDocument/2006/relationships/hyperlink" Target="https://www.sec.gov/Archives/edgar/data/1411685/000141588916004564/ex3-01292016_020121.htm" TargetMode="External"/><Relationship Id="rId152" Type="http://schemas.openxmlformats.org/officeDocument/2006/relationships/hyperlink" Target="https://www.sec.gov/Archives/edgar/data/1411685/000185173422000662/ex_442812.htm" TargetMode="External"/><Relationship Id="rId155" Type="http://schemas.openxmlformats.org/officeDocument/2006/relationships/hyperlink" Target="https://www.sec.gov/Archives/edgar/data/1411685/000141588916006879/ex3-1.htm" TargetMode="External"/><Relationship Id="rId156" Type="http://schemas.openxmlformats.org/officeDocument/2006/relationships/hyperlink" Target="https://www.sec.gov/Archives/edgar/data/1411685/000141588916006879/ex3-2.htm" TargetMode="External"/><Relationship Id="rId157" Type="http://schemas.openxmlformats.org/officeDocument/2006/relationships/hyperlink" Target="https://www.sec.gov/Archives/edgar/data/1411685/000165495417008632/ex3-1.htm" TargetMode="External"/><Relationship Id="rId158" Type="http://schemas.openxmlformats.org/officeDocument/2006/relationships/hyperlink" Target="https://www.sec.gov/Archives/edgar/data/1411685/000165495419010432/ex3-1.htm" TargetMode="External"/><Relationship Id="rId159" Type="http://schemas.openxmlformats.org/officeDocument/2006/relationships/hyperlink" Target="https://www.sec.gov/Archives/edgar/data/1411685/000165495420013839/ex3-1.htm" TargetMode="External"/><Relationship Id="rId160" Type="http://schemas.openxmlformats.org/officeDocument/2006/relationships/hyperlink" Target="https://www.sec.gov/Archives/edgar/data/1411685/000185173422000662/ex_442813.htm" TargetMode="External"/><Relationship Id="rId161" Type="http://schemas.openxmlformats.org/officeDocument/2006/relationships/hyperlink" Target="https://www.sec.gov/Archives/edgar/data/1411685/000165495421002420/ex3-1.htm" TargetMode="External"/><Relationship Id="rId162" Type="http://schemas.openxmlformats.org/officeDocument/2006/relationships/hyperlink" Target="https://www.sec.gov/Archives/edgar/data/1411685/000185173422000516/ex_418416.htm" TargetMode="External"/><Relationship Id="rId163" Type="http://schemas.openxmlformats.org/officeDocument/2006/relationships/hyperlink" Target="https://www.sec.gov/Archives/edgar/data/1411685/000143774923016689/ex_530160.htm" TargetMode="External"/><Relationship Id="rId164" Type="http://schemas.openxmlformats.org/officeDocument/2006/relationships/hyperlink" Target="https://www.sec.gov/Archives/edgar/data/1411685/000143774923027662/vtgn20231003_8k.htm" TargetMode="External"/><Relationship Id="rId165" Type="http://schemas.openxmlformats.org/officeDocument/2006/relationships/hyperlink" Target="https://www.sec.gov/Archives/edgar/data/1411685/000143774923027662/ex_576135.htm" TargetMode="External"/><Relationship Id="rId166" Type="http://schemas.openxmlformats.org/officeDocument/2006/relationships/hyperlink" Target="https://www.sec.gov/Archives/edgar/data/1411685/000143774923027662/ex_576136.htm" TargetMode="External"/><Relationship Id="rId167" Type="http://schemas.openxmlformats.org/officeDocument/2006/relationships/hyperlink" Target="https://www.sec.gov/Archives/edgar/data/1411685/000141588911000362/ex10-40.htm" TargetMode="External"/><Relationship Id="rId168" Type="http://schemas.openxmlformats.org/officeDocument/2006/relationships/hyperlink" Target="https://www.sec.gov/Archives/edgar/data/1411685/000141588913001409/leasebaysidevistagen.htm" TargetMode="External"/><Relationship Id="rId169" Type="http://schemas.openxmlformats.org/officeDocument/2006/relationships/hyperlink" Target="https://www.sec.gov/Archives/edgar/data/1411685/000141588913001409/saxeindemnification.htm" TargetMode="External"/><Relationship Id="rId170" Type="http://schemas.openxmlformats.org/officeDocument/2006/relationships/hyperlink" Target="https://www.sec.gov/Archives/edgar/data/1411685/000141588913001409/singhindemnification.htm" TargetMode="External"/><Relationship Id="rId171" Type="http://schemas.openxmlformats.org/officeDocument/2006/relationships/hyperlink" Target="https://www.sec.gov/Archives/edgar/data/1411685/000141588916006331/ex10-112.htm" TargetMode="External"/><Relationship Id="rId172" Type="http://schemas.openxmlformats.org/officeDocument/2006/relationships/hyperlink" Target="https://www.sec.gov/Archives/edgar/data/1411685/000141588916006331/ex10-116.htm" TargetMode="External"/><Relationship Id="rId173" Type="http://schemas.openxmlformats.org/officeDocument/2006/relationships/hyperlink" Target="https://www.sec.gov/Archives/edgar/data/1411685/000141588916007413/ex10-1.htm" TargetMode="External"/><Relationship Id="rId176" Type="http://schemas.openxmlformats.org/officeDocument/2006/relationships/hyperlink" Target="https://www.sec.gov/Archives/edgar/data/1411685/000165495417005976/ex10-122.htm" TargetMode="External"/><Relationship Id="rId177" Type="http://schemas.openxmlformats.org/officeDocument/2006/relationships/hyperlink" Target="https://www.sec.gov/Archives/edgar/data/1411685/000165495418010158/ex10-1.htm" TargetMode="External"/><Relationship Id="rId178" Type="http://schemas.openxmlformats.org/officeDocument/2006/relationships/hyperlink" Target="https://www.sec.gov/Archives/edgar/data/1411685/000165495418010158/ex10-2.htm" TargetMode="External"/><Relationship Id="rId179" Type="http://schemas.openxmlformats.org/officeDocument/2006/relationships/hyperlink" Target="https://www.sec.gov/Archives/edgar/data/1411685/000165495418011715/ex10-3.htm" TargetMode="External"/><Relationship Id="rId180" Type="http://schemas.openxmlformats.org/officeDocument/2006/relationships/hyperlink" Target="https://www.sec.gov/Archives/edgar/data/1411685/000165495419000496/ex10-1.htm" TargetMode="External"/><Relationship Id="rId181" Type="http://schemas.openxmlformats.org/officeDocument/2006/relationships/hyperlink" Target="https://www.sec.gov/Archives/edgar/data/1411685/000165495419008434/def14a_july262019.htm" TargetMode="External"/><Relationship Id="rId182" Type="http://schemas.openxmlformats.org/officeDocument/2006/relationships/hyperlink" Target="https://www.sec.gov/Archives/edgar/data/1411685/000165495420007024/ex10-1.htm" TargetMode="External"/><Relationship Id="rId183" Type="http://schemas.openxmlformats.org/officeDocument/2006/relationships/hyperlink" Target="https://www.sec.gov/Archives/edgar/data/1411685/000165495421004680/ex10-1.htm" TargetMode="External"/><Relationship Id="rId184" Type="http://schemas.openxmlformats.org/officeDocument/2006/relationships/hyperlink" Target="https://www.sec.gov/Archives/edgar/data/1411685/000165495421007757/ex10-1.htm" TargetMode="External"/><Relationship Id="rId185" Type="http://schemas.openxmlformats.org/officeDocument/2006/relationships/hyperlink" Target="https://www.sec.gov/Archives/edgar/data/1411685/000165495421008125/ex10-1.htm" TargetMode="External"/><Relationship Id="rId186" Type="http://schemas.openxmlformats.org/officeDocument/2006/relationships/hyperlink" Target="https://www.sec.gov/Archives/edgar/data/1411685/000143774921026161/ex_296584.htm" TargetMode="External"/><Relationship Id="rId187" Type="http://schemas.openxmlformats.org/officeDocument/2006/relationships/hyperlink" Target="https://www.sec.gov/Archives/edgar/data/1411685/000185173422000432/ex_406949.htm" TargetMode="External"/><Relationship Id="rId188" Type="http://schemas.openxmlformats.org/officeDocument/2006/relationships/hyperlink" Target="https://www.sec.gov/Archives/edgar/data/1411685/000185173422000662/ex_445594.htm" TargetMode="External"/><Relationship Id="rId189" Type="http://schemas.openxmlformats.org/officeDocument/2006/relationships/hyperlink" Target="https://www.sec.gov/Archives/edgar/data/1411685/000185173422000662/ex_445595.htm" TargetMode="External"/><Relationship Id="rId190" Type="http://schemas.openxmlformats.org/officeDocument/2006/relationships/hyperlink" Target="https://www.sec.gov/Archives/edgar/data/1411685/000185173423000035/ex_470766.htm" TargetMode="External"/><Relationship Id="rId191" Type="http://schemas.openxmlformats.org/officeDocument/2006/relationships/hyperlink" Target="https://www.sec.gov/Archives/edgar/data/1411685/000143774923018793/ex_537095.htm" TargetMode="External"/><Relationship Id="rId192" Type="http://schemas.openxmlformats.org/officeDocument/2006/relationships/hyperlink" Target="https://www.sec.gov/Archives/edgar/data/1411685/000185173422000662/ex_445596.htm" TargetMode="External"/><Relationship Id="rId194" Type="http://schemas.openxmlformats.org/officeDocument/2006/relationships/hyperlink" Target="https://www.sec.gov/Archives/edgar/data/1411685/000143774923025509/ex_567993.htm" TargetMode="External"/><Relationship Id="rId195" Type="http://schemas.openxmlformats.org/officeDocument/2006/relationships/hyperlink" Target="https://www.sec.gov/Archives/edgar/data/1411685/000143774923031293/ex_594538.htm" TargetMode="External"/><Relationship Id="rId196" Type="http://schemas.openxmlformats.org/officeDocument/2006/relationships/hyperlink" Target="https://www.sec.gov/Archives/edgar/data/1411685/000143774923029096/ex_586441.htm" TargetMode="External"/><Relationship Id="rId197" Type="http://schemas.openxmlformats.org/officeDocument/2006/relationships/hyperlink" Target="https://www.sec.gov/Archives/edgar/data/1411685/000143774923018793/ex_5367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2024-06-11T15:33:38Z</dcterms:created>
  <dcterms:modified xsi:type="dcterms:W3CDTF">2024-06-11T15:33:38Z</dcterms:modified>
</cp:coreProperties>
</file>