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24,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40" w:hanging="651"/>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Rule 13d-1(c)</w:t>
      </w:r>
    </w:p>
    <w:p>
      <w:pPr>
        <w:spacing w:after="0" w:line="7" w:lineRule="exact"/>
        <w:rPr>
          <w:rFonts w:ascii="MS PGothic" w:cs="MS PGothic" w:eastAsia="MS PGothic" w:hAnsi="MS PGothic"/>
          <w:sz w:val="18"/>
          <w:szCs w:val="18"/>
          <w:color w:val="auto"/>
        </w:rPr>
      </w:pPr>
    </w:p>
    <w:p>
      <w:pPr>
        <w:ind w:left="1240" w:hanging="651"/>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13 Pages)</w:t>
      </w:r>
    </w:p>
    <w:p>
      <w:pPr>
        <w:spacing w:after="0" w:line="236" w:lineRule="exact"/>
        <w:rPr>
          <w:sz w:val="24"/>
          <w:szCs w:val="24"/>
          <w:color w:val="auto"/>
        </w:rPr>
      </w:pPr>
    </w:p>
    <w:p>
      <w:pPr>
        <w:ind w:right="2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1720" w:hanging="899"/>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Lincoln Park Capital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9</w:t>
            </w:r>
          </w:p>
        </w:tc>
        <w:tc>
          <w:tcPr>
            <w:tcW w:w="7360" w:type="dxa"/>
            <w:vAlign w:val="bottom"/>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4,614,602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3"/>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10</w:t>
            </w:r>
          </w:p>
        </w:tc>
        <w:tc>
          <w:tcPr>
            <w:tcW w:w="7360" w:type="dxa"/>
            <w:vAlign w:val="bottom"/>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2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134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11</w:t>
            </w:r>
          </w:p>
        </w:tc>
        <w:tc>
          <w:tcPr>
            <w:tcW w:w="7360" w:type="dxa"/>
            <w:vAlign w:val="bottom"/>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9.62%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12</w:t>
            </w:r>
          </w:p>
        </w:tc>
        <w:tc>
          <w:tcPr>
            <w:tcW w:w="7360" w:type="dxa"/>
            <w:vAlign w:val="bottom"/>
          </w:tcPr>
          <w:p>
            <w:pPr>
              <w:ind w:left="38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OO</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729"/>
        </w:trPr>
        <w:tc>
          <w:tcPr>
            <w:tcW w:w="13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ind w:left="1720" w:hanging="899"/>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Lincoln Park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9</w:t>
            </w:r>
          </w:p>
        </w:tc>
        <w:tc>
          <w:tcPr>
            <w:tcW w:w="7360" w:type="dxa"/>
            <w:vAlign w:val="bottom"/>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4,614,602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3"/>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10</w:t>
            </w:r>
          </w:p>
        </w:tc>
        <w:tc>
          <w:tcPr>
            <w:tcW w:w="7360" w:type="dxa"/>
            <w:vAlign w:val="bottom"/>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2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134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11</w:t>
            </w:r>
          </w:p>
        </w:tc>
        <w:tc>
          <w:tcPr>
            <w:tcW w:w="7360" w:type="dxa"/>
            <w:vAlign w:val="bottom"/>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9.62%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12</w:t>
            </w:r>
          </w:p>
        </w:tc>
        <w:tc>
          <w:tcPr>
            <w:tcW w:w="7360" w:type="dxa"/>
            <w:vAlign w:val="bottom"/>
          </w:tcPr>
          <w:p>
            <w:pPr>
              <w:ind w:left="38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OO</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729"/>
        </w:trPr>
        <w:tc>
          <w:tcPr>
            <w:tcW w:w="13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1720" w:hanging="89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Rockledge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9</w:t>
            </w:r>
          </w:p>
        </w:tc>
        <w:tc>
          <w:tcPr>
            <w:tcW w:w="7360" w:type="dxa"/>
            <w:vAlign w:val="bottom"/>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4,614,602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3"/>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10</w:t>
            </w:r>
          </w:p>
        </w:tc>
        <w:tc>
          <w:tcPr>
            <w:tcW w:w="7360" w:type="dxa"/>
            <w:vAlign w:val="bottom"/>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2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134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11</w:t>
            </w:r>
          </w:p>
        </w:tc>
        <w:tc>
          <w:tcPr>
            <w:tcW w:w="7360" w:type="dxa"/>
            <w:vAlign w:val="bottom"/>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9.62%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12</w:t>
            </w:r>
          </w:p>
        </w:tc>
        <w:tc>
          <w:tcPr>
            <w:tcW w:w="7360" w:type="dxa"/>
            <w:vAlign w:val="bottom"/>
          </w:tcPr>
          <w:p>
            <w:pPr>
              <w:ind w:left="38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CO</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729"/>
        </w:trPr>
        <w:tc>
          <w:tcPr>
            <w:tcW w:w="13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1720" w:hanging="899"/>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Joshua B.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p>
      <w:pPr>
        <w:ind w:left="1720" w:right="3140" w:hanging="899"/>
        <w:spacing w:after="0" w:line="277" w:lineRule="auto"/>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4,614,602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80"/>
        <w:spacing w:after="0" w:line="190" w:lineRule="exact"/>
        <w:tabs>
          <w:tab w:leader="none" w:pos="1700" w:val="left"/>
          <w:tab w:leader="none" w:pos="90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720" w:right="4640" w:hanging="941"/>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9.62%</w:t>
      </w:r>
    </w:p>
    <w:p>
      <w:pPr>
        <w:spacing w:after="0" w:line="35" w:lineRule="exact"/>
        <w:rPr>
          <w:rFonts w:ascii="Arial" w:cs="Arial" w:eastAsia="Arial" w:hAnsi="Arial"/>
          <w:sz w:val="18"/>
          <w:szCs w:val="18"/>
          <w:color w:val="auto"/>
        </w:rPr>
      </w:pPr>
    </w:p>
    <w:p>
      <w:pPr>
        <w:ind w:left="1720" w:right="7200" w:hanging="94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1720" w:hanging="899"/>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Alex Noah Investors,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9</w:t>
            </w:r>
          </w:p>
        </w:tc>
        <w:tc>
          <w:tcPr>
            <w:tcW w:w="7360" w:type="dxa"/>
            <w:vAlign w:val="bottom"/>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4,614,602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3"/>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10</w:t>
            </w:r>
          </w:p>
        </w:tc>
        <w:tc>
          <w:tcPr>
            <w:tcW w:w="7360" w:type="dxa"/>
            <w:vAlign w:val="bottom"/>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2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134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11</w:t>
            </w:r>
          </w:p>
        </w:tc>
        <w:tc>
          <w:tcPr>
            <w:tcW w:w="7360" w:type="dxa"/>
            <w:vAlign w:val="bottom"/>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9.62%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12</w:t>
            </w:r>
          </w:p>
        </w:tc>
        <w:tc>
          <w:tcPr>
            <w:tcW w:w="7360" w:type="dxa"/>
            <w:vAlign w:val="bottom"/>
          </w:tcPr>
          <w:p>
            <w:pPr>
              <w:ind w:left="38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CO</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729"/>
        </w:trPr>
        <w:tc>
          <w:tcPr>
            <w:tcW w:w="13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1720" w:hanging="899"/>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Jonathan I.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ind w:left="1720" w:hanging="899"/>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20" w:hanging="297"/>
        <w:spacing w:after="0" w:line="207" w:lineRule="exact"/>
        <w:tabs>
          <w:tab w:leader="none" w:pos="20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4" w:lineRule="exact"/>
        <w:rPr>
          <w:sz w:val="20"/>
          <w:szCs w:val="20"/>
          <w:color w:val="auto"/>
        </w:rPr>
      </w:pPr>
    </w:p>
    <w:p>
      <w:pPr>
        <w:ind w:left="1720" w:hanging="899"/>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1720" w:right="6020" w:hanging="899"/>
        <w:spacing w:after="0" w:line="277"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8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80" w:type="dxa"/>
            <w:vAlign w:val="bottom"/>
            <w:vMerge w:val="continue"/>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8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72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72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PERSON WITH:</w:t>
            </w:r>
          </w:p>
        </w:tc>
        <w:tc>
          <w:tcPr>
            <w:tcW w:w="880" w:type="dxa"/>
            <w:vAlign w:val="bottom"/>
            <w:tcBorders>
              <w:bottom w:val="single" w:sz="8" w:color="auto"/>
            </w:tcBorders>
          </w:tcPr>
          <w:p>
            <w:pPr>
              <w:spacing w:after="0"/>
              <w:rPr>
                <w:sz w:val="21"/>
                <w:szCs w:val="21"/>
                <w:color w:val="auto"/>
              </w:rPr>
            </w:pPr>
          </w:p>
        </w:tc>
        <w:tc>
          <w:tcPr>
            <w:tcW w:w="8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9</w:t>
            </w:r>
          </w:p>
        </w:tc>
        <w:tc>
          <w:tcPr>
            <w:tcW w:w="7360" w:type="dxa"/>
            <w:vAlign w:val="bottom"/>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4,614,602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3"/>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10</w:t>
            </w:r>
          </w:p>
        </w:tc>
        <w:tc>
          <w:tcPr>
            <w:tcW w:w="7360" w:type="dxa"/>
            <w:vAlign w:val="bottom"/>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2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134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11</w:t>
            </w:r>
          </w:p>
        </w:tc>
        <w:tc>
          <w:tcPr>
            <w:tcW w:w="7360" w:type="dxa"/>
            <w:vAlign w:val="bottom"/>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9.62%</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9"/>
        </w:trPr>
        <w:tc>
          <w:tcPr>
            <w:tcW w:w="1340" w:type="dxa"/>
            <w:vAlign w:val="bottom"/>
          </w:tcPr>
          <w:p>
            <w:pPr>
              <w:jc w:val="center"/>
              <w:ind w:left="310"/>
              <w:spacing w:after="0"/>
              <w:rPr>
                <w:sz w:val="20"/>
                <w:szCs w:val="20"/>
                <w:color w:val="auto"/>
              </w:rPr>
            </w:pPr>
            <w:r>
              <w:rPr>
                <w:rFonts w:ascii="Arial" w:cs="Arial" w:eastAsia="Arial" w:hAnsi="Arial"/>
                <w:sz w:val="18"/>
                <w:szCs w:val="18"/>
                <w:color w:val="auto"/>
                <w:w w:val="89"/>
              </w:rPr>
              <w:t>12</w:t>
            </w:r>
          </w:p>
        </w:tc>
        <w:tc>
          <w:tcPr>
            <w:tcW w:w="7360" w:type="dxa"/>
            <w:vAlign w:val="bottom"/>
          </w:tcPr>
          <w:p>
            <w:pPr>
              <w:ind w:left="38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7360" w:type="dxa"/>
            <w:vAlign w:val="bottom"/>
          </w:tcPr>
          <w:p>
            <w:pPr>
              <w:ind w:left="380"/>
              <w:spacing w:after="0"/>
              <w:rPr>
                <w:sz w:val="20"/>
                <w:szCs w:val="20"/>
                <w:color w:val="auto"/>
              </w:rPr>
            </w:pPr>
            <w:r>
              <w:rPr>
                <w:rFonts w:ascii="Arial" w:cs="Arial" w:eastAsia="Arial" w:hAnsi="Arial"/>
                <w:sz w:val="18"/>
                <w:szCs w:val="18"/>
                <w:color w:val="auto"/>
              </w:rPr>
              <w:t>IN</w:t>
            </w:r>
          </w:p>
        </w:tc>
        <w:tc>
          <w:tcPr>
            <w:tcW w:w="2720" w:type="dxa"/>
            <w:vAlign w:val="bottom"/>
          </w:tcPr>
          <w:p>
            <w:pPr>
              <w:spacing w:after="0"/>
              <w:rPr>
                <w:sz w:val="20"/>
                <w:szCs w:val="20"/>
                <w:color w:val="auto"/>
              </w:rPr>
            </w:pPr>
          </w:p>
        </w:tc>
      </w:tr>
      <w:tr>
        <w:trPr>
          <w:trHeight w:val="34"/>
        </w:trPr>
        <w:tc>
          <w:tcPr>
            <w:tcW w:w="13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945"/>
        </w:trPr>
        <w:tc>
          <w:tcPr>
            <w:tcW w:w="13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line="386" w:lineRule="auto"/>
        <w:rPr>
          <w:sz w:val="20"/>
          <w:szCs w:val="20"/>
          <w:color w:val="auto"/>
        </w:rPr>
      </w:pPr>
      <w:r>
        <w:rPr>
          <w:rFonts w:ascii="Arial" w:cs="Arial" w:eastAsia="Arial" w:hAnsi="Arial"/>
          <w:sz w:val="18"/>
          <w:szCs w:val="18"/>
          <w:b w:val="1"/>
          <w:bCs w:val="1"/>
          <w:color w:val="auto"/>
        </w:rPr>
        <w:t>CUSIP NO. 92840H202 Page 8 of 13 Item 1.</w:t>
      </w:r>
    </w:p>
    <w:p>
      <w:pPr>
        <w:spacing w:after="0" w:line="200" w:lineRule="exact"/>
        <w:rPr>
          <w:sz w:val="20"/>
          <w:szCs w:val="20"/>
          <w:color w:val="auto"/>
        </w:rPr>
      </w:pPr>
    </w:p>
    <w:p>
      <w:pPr>
        <w:spacing w:after="0" w:line="331" w:lineRule="exact"/>
        <w:rPr>
          <w:sz w:val="20"/>
          <w:szCs w:val="20"/>
          <w:color w:val="auto"/>
        </w:rPr>
      </w:pPr>
    </w:p>
    <w:p>
      <w:pPr>
        <w:ind w:left="1040" w:hanging="451"/>
        <w:spacing w:after="0"/>
        <w:tabs>
          <w:tab w:leader="none" w:pos="10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VistaGen Therapeutics, Inc.,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040" w:hanging="451"/>
        <w:spacing w:after="0"/>
        <w:tabs>
          <w:tab w:leader="none" w:pos="10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343 Allerton Avenue</w:t>
      </w:r>
    </w:p>
    <w:p>
      <w:pPr>
        <w:spacing w:after="0" w:line="23"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South San Francisco, California 94090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040" w:hanging="451"/>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ind w:left="1040" w:right="698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Lincoln Park Capital Fund, LLC (“</w:t>
      </w:r>
      <w:r>
        <w:rPr>
          <w:rFonts w:ascii="Arial" w:cs="Arial" w:eastAsia="Arial" w:hAnsi="Arial"/>
          <w:sz w:val="18"/>
          <w:szCs w:val="18"/>
          <w:u w:val="single" w:color="auto"/>
          <w:color w:val="auto"/>
        </w:rPr>
        <w:t>LPC Fund</w:t>
      </w:r>
      <w:r>
        <w:rPr>
          <w:rFonts w:ascii="Arial" w:cs="Arial" w:eastAsia="Arial" w:hAnsi="Arial"/>
          <w:sz w:val="18"/>
          <w:szCs w:val="18"/>
          <w:color w:val="auto"/>
        </w:rPr>
        <w:t>”) Lincoln Park Capital, LLC (“</w:t>
      </w:r>
      <w:r>
        <w:rPr>
          <w:rFonts w:ascii="Arial" w:cs="Arial" w:eastAsia="Arial" w:hAnsi="Arial"/>
          <w:sz w:val="18"/>
          <w:szCs w:val="18"/>
          <w:u w:val="single" w:color="auto"/>
          <w:color w:val="auto"/>
        </w:rPr>
        <w:t>LPC</w:t>
      </w:r>
      <w:r>
        <w:rPr>
          <w:rFonts w:ascii="Arial" w:cs="Arial" w:eastAsia="Arial" w:hAnsi="Arial"/>
          <w:sz w:val="18"/>
          <w:szCs w:val="18"/>
          <w:color w:val="auto"/>
        </w:rPr>
        <w:t>”) Rockledge Capital Corporation (“</w:t>
      </w:r>
      <w:r>
        <w:rPr>
          <w:rFonts w:ascii="Arial" w:cs="Arial" w:eastAsia="Arial" w:hAnsi="Arial"/>
          <w:sz w:val="18"/>
          <w:szCs w:val="18"/>
          <w:u w:val="single" w:color="auto"/>
          <w:color w:val="auto"/>
        </w:rPr>
        <w:t>RCC</w:t>
      </w:r>
      <w:r>
        <w:rPr>
          <w:rFonts w:ascii="Arial" w:cs="Arial" w:eastAsia="Arial" w:hAnsi="Arial"/>
          <w:sz w:val="18"/>
          <w:szCs w:val="18"/>
          <w:color w:val="auto"/>
        </w:rPr>
        <w:t>”) Joshua B. Scheinfeld (“</w:t>
      </w:r>
      <w:r>
        <w:rPr>
          <w:rFonts w:ascii="Arial" w:cs="Arial" w:eastAsia="Arial" w:hAnsi="Arial"/>
          <w:sz w:val="18"/>
          <w:szCs w:val="18"/>
          <w:u w:val="single" w:color="auto"/>
          <w:color w:val="auto"/>
        </w:rPr>
        <w:t>Mr. Scheinfeld</w:t>
      </w:r>
      <w:r>
        <w:rPr>
          <w:rFonts w:ascii="Arial" w:cs="Arial" w:eastAsia="Arial" w:hAnsi="Arial"/>
          <w:sz w:val="18"/>
          <w:szCs w:val="18"/>
          <w:color w:val="auto"/>
        </w:rPr>
        <w:t>”)</w:t>
      </w: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Alex Noah Investors, Inc. (“</w:t>
      </w:r>
      <w:r>
        <w:rPr>
          <w:rFonts w:ascii="Arial" w:cs="Arial" w:eastAsia="Arial" w:hAnsi="Arial"/>
          <w:sz w:val="18"/>
          <w:szCs w:val="18"/>
          <w:u w:val="single" w:color="auto"/>
          <w:color w:val="auto"/>
        </w:rPr>
        <w:t>Alex Noah</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7"/>
          <w:szCs w:val="17"/>
          <w:color w:val="auto"/>
        </w:rPr>
        <w:t>Jonathan I. Cope (“</w:t>
      </w:r>
      <w:r>
        <w:rPr>
          <w:rFonts w:ascii="Arial" w:cs="Arial" w:eastAsia="Arial" w:hAnsi="Arial"/>
          <w:sz w:val="17"/>
          <w:szCs w:val="17"/>
          <w:u w:val="single" w:color="auto"/>
          <w:color w:val="auto"/>
        </w:rPr>
        <w:t>Mr. Cope</w:t>
      </w:r>
      <w:r>
        <w:rPr>
          <w:rFonts w:ascii="Arial" w:cs="Arial" w:eastAsia="Arial" w:hAnsi="Arial"/>
          <w:sz w:val="17"/>
          <w:szCs w:val="17"/>
          <w:color w:val="auto"/>
        </w:rPr>
        <w:t>” and, collectively with LPC Fund, LPC, RCC, Mr. Scheinfeld and Alex Noah,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w:t>
      </w:r>
    </w:p>
    <w:p>
      <w:pPr>
        <w:spacing w:after="0" w:line="232" w:lineRule="exact"/>
        <w:rPr>
          <w:rFonts w:ascii="Arial" w:cs="Arial" w:eastAsia="Arial" w:hAnsi="Arial"/>
          <w:sz w:val="18"/>
          <w:szCs w:val="18"/>
          <w:b w:val="1"/>
          <w:bCs w:val="1"/>
          <w:color w:val="auto"/>
        </w:rPr>
      </w:pPr>
    </w:p>
    <w:p>
      <w:pPr>
        <w:ind w:left="1040" w:hanging="451"/>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rFonts w:ascii="Arial" w:cs="Arial" w:eastAsia="Arial" w:hAnsi="Arial"/>
          <w:sz w:val="18"/>
          <w:szCs w:val="18"/>
          <w:b w:val="1"/>
          <w:bCs w:val="1"/>
          <w:color w:val="auto"/>
        </w:rPr>
      </w:pPr>
    </w:p>
    <w:p>
      <w:pPr>
        <w:ind w:left="1040" w:right="8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440 North Wells, Suite 410 Chicago, Illinois 60654</w:t>
      </w:r>
    </w:p>
    <w:p>
      <w:pPr>
        <w:spacing w:after="0" w:line="119" w:lineRule="exact"/>
        <w:rPr>
          <w:rFonts w:ascii="Arial" w:cs="Arial" w:eastAsia="Arial" w:hAnsi="Arial"/>
          <w:sz w:val="18"/>
          <w:szCs w:val="18"/>
          <w:b w:val="1"/>
          <w:bCs w:val="1"/>
          <w:color w:val="auto"/>
        </w:rPr>
      </w:pPr>
    </w:p>
    <w:p>
      <w:pPr>
        <w:ind w:left="1040" w:hanging="451"/>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040" w:right="686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LPC Fund is an Illinois limited liability company LPC is an Illinois limited liability company RCC is a Texas corporation</w:t>
      </w: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Mr. Scheinfeld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9 of 13</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Alex Noah is an Illinois corporation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Mr. Cope is a United States citizen</w:t>
      </w:r>
    </w:p>
    <w:p>
      <w:pPr>
        <w:spacing w:after="0" w:line="221" w:lineRule="exact"/>
        <w:rPr>
          <w:sz w:val="20"/>
          <w:szCs w:val="20"/>
          <w:color w:val="auto"/>
        </w:rPr>
      </w:pPr>
    </w:p>
    <w:p>
      <w:pPr>
        <w:ind w:left="1040" w:hanging="451"/>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Common Stock, $0.001 par value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040" w:right="9100" w:hanging="451"/>
        <w:spacing w:after="0" w:line="530" w:lineRule="auto"/>
        <w:tabs>
          <w:tab w:leader="none" w:pos="10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92840H202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p>
      <w:pPr>
        <w:spacing w:after="0" w:line="193" w:lineRule="exact"/>
        <w:rPr>
          <w:sz w:val="20"/>
          <w:szCs w:val="20"/>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57"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 13d-1(b)(1)(ii)(F);</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360" w:right="320" w:hanging="771"/>
        <w:spacing w:after="0" w:line="215" w:lineRule="exact"/>
        <w:tabs>
          <w:tab w:leader="none" w:pos="1036"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0" w:lineRule="exact"/>
        <w:rPr>
          <w:rFonts w:ascii="Arial" w:cs="Arial" w:eastAsia="Arial" w:hAnsi="Arial"/>
          <w:sz w:val="18"/>
          <w:szCs w:val="18"/>
          <w:color w:val="auto"/>
        </w:rPr>
      </w:pPr>
    </w:p>
    <w:p>
      <w:pPr>
        <w:ind w:left="1040" w:hanging="451"/>
        <w:spacing w:after="0" w:line="207" w:lineRule="exact"/>
        <w:tabs>
          <w:tab w:leader="none" w:pos="104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880"/>
              <w:spacing w:after="0"/>
              <w:rPr>
                <w:sz w:val="20"/>
                <w:szCs w:val="20"/>
                <w:color w:val="auto"/>
              </w:rPr>
            </w:pPr>
            <w:r>
              <w:rPr>
                <w:rFonts w:ascii="Arial" w:cs="Arial" w:eastAsia="Arial" w:hAnsi="Arial"/>
                <w:sz w:val="18"/>
                <w:szCs w:val="18"/>
                <w:b w:val="1"/>
                <w:bCs w:val="1"/>
                <w:color w:val="auto"/>
              </w:rPr>
              <w:t>SCHEDULE 13G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CUSIP NO. 92840H202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w w:val="86"/>
              </w:rPr>
              <w:t>Page 10 of 13</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Ownership.</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Shared</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Sole power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power to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Sole power to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Shared power</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left="50"/>
              <w:spacing w:after="0" w:line="181" w:lineRule="exact"/>
              <w:rPr>
                <w:sz w:val="20"/>
                <w:szCs w:val="20"/>
                <w:color w:val="auto"/>
              </w:rPr>
            </w:pPr>
            <w:r>
              <w:rPr>
                <w:rFonts w:ascii="Arial" w:cs="Arial" w:eastAsia="Arial" w:hAnsi="Arial"/>
                <w:sz w:val="18"/>
                <w:szCs w:val="18"/>
                <w:b w:val="1"/>
                <w:bCs w:val="1"/>
                <w:color w:val="auto"/>
                <w:w w:val="87"/>
              </w:rPr>
              <w:t>to vote or</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7"/>
              </w:rPr>
              <w:t>vote or to</w:t>
            </w:r>
          </w:p>
        </w:tc>
        <w:tc>
          <w:tcPr>
            <w:tcW w:w="144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6"/>
              </w:rPr>
              <w:t>dispose or to</w:t>
            </w:r>
          </w:p>
        </w:tc>
        <w:tc>
          <w:tcPr>
            <w:tcW w:w="13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to dispose or to</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Percent</w:t>
            </w: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direct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direct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 the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direct the</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30"/>
                <w:szCs w:val="30"/>
                <w:b w:val="1"/>
                <w:bCs w:val="1"/>
                <w:color w:val="auto"/>
                <w:w w:val="86"/>
                <w:vertAlign w:val="superscript"/>
              </w:rPr>
              <w:t>1</w:t>
            </w:r>
            <w:r>
              <w:rPr>
                <w:rFonts w:ascii="Arial" w:cs="Arial" w:eastAsia="Arial" w:hAnsi="Arial"/>
                <w:sz w:val="18"/>
                <w:szCs w:val="18"/>
                <w:b w:val="1"/>
                <w:bCs w:val="1"/>
                <w:color w:val="auto"/>
                <w:w w:val="86"/>
              </w:rPr>
              <w:t>:</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of class</w:t>
            </w:r>
            <w:r>
              <w:rPr>
                <w:rFonts w:ascii="Arial" w:cs="Arial" w:eastAsia="Arial" w:hAnsi="Arial"/>
                <w:sz w:val="30"/>
                <w:szCs w:val="30"/>
                <w:b w:val="1"/>
                <w:bCs w:val="1"/>
                <w:color w:val="auto"/>
                <w:w w:val="83"/>
                <w:vertAlign w:val="superscript"/>
              </w:rPr>
              <w:t>2</w:t>
            </w:r>
            <w:r>
              <w:rPr>
                <w:rFonts w:ascii="Arial" w:cs="Arial" w:eastAsia="Arial" w:hAnsi="Arial"/>
                <w:sz w:val="18"/>
                <w:szCs w:val="18"/>
                <w:b w:val="1"/>
                <w:bCs w:val="1"/>
                <w:color w:val="auto"/>
                <w:w w:val="83"/>
              </w:rPr>
              <w:t>:</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the vote:</w:t>
            </w:r>
          </w:p>
        </w:tc>
        <w:tc>
          <w:tcPr>
            <w:tcW w:w="14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the vote:</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disposition of:</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disposition of:</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Lincoln Park Capital Fund, LLC</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4,614,602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Lincoln Park Capital, LLC</w:t>
            </w:r>
          </w:p>
        </w:tc>
        <w:tc>
          <w:tcPr>
            <w:tcW w:w="1280" w:type="dxa"/>
            <w:vAlign w:val="bottom"/>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4,614,602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Rockledge Capital Corporation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4,614,602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Joshua B. Scheinfeld</w:t>
            </w:r>
          </w:p>
        </w:tc>
        <w:tc>
          <w:tcPr>
            <w:tcW w:w="1280" w:type="dxa"/>
            <w:vAlign w:val="bottom"/>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4,614,602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 Noah Investors, Inc.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4,614,602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90"/>
              </w:rPr>
              <w:t>Jonathan I. Cope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4,614,602</w:t>
            </w: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4,614,602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4,614,602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line="28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(i) 2,814,602 shares of Common Stock purchased by LPC Fund directly from the Issuer in a registered public offering of Common Stock on January 24, 2020 (the “January 2020 Public Offering”), (ii) 800,000 shares of Common Stock acquired by LPC Fund on December 19, 2019, at a price of $0.50 per share, upon exercise of Common Stock purchase warrants that were purchased by LPC Fund directly from the Issuer in a private placement transaction completed on August 10, 2018 (the “August 2018 Warrants”), and (iii) 1,000,000 shares of Common Stock issuable upon exercise of Common Stock purchase warrants purchased by LPC Fund directly from the Issuer in a private placement transaction completed on December 31, 2017 (the “December 2017 Warrants”). The December 2017 Warrants are currently exercisable at a price of $1.50 per share (subject to adjustment as provided in the warrants), subject to a 9.99% beneficial ownership cap that prohibits the issuance of shares of Common Stock upon exercise of the December 2017 Warrants to the extent such issuance would cause the holder’s beneficial ownership of Common Stock (as calculated pursuant to Section 13(d) of the Act and Rule 13d-3 promulgated thereunder) to exceed 9.99% of the outstanding Common Stock, and expire on December 13, 2022. The amount beneficially owned excludes 2,814,602 shares of Common Stock underlying Common Stock purchase warrants (the “January 2020 Warrants”) that were purchased by LPC Fund from the Issuer on January 24, 2020 in a private placement transaction completed concurrently with the January 2020 Public Offering, because the January 2020 Warrants cannot be exercised prior to July 24, 2020 (the “Initial Exercise Date”), which is more than 60 days after the date this statement was filed with the Securities and Exchange Commission (the “SEC”). The January 2020 Warrants may be exercised for a period of five years following the Initial Exercise Date at an exercise price of $0.73 per share (subject to adjustment as provided in the warrants), subject to a 9.99% beneficial ownership cap. The December 2017 Warrants and the January 2020 Warrants each include a customary “cashless” exercise provision, which may be used to acquire underlying shares of Common Stock if at the time of exercise an effective registration statement registering the resale of such shares under the Securities Act of 1933, as amended (the “Securities Act”), is not available to the warrant holder.</w:t>
      </w:r>
    </w:p>
    <w:p>
      <w:pPr>
        <w:spacing w:after="0" w:line="173" w:lineRule="exact"/>
        <w:rPr>
          <w:sz w:val="20"/>
          <w:szCs w:val="20"/>
          <w:color w:val="auto"/>
        </w:rPr>
      </w:pPr>
    </w:p>
    <w:p>
      <w:pPr>
        <w:ind w:left="660" w:right="140" w:hanging="328"/>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information contained in the Issuer’s final prospectus supplement dated January 24, 2020 to the Issuer’s prospectus dated September 30, 2019, filed with the SEC on January 24, 2020, there were a total of 47,963,042 shares of Common Stock outstanding as of January 24, 2020, which number of outstanding shares includes (i) the 2,814,602 shares of Common Stock that were purchased by LPC Fund directly from the Issuer on January 24, 2020 in the January 2020 Public Offering and (ii) the 800,000 shares of Common Stock acquired by LPC Fund on December 19, 2019 upon exercise of the August 2018 Warrants, and assumes all 1,000,000 shares of Common Stock currently underlying the December 2017 Warrants were outstanding as of January 24, 2020, but does not assume the 2,814,602 shares of Common Stock currently underlying the January 2020 Warrants are outstanding on such date, because the January 2020 Warrants cannot be exercised prior to the Initial Exercise Date of July 24, 2020, which is more than 60 days after the date this statement was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11 of 13</w:t>
      </w:r>
    </w:p>
    <w:p>
      <w:pPr>
        <w:spacing w:after="0" w:line="229"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As of January 29, 2020, LPC Fund beneficially owned, directly, the following securities of the Issuer: (i) 4,614,602 shares of Common Stock, consisting of (A) 2,814,602 shares of Common Stock purchased by LPC Fund directly from the Issuer in the January 2020 Public Offering, (B) 800,000 shares of Common Stock acquired by LPC Fund on December 19, 2019, at a price of $0.50 per share, upon exercise of the August 2018 Warrants, and (C) 1,000,000 shares of Common Stock currently underlying the December 2017 Warrants, which warrants were outstanding as of January 24, 2020; (ii) December 2017 Warrants to purchase up to 1,000,000 shares of Common Stock, which are currently exercisable at a price of $1.50 per share (subject to adjustment as provided in the warrants), subject to a 9.99% beneficial ownership cap, which December 2017 Warrants expire on December 13, 2022; and (iii) January 2020 Warrants to purchase up to 2,814,602 shares of Common Stock at a price of $0.73 per share (subject to adjustment as provided in the warrants), subject to a 9.99% beneficial ownership cap, which January 2020 Warrants are not exercisable until the Initial Exercise Date of July 24, 2020. Pursuant to Rule 13d-3(d)(1)(i) under the Act, as of January 29, 2020, LPC Fund does not beneficially own the 2,814,602 shares of Common Stock underlying the January 2020 Warrants purchased by LPC Fund from the Issuer on January 24, 2020 in the private placement transaction completed concurrently with the January 2020 Public Offering, because the January 2020 Warrants cannot be exercised prior to the Initial Exercise Date of July 24, 2020 and, therefore, none of the shares of Common Stock underlying the January 2020 Warrants may be acquired by LPC Fund within 60 days of the date this statement was filed with the SEC. After the Initial Exercise Date, the January 2020 Warrants may be exercised for a period of five years thereafter, at an exercise price of $0.73 per share (subject to adjustment as provided in the warrants), subject to a 9.99% beneficial ownership cap that prohibits the issuance of shares of Common Stock upon exercise of the warrants to the extent such issuance would cause the warrant holder’s beneficial ownership of Common Stock (as calculated pursuant to Section 13(d) of the Act and Rule 13d-3 promulgated thereunder) to exceed 9.99% of the outstanding Common Stock. The December 2017 Warrants and the January 2020 Warrants each include a customary “cashless” exercise provision, which may be used to acquire underlying shares of Common Stock if at the time of exercise an effective registration statement registering the resale of such shares under the Securities Act is not available to the warrant holder.</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LPC is the Managing Member of LPC Fund. RCC and Alex Noah are the Managing Members of LPC. Mr. Scheinfeld is the president and sole shareholder of RCC, as well as a principal of LPC. Mr. Cope is the president and sole shareholder of Alex Noah, as well as a principal of LPC. As a result of the foregoing, Mr. Scheinfeld and Mr. Cope have shared voting and shared investment power over the shares of Common Stock of the Issuer held directly by LPC Fund.</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Section 13(d) of the Act and the rules thereunder, each of LPC, RCC, Mr. Scheinfeld, Alex Noah, and Mr. Cope may be deemed to be a beneficial owner of the shares of Common Stock of the Issuer beneficially owned directly by LPC Fund.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Rule 13d-4 of the Act, each of LPC, RCC, Mr. Scheinfeld, Alex Noah, and Mr. Cope disclaims beneficial ownership of the shares of Common Stock of the Issuer held directly by LPC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3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12 of 13</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6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Identification and Classification of Subsidiary Which Acquired the Security Being Reported on by the Parent Holding Company or Control Person.</w:t>
      </w:r>
    </w:p>
    <w:p>
      <w:pPr>
        <w:spacing w:after="0" w:line="166"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211" w:lineRule="exact"/>
        <w:rPr>
          <w:sz w:val="20"/>
          <w:szCs w:val="20"/>
          <w:color w:val="auto"/>
        </w:rPr>
      </w:pPr>
    </w:p>
    <w:p>
      <w:pPr>
        <w:sectPr>
          <w:pgSz w:w="11900" w:h="16838" w:orient="portrait"/>
          <w:cols w:equalWidth="0" w:num="2">
            <w:col w:w="640" w:space="660"/>
            <w:col w:w="10120"/>
          </w:cols>
          <w:pgMar w:left="240" w:top="904" w:right="239" w:bottom="1440" w:gutter="0" w:footer="0" w:header="0"/>
          <w:type w:val="continuous"/>
        </w:sectPr>
      </w:pPr>
    </w:p>
    <w:p>
      <w:pPr>
        <w:spacing w:after="0" w:line="4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tabs>
          <w:tab w:leader="none" w:pos="103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b w:val="1"/>
          <w:bCs w:val="1"/>
          <w:color w:val="auto"/>
        </w:rPr>
        <w:t>Page 13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LINCOLN PARK CAPITAL FUND,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LINCOLN PARK CAPITAL, LLC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LINCOLN PARK CAPITAL,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BY:  ROCKLEDGE CAPITAL CORPORATION</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ROCKLEDGE CAPITAL CORPORATION</w:t>
            </w: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B. Scheinfeld</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LINCOLN PARK CAPITAL FUND,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LINCOLN PARK CAPITAL, LLC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LINCOLN PARK CAPITAL,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BY:  ALEX NOAH INVESTORS, INC.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ALEX NOAH INVESTORS, INC.</w:t>
            </w: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Jonathan I. Cope</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ROCKLEDGE CAPITAL CORPORATION</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ALEX NOAH INVESTORS, INC.</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JOSHUA B. SCHEINFELD</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JONATHAN I. COPE</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675"/>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LIST OF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Joint Filing Agreement</w:t>
            </w:r>
          </w:p>
        </w:tc>
      </w:tr>
      <w:tr>
        <w:trPr>
          <w:trHeight w:val="675"/>
        </w:trPr>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such Schedule 13G with respect to the Common Shares of the Issuer, beneficially owned by each of them. This Joint Filing Agreement shall be included as an exhibit to such Schedule 13G.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IN WITNESS WHEREOF, the undersigned hereby execute this Agreement as of January 29,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LINCOLN PARK CAPITAL FUND,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LINCOLN PARK CAPITAL, LLC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LINCOLN PARK CAPITAL,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BY:  ROCKLEDGE CAPITAL CORPORATION</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ROCKLEDGE CAPITAL CORPORATION</w:t>
            </w: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B. Scheinfeld</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LINCOLN PARK CAPITAL FUND,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LINCOLN PARK CAPITAL, LLC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LINCOLN PARK CAPITAL, LLC</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BY:  ALEX NOAH INVESTORS, INC.</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BY:  ALEX NOAH INVESTORS, INC.</w:t>
            </w: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Jonathan I. Cope</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ROCKLEDGE CAPITAL CORPORATION</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ALEX NOAH INVESTORS, INC.</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JOSHUA B. SCHEINFELD</w:t>
            </w: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JONATHAN I. COPE</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OSHUA</w:t>
            </w:r>
            <w:r>
              <w:rPr>
                <w:rFonts w:ascii="Arial" w:cs="Arial" w:eastAsia="Arial" w:hAnsi="Arial"/>
                <w:sz w:val="18"/>
                <w:szCs w:val="18"/>
                <w:color w:val="auto"/>
              </w:rPr>
              <w:t xml:space="preserve"> B. S</w:t>
            </w:r>
            <w:r>
              <w:rPr>
                <w:rFonts w:ascii="Arial" w:cs="Arial" w:eastAsia="Arial" w:hAnsi="Arial"/>
                <w:sz w:val="12"/>
                <w:szCs w:val="12"/>
                <w:color w:val="auto"/>
              </w:rPr>
              <w:t>CHEINFELD</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ONATHAN</w:t>
            </w:r>
            <w:r>
              <w:rPr>
                <w:rFonts w:ascii="Arial" w:cs="Arial" w:eastAsia="Arial" w:hAnsi="Arial"/>
                <w:sz w:val="18"/>
                <w:szCs w:val="18"/>
                <w:color w:val="auto"/>
              </w:rPr>
              <w:t xml:space="preserve"> I. C</w:t>
            </w:r>
            <w:r>
              <w:rPr>
                <w:rFonts w:ascii="Arial" w:cs="Arial" w:eastAsia="Arial" w:hAnsi="Arial"/>
                <w:sz w:val="12"/>
                <w:szCs w:val="12"/>
                <w:color w:val="auto"/>
              </w:rPr>
              <w:t>OPE</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Joshua B. Scheinfeld</w:t>
            </w:r>
          </w:p>
        </w:tc>
        <w:tc>
          <w:tcPr>
            <w:tcW w:w="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I. Cope</w:t>
            </w:r>
          </w:p>
        </w:tc>
      </w:tr>
      <w:tr>
        <w:trPr>
          <w:trHeight w:val="230"/>
        </w:trPr>
        <w:tc>
          <w:tcPr>
            <w:tcW w:w="36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675"/>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lvl w:ilvl="1">
      <w:lvlJc w:val="left"/>
      <w:lvlText w:val="(%2)"/>
      <w:numFmt w:val="lowerLetter"/>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lvl w:ilvl="1">
      <w:lvlJc w:val="left"/>
      <w:lvlText w:val="(%2)"/>
      <w:numFmt w:val="lowerLetter"/>
      <w:start w:val="1"/>
    </w:lvl>
  </w:abstractNum>
  <w:abstractNum w:abstractNumId="8">
    <w:nsid w:val="333AB105"/>
    <w:multiLevelType w:val="hybridMultilevel"/>
    <w:lvl w:ilvl="0">
      <w:lvlJc w:val="left"/>
      <w:lvlText w:val="3"/>
      <w:numFmt w:val="bullet"/>
      <w:start w:val="1"/>
    </w:lvl>
  </w:abstractNum>
  <w:abstractNum w:abstractNumId="9">
    <w:nsid w:val="721DA317"/>
    <w:multiLevelType w:val="hybridMultilevel"/>
    <w:lvl w:ilvl="0">
      <w:lvlJc w:val="left"/>
      <w:lvlText w:val="4"/>
      <w:numFmt w:val="bullet"/>
      <w:start w:val="1"/>
    </w:lvl>
  </w:abstractNum>
  <w:abstractNum w:abstractNumId="10">
    <w:nsid w:val="2443A858"/>
    <w:multiLevelType w:val="hybridMultilevel"/>
    <w:lvl w:ilvl="0">
      <w:lvlJc w:val="left"/>
      <w:lvlText w:val="1"/>
      <w:numFmt w:val="bullet"/>
      <w:start w:val="1"/>
    </w:lvl>
  </w:abstractNum>
  <w:abstractNum w:abstractNumId="11">
    <w:nsid w:val="2D1D5AE9"/>
    <w:multiLevelType w:val="hybridMultilevel"/>
    <w:lvl w:ilvl="0">
      <w:lvlJc w:val="left"/>
      <w:lvlText w:val="2"/>
      <w:numFmt w:val="bullet"/>
      <w:start w:val="1"/>
    </w:lvl>
    <w:lvl w:ilvl="1">
      <w:lvlJc w:val="left"/>
      <w:lvlText w:val="(%2)"/>
      <w:numFmt w:val="lowerLetter"/>
      <w:start w:val="1"/>
    </w:lvl>
  </w:abstractNum>
  <w:abstractNum w:abstractNumId="12">
    <w:nsid w:val="6763845E"/>
    <w:multiLevelType w:val="hybridMultilevel"/>
    <w:lvl w:ilvl="0">
      <w:lvlJc w:val="left"/>
      <w:lvlText w:val="3"/>
      <w:numFmt w:val="bullet"/>
      <w:start w:val="1"/>
    </w:lvl>
  </w:abstractNum>
  <w:abstractNum w:abstractNumId="13">
    <w:nsid w:val="75A2A8D4"/>
    <w:multiLevelType w:val="hybridMultilevel"/>
    <w:lvl w:ilvl="0">
      <w:lvlJc w:val="left"/>
      <w:lvlText w:val="4"/>
      <w:numFmt w:val="bullet"/>
      <w:start w:val="1"/>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2"/>
      <w:numFmt w:val="bullet"/>
      <w:start w:val="1"/>
    </w:lvl>
    <w:lvl w:ilvl="1">
      <w:lvlJc w:val="left"/>
      <w:lvlText w:val="(%2)"/>
      <w:numFmt w:val="lowerLetter"/>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9"/>
      <w:numFmt w:val="bullet"/>
      <w:start w:val="1"/>
    </w:lvl>
  </w:abstractNum>
  <w:abstractNum w:abstractNumId="19">
    <w:nsid w:val="54E49EB4"/>
    <w:multiLevelType w:val="hybridMultilevel"/>
    <w:lvl w:ilvl="0">
      <w:lvlJc w:val="left"/>
      <w:lvlText w:val="%1"/>
      <w:numFmt w:val="decimal"/>
      <w:start w:val="1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lvl w:ilvl="1">
      <w:lvlJc w:val="left"/>
      <w:lvlText w:val="(%2)"/>
      <w:numFmt w:val="lowerLetter"/>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1"/>
      <w:numFmt w:val="bullet"/>
      <w:start w:val="1"/>
    </w:lvl>
  </w:abstractNum>
  <w:abstractNum w:abstractNumId="25">
    <w:nsid w:val="8138641"/>
    <w:multiLevelType w:val="hybridMultilevel"/>
    <w:lvl w:ilvl="0">
      <w:lvlJc w:val="left"/>
      <w:lvlText w:val="2"/>
      <w:numFmt w:val="bullet"/>
      <w:start w:val="1"/>
    </w:lvl>
    <w:lvl w:ilvl="1">
      <w:lvlJc w:val="left"/>
      <w:lvlText w:val="(%2)"/>
      <w:numFmt w:val="lowerLetter"/>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4"/>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4"/>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bullet"/>
      <w:start w:val="1"/>
    </w:lvl>
  </w:abstractNum>
  <w:abstractNum w:abstractNumId="33">
    <w:nsid w:val="614FD4A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2020-01-29T05:14:00Z</dcterms:created>
  <dcterms:modified xsi:type="dcterms:W3CDTF">2020-01-29T05:14:00Z</dcterms:modified>
</cp:coreProperties>
</file>