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3131185</wp:posOffset>
            </wp:positionH>
            <wp:positionV relativeFrom="page">
              <wp:posOffset>448945</wp:posOffset>
            </wp:positionV>
            <wp:extent cx="1294765" cy="831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3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23,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Mr. Jeff Gabor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RE:VistaGen Therapeutics,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(File No. 333-254299)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Gabor,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of the General Rules and Regulations under the Securities Act of 1933, as amended, the undersigned, VistaGen Therapeutics, Inc., a Nevada corporation (the “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6"/>
          <w:szCs w:val="16"/>
          <w:color w:val="auto"/>
        </w:rPr>
        <w:t>”), hereby requests acceleration of the effective date of the Registration Statement referred to above so that it may become effective at 10:00 a.m. Eastern Standard Time on Friday, March 26, 2021, or as soon as practicable thereafter.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Upon grant of our request to accelerate effectiveness, we would appreciate your communicating with our counsel, Disclosure Law Group, a Professional Corporation, by calling Ms. Jessica R. Sudweeks at (619) 272-7063, to confirm the exact time at which the Registration Statement was declared effective.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VISTAGEN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Shawn K. Singh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Shawn K. Singh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660" w:right="9340" w:hanging="652"/>
        <w:spacing w:after="0" w:line="304" w:lineRule="auto"/>
        <w:tabs>
          <w:tab w:leader="none" w:pos="655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Jessica Sudweeks Partner</w:t>
      </w:r>
    </w:p>
    <w:p>
      <w:pPr>
        <w:spacing w:after="0" w:line="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660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Disclosure Law Group, a Professional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418465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2021-08-15T20:34:45Z</dcterms:created>
  <dcterms:modified xsi:type="dcterms:W3CDTF">2021-08-15T20:34:45Z</dcterms:modified>
</cp:coreProperties>
</file>