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92840H202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320" w:hanging="4"/>
        <w:spacing w:after="0" w:line="287" w:lineRule="auto"/>
        <w:tabs>
          <w:tab w:leader="none" w:pos="903"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5"/>
          <w:szCs w:val="15"/>
          <w:color w:val="auto"/>
        </w:rPr>
        <w:t>Rule 13d-1(c)</w:t>
      </w:r>
      <w:r>
        <w:rPr>
          <w:rFonts w:ascii="Arial" w:cs="Arial" w:eastAsia="Arial" w:hAnsi="Arial"/>
          <w:sz w:val="19"/>
          <w:szCs w:val="19"/>
          <w:color w:val="auto"/>
        </w:rPr>
        <w:t xml:space="preserve"> o </w:t>
      </w:r>
      <w:r>
        <w:rPr>
          <w:rFonts w:ascii="Arial" w:cs="Arial" w:eastAsia="Arial" w:hAnsi="Arial"/>
          <w:sz w:val="15"/>
          <w:szCs w:val="15"/>
          <w:color w:val="auto"/>
        </w:rPr>
        <w:t>Rule 13d-1(d)</w:t>
      </w:r>
    </w:p>
    <w:p>
      <w:pPr>
        <w:spacing w:after="0" w:line="39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382905</wp:posOffset>
            </wp:positionV>
            <wp:extent cx="2138680"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60" w:space="720"/>
            <w:col w:w="4080" w:space="720"/>
            <w:col w:w="1460"/>
          </w:cols>
          <w:pgMar w:left="320" w:top="688" w:right="339" w:bottom="1440" w:gutter="0" w:footer="0" w:header="0"/>
        </w:sectPr>
      </w:pP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8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84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20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8400" w:type="dxa"/>
            <w:vAlign w:val="bottom"/>
            <w:gridSpan w:val="4"/>
            <w:vMerge w:val="restart"/>
          </w:tcPr>
          <w:p>
            <w:pPr>
              <w:ind w:left="40"/>
              <w:spacing w:after="0"/>
              <w:rPr>
                <w:sz w:val="20"/>
                <w:szCs w:val="20"/>
                <w:color w:val="auto"/>
              </w:rPr>
            </w:pPr>
            <w:r>
              <w:rPr>
                <w:rFonts w:ascii="Arial" w:cs="Arial" w:eastAsia="Arial" w:hAnsi="Arial"/>
                <w:sz w:val="18"/>
                <w:szCs w:val="18"/>
                <w:color w:val="auto"/>
              </w:rPr>
              <w:t>OrbiMed Capital LLC</w:t>
            </w: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8400" w:type="dxa"/>
            <w:vAlign w:val="bottom"/>
            <w:gridSpan w:val="4"/>
            <w:vMerge w:val="continue"/>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2</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80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6380" w:type="dxa"/>
            <w:vAlign w:val="bottom"/>
            <w:tcBorders>
              <w:bottom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63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08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380" w:type="dxa"/>
            <w:vAlign w:val="bottom"/>
            <w:vMerge w:val="continue"/>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8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8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6380" w:type="dxa"/>
            <w:vAlign w:val="bottom"/>
            <w:vMerge w:val="continue"/>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9,778,800 (1)</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38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6380" w:type="dxa"/>
            <w:vAlign w:val="bottom"/>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63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380" w:type="dxa"/>
            <w:vAlign w:val="bottom"/>
          </w:tcPr>
          <w:p>
            <w:pPr>
              <w:ind w:left="60"/>
              <w:spacing w:after="0"/>
              <w:rPr>
                <w:sz w:val="20"/>
                <w:szCs w:val="20"/>
                <w:color w:val="auto"/>
              </w:rPr>
            </w:pPr>
            <w:r>
              <w:rPr>
                <w:rFonts w:ascii="Arial" w:cs="Arial" w:eastAsia="Arial" w:hAnsi="Arial"/>
                <w:sz w:val="18"/>
                <w:szCs w:val="18"/>
                <w:color w:val="auto"/>
              </w:rPr>
              <w:t>0</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800" w:type="dxa"/>
            <w:vAlign w:val="bottom"/>
            <w:tcBorders>
              <w:left w:val="single" w:sz="8" w:color="auto"/>
            </w:tcBorders>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800" w:type="dxa"/>
            <w:vAlign w:val="bottom"/>
            <w:tcBorders>
              <w:left w:val="single" w:sz="8" w:color="auto"/>
            </w:tcBorders>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00" w:type="dxa"/>
            <w:vAlign w:val="bottom"/>
            <w:tcBorders>
              <w:lef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6380" w:type="dxa"/>
            <w:vAlign w:val="bottom"/>
            <w:vMerge w:val="continue"/>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9,778,800 (1)</w:t>
            </w: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380" w:type="dxa"/>
            <w:vAlign w:val="bottom"/>
            <w:vMerge w:val="continue"/>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9,778,800 (1)</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tcBorders>
            <w:gridSpan w:val="4"/>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204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800" w:type="dxa"/>
            <w:vAlign w:val="bottom"/>
            <w:tcBorders>
              <w:left w:val="single" w:sz="8" w:color="auto"/>
              <w:bottom w:val="single" w:sz="8" w:color="auto"/>
              <w:right w:val="single" w:sz="8" w:color="auto"/>
            </w:tcBorders>
          </w:tcPr>
          <w:p>
            <w:pPr>
              <w:spacing w:after="0"/>
              <w:rPr>
                <w:sz w:val="18"/>
                <w:szCs w:val="18"/>
                <w:color w:val="auto"/>
              </w:rPr>
            </w:pPr>
          </w:p>
        </w:tc>
        <w:tc>
          <w:tcPr>
            <w:tcW w:w="8400" w:type="dxa"/>
            <w:vAlign w:val="bottom"/>
            <w:tcBorders>
              <w:bottom w:val="single" w:sz="8" w:color="auto"/>
            </w:tcBorders>
            <w:gridSpan w:val="4"/>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6.90%</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tcBorders>
            <w:gridSpan w:val="4"/>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60" w:right="140" w:hanging="328"/>
        <w:spacing w:after="0" w:line="181" w:lineRule="auto"/>
        <w:tabs>
          <w:tab w:leader="none" w:pos="660" w:val="left"/>
        </w:tabs>
        <w:numPr>
          <w:ilvl w:val="0"/>
          <w:numId w:val="2"/>
        </w:numPr>
        <w:rPr>
          <w:rFonts w:ascii="Arial" w:cs="Arial" w:eastAsia="Arial" w:hAnsi="Arial"/>
          <w:sz w:val="26"/>
          <w:szCs w:val="26"/>
          <w:color w:val="auto"/>
          <w:vertAlign w:val="subscript"/>
        </w:rPr>
      </w:pPr>
      <w:r>
        <w:rPr>
          <w:rFonts w:ascii="Arial" w:cs="Arial" w:eastAsia="Arial" w:hAnsi="Arial"/>
          <w:sz w:val="12"/>
          <w:szCs w:val="12"/>
          <w:color w:val="auto"/>
        </w:rPr>
        <w:t>This total consists of: (i) 5,625,000 shares of the common stock (the “</w:t>
      </w:r>
      <w:r>
        <w:rPr>
          <w:rFonts w:ascii="Arial" w:cs="Arial" w:eastAsia="Arial" w:hAnsi="Arial"/>
          <w:sz w:val="12"/>
          <w:szCs w:val="12"/>
          <w:u w:val="single" w:color="auto"/>
          <w:color w:val="auto"/>
        </w:rPr>
        <w:t>Common Stock</w:t>
      </w:r>
      <w:r>
        <w:rPr>
          <w:rFonts w:ascii="Arial" w:cs="Arial" w:eastAsia="Arial" w:hAnsi="Arial"/>
          <w:sz w:val="12"/>
          <w:szCs w:val="12"/>
          <w:color w:val="auto"/>
        </w:rPr>
        <w:t>”) of VistaGen Therapeutics, Inc. (the “</w:t>
      </w:r>
      <w:r>
        <w:rPr>
          <w:rFonts w:ascii="Arial" w:cs="Arial" w:eastAsia="Arial" w:hAnsi="Arial"/>
          <w:sz w:val="12"/>
          <w:szCs w:val="12"/>
          <w:u w:val="single" w:color="auto"/>
          <w:color w:val="auto"/>
        </w:rPr>
        <w:t>Issuer</w:t>
      </w:r>
      <w:r>
        <w:rPr>
          <w:rFonts w:ascii="Arial" w:cs="Arial" w:eastAsia="Arial" w:hAnsi="Arial"/>
          <w:sz w:val="12"/>
          <w:szCs w:val="12"/>
          <w:color w:val="auto"/>
        </w:rPr>
        <w:t>”) and (ii) 4,153,800 shares of Common Stock that may be acquired upon conversion of shares of convertible voting preferred stock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 w:name="page3"/>
    <w:bookmarkEnd w:id="2"/>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382270</wp:posOffset>
            </wp:positionV>
            <wp:extent cx="2138680" cy="304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60" w:space="720"/>
            <w:col w:w="4080" w:space="720"/>
            <w:col w:w="1460"/>
          </w:cols>
          <w:pgMar w:left="320" w:top="688" w:right="339" w:bottom="1440" w:gutter="0" w:footer="0" w:header="0"/>
        </w:sectPr>
      </w:pP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8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84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20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8400" w:type="dxa"/>
            <w:vAlign w:val="bottom"/>
            <w:gridSpan w:val="4"/>
            <w:vMerge w:val="restart"/>
          </w:tcPr>
          <w:p>
            <w:pPr>
              <w:ind w:left="40"/>
              <w:spacing w:after="0"/>
              <w:rPr>
                <w:sz w:val="20"/>
                <w:szCs w:val="20"/>
                <w:color w:val="auto"/>
              </w:rPr>
            </w:pPr>
            <w:r>
              <w:rPr>
                <w:rFonts w:ascii="Arial" w:cs="Arial" w:eastAsia="Arial" w:hAnsi="Arial"/>
                <w:sz w:val="18"/>
                <w:szCs w:val="18"/>
                <w:color w:val="auto"/>
              </w:rPr>
              <w:t>OrbiMed Advisors LLC</w:t>
            </w: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8400" w:type="dxa"/>
            <w:vAlign w:val="bottom"/>
            <w:gridSpan w:val="4"/>
            <w:vMerge w:val="continue"/>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2</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80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6380" w:type="dxa"/>
            <w:vAlign w:val="bottom"/>
            <w:tcBorders>
              <w:bottom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63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08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380" w:type="dxa"/>
            <w:vAlign w:val="bottom"/>
            <w:vMerge w:val="continue"/>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8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8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6380" w:type="dxa"/>
            <w:vAlign w:val="bottom"/>
            <w:vMerge w:val="continue"/>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3,258,243 (1)</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38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6380" w:type="dxa"/>
            <w:vAlign w:val="bottom"/>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63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380" w:type="dxa"/>
            <w:vAlign w:val="bottom"/>
          </w:tcPr>
          <w:p>
            <w:pPr>
              <w:ind w:left="60"/>
              <w:spacing w:after="0"/>
              <w:rPr>
                <w:sz w:val="20"/>
                <w:szCs w:val="20"/>
                <w:color w:val="auto"/>
              </w:rPr>
            </w:pPr>
            <w:r>
              <w:rPr>
                <w:rFonts w:ascii="Arial" w:cs="Arial" w:eastAsia="Arial" w:hAnsi="Arial"/>
                <w:sz w:val="18"/>
                <w:szCs w:val="18"/>
                <w:color w:val="auto"/>
              </w:rPr>
              <w:t>0</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800" w:type="dxa"/>
            <w:vAlign w:val="bottom"/>
            <w:tcBorders>
              <w:left w:val="single" w:sz="8" w:color="auto"/>
            </w:tcBorders>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800" w:type="dxa"/>
            <w:vAlign w:val="bottom"/>
            <w:tcBorders>
              <w:left w:val="single" w:sz="8" w:color="auto"/>
            </w:tcBorders>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00" w:type="dxa"/>
            <w:vAlign w:val="bottom"/>
            <w:tcBorders>
              <w:lef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6380" w:type="dxa"/>
            <w:vAlign w:val="bottom"/>
            <w:vMerge w:val="continue"/>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3,258,243 (1)</w:t>
            </w: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380" w:type="dxa"/>
            <w:vAlign w:val="bottom"/>
            <w:vMerge w:val="continue"/>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3,258,243 (1)</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tcBorders>
            <w:gridSpan w:val="4"/>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204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800" w:type="dxa"/>
            <w:vAlign w:val="bottom"/>
            <w:tcBorders>
              <w:left w:val="single" w:sz="8" w:color="auto"/>
              <w:bottom w:val="single" w:sz="8" w:color="auto"/>
              <w:right w:val="single" w:sz="8" w:color="auto"/>
            </w:tcBorders>
          </w:tcPr>
          <w:p>
            <w:pPr>
              <w:spacing w:after="0"/>
              <w:rPr>
                <w:sz w:val="18"/>
                <w:szCs w:val="18"/>
                <w:color w:val="auto"/>
              </w:rPr>
            </w:pPr>
          </w:p>
        </w:tc>
        <w:tc>
          <w:tcPr>
            <w:tcW w:w="8400" w:type="dxa"/>
            <w:vAlign w:val="bottom"/>
            <w:tcBorders>
              <w:bottom w:val="single" w:sz="8" w:color="auto"/>
            </w:tcBorders>
            <w:gridSpan w:val="4"/>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tcBorders>
            <w:gridSpan w:val="4"/>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60" w:right="640" w:hanging="328"/>
        <w:spacing w:after="0" w:line="181" w:lineRule="auto"/>
        <w:tabs>
          <w:tab w:leader="none" w:pos="660" w:val="left"/>
        </w:tabs>
        <w:numPr>
          <w:ilvl w:val="0"/>
          <w:numId w:val="3"/>
        </w:numPr>
        <w:rPr>
          <w:rFonts w:ascii="Arial" w:cs="Arial" w:eastAsia="Arial" w:hAnsi="Arial"/>
          <w:sz w:val="26"/>
          <w:szCs w:val="26"/>
          <w:color w:val="auto"/>
          <w:vertAlign w:val="subscript"/>
        </w:rPr>
      </w:pPr>
      <w:r>
        <w:rPr>
          <w:rFonts w:ascii="Arial" w:cs="Arial" w:eastAsia="Arial" w:hAnsi="Arial"/>
          <w:sz w:val="12"/>
          <w:szCs w:val="12"/>
          <w:color w:val="auto"/>
        </w:rPr>
        <w:t>This total consists of: (i) 1,875,000 shares of the Common Stock of the Issuer and (ii) 1,383,243 shares of Common Stock that may be acquired upon conversion of shares of convertible voting preferred stock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jc w:val="center"/>
              <w:ind w:right="1250"/>
              <w:spacing w:after="0"/>
              <w:rPr>
                <w:sz w:val="20"/>
                <w:szCs w:val="20"/>
                <w:color w:val="auto"/>
              </w:rPr>
            </w:pPr>
            <w:r>
              <w:rPr>
                <w:rFonts w:ascii="Arial" w:cs="Arial" w:eastAsia="Arial" w:hAnsi="Arial"/>
                <w:sz w:val="18"/>
                <w:szCs w:val="18"/>
                <w:b w:val="1"/>
                <w:bCs w:val="1"/>
                <w:color w:val="auto"/>
                <w:w w:val="96"/>
              </w:rPr>
              <w:t>CUSIP No. 92840H202</w:t>
            </w:r>
          </w:p>
        </w:tc>
        <w:tc>
          <w:tcPr>
            <w:tcW w:w="2960" w:type="dxa"/>
            <w:vAlign w:val="bottom"/>
          </w:tcPr>
          <w:p>
            <w:pPr>
              <w:ind w:left="1600"/>
              <w:spacing w:after="0"/>
              <w:rPr>
                <w:sz w:val="20"/>
                <w:szCs w:val="20"/>
                <w:color w:val="auto"/>
              </w:rPr>
            </w:pPr>
            <w:r>
              <w:rPr>
                <w:rFonts w:ascii="Arial" w:cs="Arial" w:eastAsia="Arial" w:hAnsi="Arial"/>
                <w:sz w:val="18"/>
                <w:szCs w:val="18"/>
                <w:b w:val="1"/>
                <w:bCs w:val="1"/>
                <w:color w:val="auto"/>
                <w:w w:val="97"/>
              </w:rPr>
              <w:t>SCHEDULE 13G</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2960" w:type="dxa"/>
            <w:vAlign w:val="bottom"/>
          </w:tcPr>
          <w:p>
            <w:pPr>
              <w:spacing w:after="0"/>
              <w:rPr>
                <w:sz w:val="9"/>
                <w:szCs w:val="9"/>
                <w:color w:val="auto"/>
              </w:rPr>
            </w:pPr>
          </w:p>
        </w:tc>
      </w:tr>
      <w:tr>
        <w:trPr>
          <w:trHeight w:val="436"/>
        </w:trPr>
        <w:tc>
          <w:tcPr>
            <w:tcW w:w="3380" w:type="dxa"/>
            <w:vAlign w:val="bottom"/>
            <w:gridSpan w:val="2"/>
          </w:tcPr>
          <w:p>
            <w:pPr>
              <w:jc w:val="center"/>
              <w:ind w:right="1170"/>
              <w:spacing w:after="0"/>
              <w:rPr>
                <w:sz w:val="20"/>
                <w:szCs w:val="20"/>
                <w:color w:val="auto"/>
              </w:rPr>
            </w:pPr>
            <w:r>
              <w:rPr>
                <w:rFonts w:ascii="Arial" w:cs="Arial" w:eastAsia="Arial" w:hAnsi="Arial"/>
                <w:sz w:val="18"/>
                <w:szCs w:val="18"/>
                <w:b w:val="1"/>
                <w:bCs w:val="1"/>
                <w:color w:val="auto"/>
                <w:w w:val="92"/>
              </w:rPr>
              <w:t>Item 1.  (a) Name of Issuer:</w:t>
            </w:r>
          </w:p>
        </w:tc>
        <w:tc>
          <w:tcPr>
            <w:tcW w:w="2960" w:type="dxa"/>
            <w:vAlign w:val="bottom"/>
          </w:tcPr>
          <w:p>
            <w:pPr>
              <w:spacing w:after="0"/>
              <w:rPr>
                <w:sz w:val="24"/>
                <w:szCs w:val="24"/>
                <w:color w:val="auto"/>
              </w:rPr>
            </w:pPr>
          </w:p>
        </w:tc>
      </w:tr>
    </w:tbl>
    <w:p>
      <w:pPr>
        <w:spacing w:after="0" w:line="9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VistaGen Therapeutics, Inc.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343 Allerton Ave.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South San Francisco, CA 94080</w:t>
      </w:r>
    </w:p>
    <w:p>
      <w:pPr>
        <w:spacing w:after="0" w:line="1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r>
        <w:rPr>
          <w:rFonts w:ascii="Arial" w:cs="Arial" w:eastAsia="Arial" w:hAnsi="Arial"/>
          <w:sz w:val="15"/>
          <w:szCs w:val="15"/>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LLC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Advisors LLC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NY 10022</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 Citizenship</w:t>
      </w:r>
      <w:r>
        <w:rPr>
          <w:rFonts w:ascii="Arial" w:cs="Arial" w:eastAsia="Arial" w:hAnsi="Arial"/>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Please refer to Item 4 on each cover page for each Reporting Person.</w:t>
      </w:r>
    </w:p>
    <w:p>
      <w:pPr>
        <w:spacing w:after="0" w:line="1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 Title of Class of Securities:</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Par Value $0.0001 Per Share</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 CUSIP No.:</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1111885</wp:posOffset>
            </wp:positionV>
            <wp:extent cx="71323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ectPr>
          <w:pgSz w:w="11900" w:h="16838" w:orient="portrait"/>
          <w:cols w:equalWidth="0" w:num="2">
            <w:col w:w="9060" w:space="720"/>
            <w:col w:w="1320"/>
          </w:cols>
          <w:pgMar w:left="320" w:top="582" w:right="479" w:bottom="1440" w:gutter="0" w:footer="0" w:header="0"/>
        </w:sectPr>
      </w:pPr>
    </w:p>
    <w:bookmarkStart w:id="4" w:name="page5"/>
    <w:bookmarkEnd w:id="4"/>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382905</wp:posOffset>
            </wp:positionV>
            <wp:extent cx="2138680" cy="304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92840H202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5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1044" w:lineRule="exact"/>
        <w:rPr>
          <w:sz w:val="20"/>
          <w:szCs w:val="20"/>
          <w:color w:val="auto"/>
        </w:rPr>
      </w:pPr>
    </w:p>
    <w:p>
      <w:pPr>
        <w:sectPr>
          <w:pgSz w:w="11900" w:h="16838" w:orient="portrait"/>
          <w:cols w:equalWidth="0" w:num="3">
            <w:col w:w="4260" w:space="720"/>
            <w:col w:w="4080" w:space="720"/>
            <w:col w:w="1460"/>
          </w:cols>
          <w:pgMar w:left="320" w:top="688" w:right="339" w:bottom="1440" w:gutter="0" w:footer="0" w:header="0"/>
        </w:sectPr>
      </w:pPr>
    </w:p>
    <w:p>
      <w:pPr>
        <w:spacing w:after="0" w:line="29"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OrbiMed Advisors LLC (“Advisors”) and OrbiMed Capital LLC (“Capital”) are investment advisors in accordance with ss.240.13d-1(b)(1)(ii)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1900555</wp:posOffset>
            </wp:positionV>
            <wp:extent cx="71323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5" w:name="page6"/>
    <w:bookmarkEnd w:id="5"/>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382905</wp:posOffset>
            </wp:positionV>
            <wp:extent cx="2138680" cy="304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92840H202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6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844" w:lineRule="exact"/>
        <w:rPr>
          <w:sz w:val="20"/>
          <w:szCs w:val="20"/>
          <w:color w:val="auto"/>
        </w:rPr>
      </w:pPr>
    </w:p>
    <w:p>
      <w:pPr>
        <w:sectPr>
          <w:pgSz w:w="11900" w:h="16838" w:orient="portrait"/>
          <w:cols w:equalWidth="0" w:num="3">
            <w:col w:w="4260" w:space="720"/>
            <w:col w:w="4080" w:space="720"/>
            <w:col w:w="1460"/>
          </w:cols>
          <w:pgMar w:left="320" w:top="688" w:right="339" w:bottom="1440" w:gutter="0" w:footer="0" w:header="0"/>
        </w:sectPr>
      </w:pPr>
    </w:p>
    <w:p>
      <w:pPr>
        <w:jc w:val="both"/>
        <w:ind w:left="800"/>
        <w:spacing w:after="0" w:line="260" w:lineRule="auto"/>
        <w:rPr>
          <w:sz w:val="20"/>
          <w:szCs w:val="20"/>
          <w:color w:val="auto"/>
        </w:rPr>
      </w:pPr>
      <w:r>
        <w:rPr>
          <w:rFonts w:ascii="Arial" w:cs="Arial" w:eastAsia="Arial" w:hAnsi="Arial"/>
          <w:sz w:val="18"/>
          <w:szCs w:val="18"/>
          <w:color w:val="auto"/>
        </w:rPr>
        <w:t>Information with respect to the Reporting Person’s ownership as of December 31, 2020 is incorporated by reference to items (5) - (9) and (11) of the cover page for the Reporting Person.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jc w:val="both"/>
        <w:ind w:left="800"/>
        <w:spacing w:after="0" w:line="260"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r>
        <w:rPr>
          <w:rFonts w:ascii="Arial" w:cs="Arial" w:eastAsia="Arial" w:hAnsi="Arial"/>
          <w:sz w:val="18"/>
          <w:szCs w:val="18"/>
          <w:color w:val="auto"/>
        </w:rPr>
        <w:t>.</w:t>
      </w:r>
    </w:p>
    <w:p>
      <w:pPr>
        <w:spacing w:after="0" w:line="229" w:lineRule="exact"/>
        <w:rPr>
          <w:sz w:val="20"/>
          <w:szCs w:val="20"/>
          <w:color w:val="auto"/>
        </w:rPr>
      </w:pPr>
    </w:p>
    <w:p>
      <w:pPr>
        <w:jc w:val="both"/>
        <w:ind w:left="800"/>
        <w:spacing w:after="0" w:line="257" w:lineRule="auto"/>
        <w:rPr>
          <w:sz w:val="20"/>
          <w:szCs w:val="20"/>
          <w:color w:val="auto"/>
        </w:rPr>
      </w:pPr>
      <w:r>
        <w:rPr>
          <w:rFonts w:ascii="Arial" w:cs="Arial" w:eastAsia="Arial" w:hAnsi="Arial"/>
          <w:sz w:val="18"/>
          <w:szCs w:val="18"/>
          <w:color w:val="auto"/>
        </w:rPr>
        <w:t>The reporting persons are holding 9.24% of the shares in the aggregate on behalf of other persons who have the right to receive or the power to direct the receipt of dividends from, or proceeds from the sale of, such securities. No one such other person’s interest in the securities whose ownership is reported here relates to more than five percent of the class. Advisors exercises investment and voting power over the shares through a management committee comprised of Carl L. Gordon, Sven H. Borho and Jonathan T. Silverstein, each of whom disclaims beneficial ownership of the Common Stock reported herein.</w:t>
      </w:r>
    </w:p>
    <w:p>
      <w:pPr>
        <w:spacing w:after="0" w:line="76"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30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1204595</wp:posOffset>
            </wp:positionV>
            <wp:extent cx="713232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6" w:name="page7"/>
    <w:bookmarkEnd w:id="6"/>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382270</wp:posOffset>
            </wp:positionV>
            <wp:extent cx="2138680" cy="304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92840H202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1017" w:lineRule="exact"/>
        <w:rPr>
          <w:sz w:val="20"/>
          <w:szCs w:val="20"/>
          <w:color w:val="auto"/>
        </w:rPr>
      </w:pPr>
    </w:p>
    <w:p>
      <w:pPr>
        <w:sectPr>
          <w:pgSz w:w="11900" w:h="16838" w:orient="portrait"/>
          <w:cols w:equalWidth="0" w:num="3">
            <w:col w:w="4260" w:space="720"/>
            <w:col w:w="4080" w:space="720"/>
            <w:col w:w="1460"/>
          </w:cols>
          <w:pgMar w:left="320" w:top="688" w:right="339" w:bottom="1440" w:gutter="0" w:footer="0" w:header="0"/>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00" w:lineRule="exact"/>
        <w:rPr>
          <w:sz w:val="20"/>
          <w:szCs w:val="20"/>
          <w:color w:val="auto"/>
        </w:rPr>
      </w:pPr>
    </w:p>
    <w:p>
      <w:pPr>
        <w:spacing w:after="0" w:line="23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OrbiMed Advisors LLC</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Jonathan T. Silverstein</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Sven H. Borho</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Carl L. Gordon</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0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OrbiMed Capital LLC</w:t>
      </w:r>
    </w:p>
    <w:p>
      <w:pPr>
        <w:spacing w:after="0" w:line="200" w:lineRule="exact"/>
        <w:rPr>
          <w:sz w:val="20"/>
          <w:szCs w:val="20"/>
          <w:color w:val="auto"/>
        </w:rPr>
      </w:pPr>
    </w:p>
    <w:p>
      <w:pPr>
        <w:spacing w:after="0" w:line="24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Jonathan T. Silverstein</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Sven H. Borho</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Carl L. Gordon</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7" w:name="page8"/>
    <w:bookmarkEnd w:id="7"/>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227965</wp:posOffset>
            </wp:positionV>
            <wp:extent cx="2138680" cy="3041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7"/>
          <w:szCs w:val="17"/>
          <w:b w:val="1"/>
          <w:bCs w:val="1"/>
          <w:color w:val="auto"/>
        </w:rPr>
        <w:t>CUSIP No. 92840H202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8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4260" w:space="720"/>
            <w:col w:w="4080" w:space="720"/>
            <w:col w:w="1460"/>
          </w:cols>
          <w:pgMar w:left="320" w:top="445" w:right="3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undersigned hereby agree that the Statement on this Schedule 13G dated February 12, 2021 (the “Schedule 13G”), with respect to the Common Stock, par value $0.0001 per share, of VistaGen Therapeutics, Inc. is filed on behalf of each of us pursuant to and in accordance with the provisions of Rule 13d-1(k) under the Securities Exchange Act of 1934, as amended, and that this Agreement shall be included as an Exhibit to this Schedule 13G. Each of the undersigned agrees to be responsible for the timely filing of the Schedule 13G, and for the completeness and accuracy of the information concerning itself contained therein. This Agreement may be executed in any number of counterparts, all of which taken together shall constitute one and the same instrument.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as of February 12, 2021.</w:t>
      </w:r>
    </w:p>
    <w:p>
      <w:pPr>
        <w:spacing w:after="0" w:line="200" w:lineRule="exact"/>
        <w:rPr>
          <w:sz w:val="20"/>
          <w:szCs w:val="20"/>
          <w:color w:val="auto"/>
        </w:rPr>
      </w:pPr>
    </w:p>
    <w:p>
      <w:pPr>
        <w:spacing w:after="0" w:line="23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OrbiMed Advisors LLC</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Jonathan T. Silverstein</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Sven H. Borho</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Carl L. Gordon</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0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OrbiMed Capital LLC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Jonathan T. Silverstein</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Sven H. Borho</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Carl L. Gordon</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1137285</wp:posOffset>
            </wp:positionV>
            <wp:extent cx="71323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sectPr>
      <w:pgSz w:w="11900" w:h="16838" w:orient="portrait"/>
      <w:cols w:equalWidth="0" w:num="1">
        <w:col w:w="11240"/>
      </w:cols>
      <w:pgMar w:left="320" w:top="44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2021-02-12T16:13:52Z</dcterms:created>
  <dcterms:modified xsi:type="dcterms:W3CDTF">2021-02-12T16:13:52Z</dcterms:modified>
</cp:coreProperties>
</file>