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18,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1138"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6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840" w:space="720"/>
            <w:col w:w="2700" w:space="720"/>
            <w:col w:w="3260"/>
          </w:cols>
          <w:pgMar w:left="320" w:top="1138"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1138"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9"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198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433"/>
        </w:trPr>
        <w:tc>
          <w:tcPr>
            <w:tcW w:w="760" w:type="dxa"/>
            <w:vAlign w:val="bottom"/>
          </w:tcPr>
          <w:p>
            <w:pPr>
              <w:spacing w:after="0"/>
              <w:rPr>
                <w:sz w:val="24"/>
                <w:szCs w:val="24"/>
                <w:color w:val="auto"/>
              </w:rPr>
            </w:pPr>
          </w:p>
        </w:tc>
        <w:tc>
          <w:tcPr>
            <w:tcW w:w="34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Title of each class</w:t>
            </w:r>
          </w:p>
        </w:tc>
        <w:tc>
          <w:tcPr>
            <w:tcW w:w="198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color w:val="auto"/>
                <w:w w:val="89"/>
              </w:rPr>
              <w:t>Trading Symbol(s)</w:t>
            </w:r>
          </w:p>
        </w:tc>
        <w:tc>
          <w:tcPr>
            <w:tcW w:w="43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7"/>
              </w:rPr>
              <w:t>Name of each exchange on which registered</w:t>
            </w:r>
          </w:p>
        </w:tc>
      </w:tr>
      <w:tr>
        <w:trPr>
          <w:trHeight w:val="217"/>
        </w:trPr>
        <w:tc>
          <w:tcPr>
            <w:tcW w:w="760" w:type="dxa"/>
            <w:vAlign w:val="bottom"/>
          </w:tcPr>
          <w:p>
            <w:pPr>
              <w:spacing w:after="0"/>
              <w:rPr>
                <w:sz w:val="18"/>
                <w:szCs w:val="18"/>
                <w:color w:val="auto"/>
              </w:rPr>
            </w:pPr>
          </w:p>
        </w:tc>
        <w:tc>
          <w:tcPr>
            <w:tcW w:w="3440" w:type="dxa"/>
            <w:vAlign w:val="bottom"/>
          </w:tcPr>
          <w:p>
            <w:pPr>
              <w:jc w:val="center"/>
              <w:ind w:right="32"/>
              <w:spacing w:after="0"/>
              <w:rPr>
                <w:sz w:val="20"/>
                <w:szCs w:val="20"/>
                <w:color w:val="auto"/>
              </w:rPr>
            </w:pPr>
            <w:r>
              <w:rPr>
                <w:rFonts w:ascii="Arial" w:cs="Arial" w:eastAsia="Arial" w:hAnsi="Arial"/>
                <w:sz w:val="18"/>
                <w:szCs w:val="18"/>
                <w:color w:val="auto"/>
                <w:w w:val="87"/>
              </w:rPr>
              <w:t>Common Stock, par value $0.001 per share</w:t>
            </w:r>
          </w:p>
        </w:tc>
        <w:tc>
          <w:tcPr>
            <w:tcW w:w="1980" w:type="dxa"/>
            <w:vAlign w:val="bottom"/>
          </w:tcPr>
          <w:p>
            <w:pPr>
              <w:jc w:val="center"/>
              <w:ind w:right="252"/>
              <w:spacing w:after="0"/>
              <w:rPr>
                <w:sz w:val="20"/>
                <w:szCs w:val="20"/>
                <w:color w:val="auto"/>
              </w:rPr>
            </w:pPr>
            <w:r>
              <w:rPr>
                <w:rFonts w:ascii="Arial" w:cs="Arial" w:eastAsia="Arial" w:hAnsi="Arial"/>
                <w:sz w:val="18"/>
                <w:szCs w:val="18"/>
                <w:color w:val="auto"/>
                <w:w w:val="95"/>
              </w:rPr>
              <w:t>VTGN</w:t>
            </w:r>
          </w:p>
        </w:tc>
        <w:tc>
          <w:tcPr>
            <w:tcW w:w="4340" w:type="dxa"/>
            <w:vAlign w:val="bottom"/>
          </w:tcPr>
          <w:p>
            <w:pPr>
              <w:jc w:val="center"/>
              <w:ind w:right="152"/>
              <w:spacing w:after="0"/>
              <w:rPr>
                <w:sz w:val="20"/>
                <w:szCs w:val="20"/>
                <w:color w:val="auto"/>
              </w:rPr>
            </w:pPr>
            <w:r>
              <w:rPr>
                <w:rFonts w:ascii="Arial" w:cs="Arial" w:eastAsia="Arial" w:hAnsi="Arial"/>
                <w:sz w:val="18"/>
                <w:szCs w:val="18"/>
                <w:color w:val="auto"/>
                <w:w w:val="88"/>
              </w:rPr>
              <w:t>Nasdaq Capital Market</w:t>
            </w:r>
          </w:p>
        </w:tc>
      </w:tr>
    </w:tbl>
    <w:p>
      <w:pPr>
        <w:spacing w:after="0" w:line="201"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18, 2020,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entered into an underwriting agreement (the “</w:t>
      </w:r>
      <w:r>
        <w:rPr>
          <w:rFonts w:ascii="Arial" w:cs="Arial" w:eastAsia="Arial" w:hAnsi="Arial"/>
          <w:sz w:val="18"/>
          <w:szCs w:val="18"/>
          <w:i w:val="1"/>
          <w:iCs w:val="1"/>
          <w:color w:val="auto"/>
        </w:rPr>
        <w:t>Underwriting Agreement</w:t>
      </w:r>
      <w:r>
        <w:rPr>
          <w:rFonts w:ascii="Arial" w:cs="Arial" w:eastAsia="Arial" w:hAnsi="Arial"/>
          <w:sz w:val="18"/>
          <w:szCs w:val="18"/>
          <w:color w:val="auto"/>
        </w:rPr>
        <w:t>”) with Jefferies LLC and William Blair &amp; Company, L.L.C., as representatives of the underwriters named therein (the “</w:t>
      </w:r>
      <w:r>
        <w:rPr>
          <w:rFonts w:ascii="Arial" w:cs="Arial" w:eastAsia="Arial" w:hAnsi="Arial"/>
          <w:sz w:val="18"/>
          <w:szCs w:val="18"/>
          <w:i w:val="1"/>
          <w:iCs w:val="1"/>
          <w:color w:val="auto"/>
        </w:rPr>
        <w:t>Underwriters</w:t>
      </w:r>
      <w:r>
        <w:rPr>
          <w:rFonts w:ascii="Arial" w:cs="Arial" w:eastAsia="Arial" w:hAnsi="Arial"/>
          <w:sz w:val="18"/>
          <w:szCs w:val="18"/>
          <w:color w:val="auto"/>
        </w:rPr>
        <w:t>”), pursuant to which the Company agreed to issue and sell to the Underwriters, in an underwritten public offering (the “</w:t>
      </w:r>
      <w:r>
        <w:rPr>
          <w:rFonts w:ascii="Arial" w:cs="Arial" w:eastAsia="Arial" w:hAnsi="Arial"/>
          <w:sz w:val="18"/>
          <w:szCs w:val="18"/>
          <w:i w:val="1"/>
          <w:iCs w:val="1"/>
          <w:color w:val="auto"/>
        </w:rPr>
        <w:t>Public Offering</w:t>
      </w:r>
      <w:r>
        <w:rPr>
          <w:rFonts w:ascii="Arial" w:cs="Arial" w:eastAsia="Arial" w:hAnsi="Arial"/>
          <w:sz w:val="18"/>
          <w:szCs w:val="18"/>
          <w:color w:val="auto"/>
        </w:rPr>
        <w:t>”), 63,000,000 shares of the Company’s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at a public offering price of $0.92 per share and 2,000,000 shares of a newly issued series of convertible preferred stock (“</w:t>
      </w:r>
      <w:r>
        <w:rPr>
          <w:rFonts w:ascii="Arial" w:cs="Arial" w:eastAsia="Arial" w:hAnsi="Arial"/>
          <w:sz w:val="18"/>
          <w:szCs w:val="18"/>
          <w:i w:val="1"/>
          <w:iCs w:val="1"/>
          <w:color w:val="auto"/>
        </w:rPr>
        <w:t>Series D Preferred Stock</w:t>
      </w:r>
      <w:r>
        <w:rPr>
          <w:rFonts w:ascii="Arial" w:cs="Arial" w:eastAsia="Arial" w:hAnsi="Arial"/>
          <w:sz w:val="18"/>
          <w:szCs w:val="18"/>
          <w:color w:val="auto"/>
        </w:rPr>
        <w:t>” and, together with the Common Stock, the “</w:t>
      </w:r>
      <w:r>
        <w:rPr>
          <w:rFonts w:ascii="Arial" w:cs="Arial" w:eastAsia="Arial" w:hAnsi="Arial"/>
          <w:sz w:val="18"/>
          <w:szCs w:val="18"/>
          <w:i w:val="1"/>
          <w:iCs w:val="1"/>
          <w:color w:val="auto"/>
        </w:rPr>
        <w:t>Securities</w:t>
      </w:r>
      <w:r>
        <w:rPr>
          <w:rFonts w:ascii="Arial" w:cs="Arial" w:eastAsia="Arial" w:hAnsi="Arial"/>
          <w:sz w:val="18"/>
          <w:szCs w:val="18"/>
          <w:color w:val="auto"/>
        </w:rPr>
        <w:t>”) at a public offering price of $21.16 per share, resulting in gross proceeds to the Company of $100 million. The Public Offering closed on December 22, 2020 at which time the Securities were issued and sold to the Underwriters.</w:t>
      </w:r>
    </w:p>
    <w:p>
      <w:pPr>
        <w:spacing w:after="0" w:line="2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expects to use the net proceeds from the Public Offering of approximately $93.5 million, after deducting underwriting discounts and commissions and offering expenses payable by the Company, for research, development and manufacturing and regulatory expenses associated with continuing development of PH94B, PH10, AV-101, and potential drug candidates to expand its CNS pipeline, and for other working capital and general corporate purposes.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Securities were sold pursuant to the Company’s effective shelf registration statement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September 30, 2019, and declared effective on October 7, 2019 (File No. 333-234025). A prospectus supplement relating to the Public Offering was filed with the SEC on December 18, 2020.</w:t>
      </w:r>
    </w:p>
    <w:p>
      <w:pPr>
        <w:spacing w:after="0" w:line="2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other obligations of the parties, and termination provisions. The representations, warranties and covenants contained in the Underwriting Agreement were made solely for the benefit of the parties thereto and may be subject to limitations agreed upon by the contracting parties. Accordingly, the Underwriting Agreement is incorporated herein by reference only to provide investors with information regarding the terms of the Underwriting Agreement and not to provide investors with any other factual information regarding the Company or its business, and should be read in conjunction with the disclosures in the Company’s periodic reports and other filings with the SEC.</w:t>
      </w:r>
    </w:p>
    <w:p>
      <w:pPr>
        <w:spacing w:after="0" w:line="172"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A copy of the Underwriting Agreement is attached hereto as Exhibit 1.1 and is incorporated herein by reference. The foregoing description of the material terms of the Underwriting Agreement does not purport to be complete and is qualified in its entirety by reference to such exhibit.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legal opinion and consent of Woodburn and Wedge, relating to the Securities is attached hereto as Exhibit 5.1.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contained in Item 5.03 with respect to the Certificate of Designation (as defined below) is incorporated by reference into this Item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Change in Fiscal Year.</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In connection with the Public Offering, on December 21, 2020, the Company filed the Certificate of Designation of the Relative Rights and Preferences of the Series D Convertible Preferred Stock (the “</w:t>
      </w:r>
      <w:r>
        <w:rPr>
          <w:rFonts w:ascii="Arial" w:cs="Arial" w:eastAsia="Arial" w:hAnsi="Arial"/>
          <w:sz w:val="16"/>
          <w:szCs w:val="16"/>
          <w:i w:val="1"/>
          <w:iCs w:val="1"/>
          <w:color w:val="auto"/>
        </w:rPr>
        <w:t>Certificate of Designation</w:t>
      </w:r>
      <w:r>
        <w:rPr>
          <w:rFonts w:ascii="Arial" w:cs="Arial" w:eastAsia="Arial" w:hAnsi="Arial"/>
          <w:sz w:val="16"/>
          <w:szCs w:val="16"/>
          <w:color w:val="auto"/>
        </w:rPr>
        <w:t>”) with the Secretary of State of the State of Nevada to establish the terms, rights, obligations and preferences of the Series D Preferred Stock. The Certificate of Designation became effective upon the filing with the Secretary of State of the State of Nevada. The Certificate of Designation designates 2,000,000 shares as Series D Preferred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Rank</w:t>
      </w:r>
    </w:p>
    <w:p>
      <w:pPr>
        <w:spacing w:after="0" w:line="15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shares of Series D Preferred Stock rank: (i) senior to all of the Company’s Common Stock until the date of the Charter Amendment (as defined below); (ii) senior to any class or series of the Company’s capital stock hereafter created specifically ranking by its terms junior to the Series D Preferred Stock;</w:t>
      </w:r>
    </w:p>
    <w:p>
      <w:pPr>
        <w:spacing w:after="0" w:line="1" w:lineRule="exact"/>
        <w:rPr>
          <w:sz w:val="20"/>
          <w:szCs w:val="20"/>
          <w:color w:val="auto"/>
        </w:rPr>
      </w:pPr>
    </w:p>
    <w:p>
      <w:pPr>
        <w:jc w:val="both"/>
        <w:ind w:firstLine="8"/>
        <w:spacing w:after="0" w:line="253" w:lineRule="auto"/>
        <w:tabs>
          <w:tab w:leader="none" w:pos="333"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parity to all shares of the Company’s Series A Convertible Preferred Stock, Series B 10% Convertible Preferred Stock and Series C Convertible Preferred Stock; (iv) on parity to any class or series of the Company’s capital stock hereafter created specifically ranking by its terms on parity with the Series D Preferred Stock; and (v) junior to any class or series of the Company’s capital stock hereafter created specifically ranking by its terms senior to the Series D Preferred Stock, in each case, as to distributions of assets upon the Company’s liquidation, dissolution or winding up whether voluntarily or involuntarily and/or the right to receive dividends.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Each whole share of Series D Preferred Stock is initially convertible into 23 shares of Common Stock at any time at the option of the holder; </w:t>
      </w:r>
      <w:r>
        <w:rPr>
          <w:rFonts w:ascii="Arial" w:cs="Arial" w:eastAsia="Arial" w:hAnsi="Arial"/>
          <w:sz w:val="16"/>
          <w:szCs w:val="16"/>
          <w:i w:val="1"/>
          <w:iCs w:val="1"/>
          <w:color w:val="auto"/>
        </w:rPr>
        <w:t>provided</w:t>
      </w:r>
      <w:r>
        <w:rPr>
          <w:rFonts w:ascii="Arial" w:cs="Arial" w:eastAsia="Arial" w:hAnsi="Arial"/>
          <w:sz w:val="16"/>
          <w:szCs w:val="16"/>
          <w:color w:val="auto"/>
        </w:rPr>
        <w:t>, that the Series D Preferred Stock will not be convertible prior to the date on which the Company receives approval of its stockholders of an</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Company’s Restated and Amended Articles of Incorporation (the “</w:t>
      </w:r>
      <w:r>
        <w:rPr>
          <w:rFonts w:ascii="Arial" w:cs="Arial" w:eastAsia="Arial" w:hAnsi="Arial"/>
          <w:sz w:val="16"/>
          <w:szCs w:val="16"/>
          <w:i w:val="1"/>
          <w:iCs w:val="1"/>
          <w:color w:val="auto"/>
        </w:rPr>
        <w:t>Articles of Incorporation</w:t>
      </w:r>
      <w:r>
        <w:rPr>
          <w:rFonts w:ascii="Arial" w:cs="Arial" w:eastAsia="Arial" w:hAnsi="Arial"/>
          <w:sz w:val="16"/>
          <w:szCs w:val="16"/>
          <w:color w:val="auto"/>
        </w:rPr>
        <w:t>”) to increase the number of authorized shares of Common Stock to a total of 325 million shares (the “</w:t>
      </w:r>
      <w:r>
        <w:rPr>
          <w:rFonts w:ascii="Arial" w:cs="Arial" w:eastAsia="Arial" w:hAnsi="Arial"/>
          <w:sz w:val="16"/>
          <w:szCs w:val="16"/>
          <w:i w:val="1"/>
          <w:iCs w:val="1"/>
          <w:color w:val="auto"/>
        </w:rPr>
        <w:t>Charter Amendment</w:t>
      </w:r>
      <w:r>
        <w:rPr>
          <w:rFonts w:ascii="Arial" w:cs="Arial" w:eastAsia="Arial" w:hAnsi="Arial"/>
          <w:sz w:val="16"/>
          <w:szCs w:val="16"/>
          <w:color w:val="auto"/>
        </w:rPr>
        <w:t xml:space="preserve">”) and such Charter Amendment is effective;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holders of Series D Preferred Stock will be prohibited, subject to certain exceptions, from converting such shares of Series D Preferred Stock into shares of Common Stock if, as a result of such conversion, the holder, together with its affiliates, would own more than 9.99% of the total number of shares of Common Stock then issued and outstanding, which percentage may be changed at the holder’s election to a lower percentage at any time or to a higher percentage not to exceed 19.99% upon 61 days’ notice to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w:t>
      </w:r>
    </w:p>
    <w:p>
      <w:pPr>
        <w:spacing w:after="0" w:line="15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Prior to approval and effectiveness of the Charter Amendment, each holder of shares of Series D Preferred Stock is entitled to receive, in preference to any distributions of any of the assets or surplus funds of the Company to the holders of Common Stock and any of the Company’s securities that by their terms are junior to the Series D Preferred Stock and pari passu with any distribution to the holders of any securities having (by their terms) parity with the Series D Preferred Stock, an amount equal to $0.001 per share of Series D Preferred Stock, plus an additional amount equal to any dividends declared but unpaid on such shares, before any payments shall be made or any assets distributed to holders of any class of Common Stock or any of the Company’s securities that by their terms are junior to the Series D Preferred Stock. If, upon any such liquidation, dissolution or winding up of the Company, the assets of the Company shall be insufficient to pay the holders of shares of the Series D Preferred Stock the amount required under the preceding sentence, then all remaining assets of the Company shall be distributed ratably to holders of the shares of the Series D Preferred Stock and any securities having (by their terms) parity with the Series D Preferred Stock. After such preferential payment, each holder of shares of Series D Preferred Stock shall be entitled to participate pari passu with the holders of Common Stock (on an as-converted basis, without regard to the 9.99% beneficial ownership limitation) and any securities having (by their terms) parity with the Series D Preferred Stock, including the Series A Convertible Preferred Stock, the Series B 10% Convertible Preferred Stock and the Series C Convertible Preferred Stock, in the remaining distribution of the net assets of the Company available for distribution.</w:t>
      </w:r>
    </w:p>
    <w:p>
      <w:pPr>
        <w:spacing w:after="0" w:line="110" w:lineRule="exact"/>
        <w:rPr>
          <w:sz w:val="20"/>
          <w:szCs w:val="20"/>
          <w:color w:val="auto"/>
        </w:rPr>
      </w:pPr>
    </w:p>
    <w:p>
      <w:pPr>
        <w:ind w:right="980" w:firstLine="648"/>
        <w:spacing w:after="0" w:line="422" w:lineRule="auto"/>
        <w:rPr>
          <w:sz w:val="20"/>
          <w:szCs w:val="20"/>
          <w:color w:val="auto"/>
        </w:rPr>
      </w:pPr>
      <w:r>
        <w:rPr>
          <w:rFonts w:ascii="Arial" w:cs="Arial" w:eastAsia="Arial" w:hAnsi="Arial"/>
          <w:sz w:val="18"/>
          <w:szCs w:val="18"/>
          <w:color w:val="auto"/>
        </w:rPr>
        <w:t xml:space="preserve">On and after the approval and effectiveness of the Charter Amendment, the Series D Preferred Stock will have no liquidation preference. </w:t>
      </w:r>
      <w:r>
        <w:rPr>
          <w:rFonts w:ascii="Arial" w:cs="Arial" w:eastAsia="Arial" w:hAnsi="Arial"/>
          <w:sz w:val="18"/>
          <w:szCs w:val="18"/>
          <w:i w:val="1"/>
          <w:iCs w:val="1"/>
          <w:color w:val="auto"/>
        </w:rPr>
        <w:t>Voting Rights</w:t>
      </w:r>
    </w:p>
    <w:p>
      <w:pPr>
        <w:spacing w:after="0" w:line="1" w:lineRule="exact"/>
        <w:rPr>
          <w:sz w:val="20"/>
          <w:szCs w:val="20"/>
          <w:color w:val="auto"/>
        </w:rPr>
      </w:pPr>
    </w:p>
    <w:p>
      <w:pPr>
        <w:ind w:right="20" w:firstLine="648"/>
        <w:spacing w:after="0" w:line="310" w:lineRule="auto"/>
        <w:rPr>
          <w:sz w:val="20"/>
          <w:szCs w:val="20"/>
          <w:color w:val="auto"/>
        </w:rPr>
      </w:pPr>
      <w:r>
        <w:rPr>
          <w:rFonts w:ascii="Arial" w:cs="Arial" w:eastAsia="Arial" w:hAnsi="Arial"/>
          <w:sz w:val="15"/>
          <w:szCs w:val="15"/>
          <w:color w:val="auto"/>
        </w:rPr>
        <w:t>Prior to the date of the Charter Amendment, holders of shares of the Series D Preferred Stock will have one vote per share of Series D Preferred Stock and will vote as a single class with the shares of Common Stock. On and after the date of the Charter Amendment, the Series D Preferred Stock will generally have no voting rights. However, so long as shares of Series D Preferred Stock remain outstanding, the affirmative vote of holders of a majority of the then-outstanding shares of Series D Preferred Stock will be required before the Company can: (a) amend, alter, modify or repeal (whether by merger, consolidation or otherwise) the Certificate of Designation, the Articles of Incorporation or the Company’s Second Amended and Restated Bylaws in any manner that adversely affects the rights, preferences, privileges or the restrictions provided for the benefit of, the Series D Preferred Stock; (b) issue further shares of Series D Preferred Stock or increase or decrease (other than by conversion) the number of authorized shares of Series D Preferred Stock; or (c) enter into any agreement to do any of the foregoing that is not expressly made conditional on obtaining the affirmative vote or written consent of the requisite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Dividends</w:t>
      </w:r>
    </w:p>
    <w:p>
      <w:pPr>
        <w:spacing w:after="0" w:line="158"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Shares of the Series D Preferred Stock are entitled to receive any dividends payable to holders of Common Stock on an as-converted-to-common-stock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158" w:lineRule="exact"/>
        <w:rPr>
          <w:sz w:val="20"/>
          <w:szCs w:val="20"/>
          <w:color w:val="auto"/>
        </w:rPr>
      </w:pPr>
    </w:p>
    <w:p>
      <w:pPr>
        <w:ind w:right="480" w:firstLine="648"/>
        <w:spacing w:after="0" w:line="268" w:lineRule="auto"/>
        <w:rPr>
          <w:sz w:val="20"/>
          <w:szCs w:val="20"/>
          <w:color w:val="auto"/>
        </w:rPr>
      </w:pPr>
      <w:r>
        <w:rPr>
          <w:rFonts w:ascii="Arial" w:cs="Arial" w:eastAsia="Arial" w:hAnsi="Arial"/>
          <w:sz w:val="18"/>
          <w:szCs w:val="18"/>
          <w:color w:val="auto"/>
        </w:rPr>
        <w:t>The Company will not be obligated to redeem or repurchase any shares of Series D Preferred Stock. Shares of Series D Preferred Stock will not otherwise be entitled to any redemption rights or mandatory sinking fund or analogous fund provisions.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Listing</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intend to apply for listing of the Series D Preferred Stock on any securities exchange or other trading system.</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description of the Certificate of Designation and the terms of the Series D Preferred Stock does not purport to be complete and is subject to, and qualified in its entirety by, the full text of the Certificate of Designation, a copy of which is being filed as Exhibit 3.1 hereto and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64"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On December 22, 2020, the Company issued a press release announcing the closing of the Public Offering. A copy of the press release is furnished as Exhibit 99.1 to this Current Report on Form 8-K and is incorporated herein by reference into this Item 7.01.</w:t>
      </w:r>
    </w:p>
    <w:p>
      <w:pPr>
        <w:spacing w:after="0" w:line="118" w:lineRule="exact"/>
        <w:rPr>
          <w:sz w:val="20"/>
          <w:szCs w:val="20"/>
          <w:color w:val="auto"/>
        </w:rPr>
      </w:pPr>
    </w:p>
    <w:p>
      <w:pPr>
        <w:jc w:val="both"/>
        <w:ind w:right="260" w:firstLine="648"/>
        <w:spacing w:after="0" w:line="306" w:lineRule="auto"/>
        <w:rPr>
          <w:sz w:val="20"/>
          <w:szCs w:val="20"/>
          <w:color w:val="auto"/>
        </w:rPr>
      </w:pPr>
      <w:r>
        <w:rPr>
          <w:rFonts w:ascii="Arial" w:cs="Arial" w:eastAsia="Arial" w:hAnsi="Arial"/>
          <w:sz w:val="16"/>
          <w:szCs w:val="16"/>
          <w:color w:val="auto"/>
        </w:rPr>
        <w:t>The information in this Item 7.01 and Exhibit 99.1 hereto shall not be deemed “filed” for purposes of Section 18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or otherwise subject to the liabilities of that section and shall not be deemed incorporated by reference in any filing made by the Company under the Securities Act or the Exchange Act, except as set forth by specific reference in such filing.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r>
        <w:rPr>
          <w:rFonts w:ascii="Arial" w:cs="Arial" w:eastAsia="Arial" w:hAnsi="Arial"/>
          <w:sz w:val="18"/>
          <w:szCs w:val="18"/>
          <w:color w:val="auto"/>
        </w:rPr>
        <w:t>.</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On December 18, 2020, the Company issued a press release announcing the pricing of the Public Offering. A copy of the press release is attached to this Current Report on Form 8-K as Exhibit 99.2, and is incorporated herein by reference into this Item 8.01.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08"/>
        </w:trPr>
        <w:tc>
          <w:tcPr>
            <w:tcW w:w="114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1.1</w:t>
              </w:r>
            </w:hyperlink>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5"/>
              </w:rPr>
              <w:t>Underwriting Agreement, dated December 18, 2020, by and among VistaGen Therapeutics, Inc., Jefferies LLC and William Blair &amp;</w:t>
            </w:r>
          </w:p>
        </w:tc>
      </w:tr>
      <w:tr>
        <w:trPr>
          <w:trHeight w:val="224"/>
        </w:trPr>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Company, L.L.C.</w:t>
            </w: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3.1</w:t>
              </w:r>
            </w:hyperlink>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Certificate of Designation of the Relative Rights and Preferences of the Series D Convertible Preferred Stock.</w:t>
            </w:r>
          </w:p>
        </w:tc>
      </w:tr>
      <w:tr>
        <w:trPr>
          <w:trHeight w:val="216"/>
        </w:trPr>
        <w:tc>
          <w:tcPr>
            <w:tcW w:w="1140" w:type="dxa"/>
            <w:vAlign w:val="bottom"/>
            <w:shd w:val="clear" w:color="auto" w:fill="CCEEFF"/>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5.1</w:t>
              </w:r>
            </w:hyperlink>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Opinion of Woodburn and Wedge.</w:t>
            </w: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23.1</w:t>
              </w:r>
            </w:hyperlink>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Consent of Woodburn and Wedge (included in Exhibit 5.1).</w:t>
            </w:r>
          </w:p>
        </w:tc>
      </w:tr>
      <w:tr>
        <w:trPr>
          <w:trHeight w:val="216"/>
        </w:trPr>
        <w:tc>
          <w:tcPr>
            <w:tcW w:w="1140" w:type="dxa"/>
            <w:vAlign w:val="bottom"/>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99.1</w:t>
              </w:r>
            </w:hyperlink>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9"/>
              </w:rPr>
              <w:t>Press Release issued by VistaGen Therapeutics, Inc. to announce closing of the Public Offering, dated December 22, 2020.</w:t>
            </w:r>
          </w:p>
        </w:tc>
      </w:tr>
      <w:tr>
        <w:trPr>
          <w:trHeight w:val="222"/>
        </w:trPr>
        <w:tc>
          <w:tcPr>
            <w:tcW w:w="114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99.2</w:t>
              </w:r>
            </w:hyperlink>
          </w:p>
        </w:tc>
        <w:tc>
          <w:tcPr>
            <w:tcW w:w="2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Press Release issued by VistaGen Therapeutics, Inc. to announce pricing of the Public Offering, dated December 18, 2020.</w:t>
            </w:r>
          </w:p>
        </w:tc>
      </w:tr>
      <w:tr>
        <w:trPr>
          <w:trHeight w:val="1081"/>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3" w:right="339" w:bottom="1440" w:gutter="0" w:footer="0" w:header="0"/>
        </w:sectPr>
      </w:pPr>
    </w:p>
    <w:bookmarkStart w:id="4" w:name="page5"/>
    <w:bookmarkEnd w:id="4"/>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280" w:val="left"/>
          <w:tab w:leader="none" w:pos="5840" w:val="left"/>
        </w:tabs>
        <w:rPr>
          <w:sz w:val="20"/>
          <w:szCs w:val="20"/>
          <w:color w:val="auto"/>
        </w:rPr>
      </w:pPr>
      <w:r>
        <w:rPr>
          <w:rFonts w:ascii="Arial" w:cs="Arial" w:eastAsia="Arial" w:hAnsi="Arial"/>
          <w:sz w:val="18"/>
          <w:szCs w:val="18"/>
          <w:color w:val="auto"/>
        </w:rPr>
        <w:t>Date: December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4201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57" w:right="8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63,000,000 Shares of Common Stock</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2,000,000 Shares of Series D Preferred Stock</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VistaGen Therapeutics, Inc.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UNDERWRITING AGREEMENT</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18,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of the several Underwriters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 WILLIAM BLAIR &amp; COMPANY,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2" w:lineRule="exact"/>
        <w:rPr>
          <w:sz w:val="20"/>
          <w:szCs w:val="20"/>
          <w:color w:val="auto"/>
        </w:rPr>
      </w:pPr>
    </w:p>
    <w:p>
      <w:pPr>
        <w:ind w:left="660"/>
        <w:spacing w:after="0"/>
        <w:rPr>
          <w:rFonts w:ascii="Arial" w:cs="Arial" w:eastAsia="Arial" w:hAnsi="Arial"/>
          <w:sz w:val="15"/>
          <w:szCs w:val="15"/>
          <w:color w:val="auto"/>
        </w:rPr>
      </w:pPr>
      <w:r>
        <w:rPr>
          <w:rFonts w:ascii="Arial" w:cs="Arial" w:eastAsia="Arial" w:hAnsi="Arial"/>
          <w:sz w:val="15"/>
          <w:szCs w:val="15"/>
          <w:color w:val="auto"/>
        </w:rPr>
        <w:t>VistaGen Therapeutics, Inc., a Nevada corporation (the “</w:t>
      </w:r>
      <w:r>
        <w:rPr>
          <w:rFonts w:ascii="Arial" w:cs="Arial" w:eastAsia="Arial" w:hAnsi="Arial"/>
          <w:sz w:val="15"/>
          <w:szCs w:val="15"/>
          <w:b w:val="1"/>
          <w:bCs w:val="1"/>
          <w:color w:val="auto"/>
        </w:rPr>
        <w:t>Company</w:t>
      </w:r>
      <w:r>
        <w:rPr>
          <w:rFonts w:ascii="Arial" w:cs="Arial" w:eastAsia="Arial" w:hAnsi="Arial"/>
          <w:sz w:val="15"/>
          <w:szCs w:val="15"/>
          <w:color w:val="auto"/>
        </w:rPr>
        <w:t xml:space="preserve">”), proposes to issue and sell to the several underwriters named in </w:t>
      </w:r>
      <w:hyperlink w:anchor="page36">
        <w:r>
          <w:rPr>
            <w:rFonts w:ascii="Arial" w:cs="Arial" w:eastAsia="Arial" w:hAnsi="Arial"/>
            <w:sz w:val="15"/>
            <w:szCs w:val="15"/>
            <w:u w:val="single" w:color="auto"/>
            <w:color w:val="0000EE"/>
          </w:rPr>
          <w:t>Schedule A</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(the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an aggregate of 63,000,000 shares of the Company’s common stock, par value $0.001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2,000,000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the Company’s Series D convertible preferred stock (the “</w:t>
      </w:r>
      <w:r>
        <w:rPr>
          <w:rFonts w:ascii="Arial" w:cs="Arial" w:eastAsia="Arial" w:hAnsi="Arial"/>
          <w:sz w:val="16"/>
          <w:szCs w:val="16"/>
          <w:b w:val="1"/>
          <w:bCs w:val="1"/>
          <w:color w:val="auto"/>
        </w:rPr>
        <w:t>Preferred Stock</w:t>
      </w:r>
      <w:r>
        <w:rPr>
          <w:rFonts w:ascii="Arial" w:cs="Arial" w:eastAsia="Arial" w:hAnsi="Arial"/>
          <w:sz w:val="16"/>
          <w:szCs w:val="16"/>
          <w:color w:val="auto"/>
        </w:rPr>
        <w:t>” and together with the Common Stock, the “</w:t>
      </w:r>
      <w:r>
        <w:rPr>
          <w:rFonts w:ascii="Arial" w:cs="Arial" w:eastAsia="Arial" w:hAnsi="Arial"/>
          <w:sz w:val="16"/>
          <w:szCs w:val="16"/>
          <w:b w:val="1"/>
          <w:bCs w:val="1"/>
          <w:color w:val="auto"/>
        </w:rPr>
        <w:t>Securities</w:t>
      </w:r>
      <w:r>
        <w:rPr>
          <w:rFonts w:ascii="Arial" w:cs="Arial" w:eastAsia="Arial" w:hAnsi="Arial"/>
          <w:sz w:val="16"/>
          <w:szCs w:val="16"/>
          <w:color w:val="auto"/>
        </w:rPr>
        <w:t>”). Jefferies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Jefferies</w:t>
      </w:r>
      <w:r>
        <w:rPr>
          <w:rFonts w:ascii="Arial" w:cs="Arial" w:eastAsia="Arial" w:hAnsi="Arial"/>
          <w:sz w:val="16"/>
          <w:szCs w:val="16"/>
          <w:color w:val="auto"/>
        </w:rPr>
        <w:t>”) and William Blair &amp; Company, L.L.C. (“</w:t>
      </w:r>
      <w:r>
        <w:rPr>
          <w:rFonts w:ascii="Arial" w:cs="Arial" w:eastAsia="Arial" w:hAnsi="Arial"/>
          <w:sz w:val="16"/>
          <w:szCs w:val="16"/>
          <w:b w:val="1"/>
          <w:bCs w:val="1"/>
          <w:color w:val="auto"/>
        </w:rPr>
        <w:t>William Blair</w:t>
      </w:r>
      <w:r>
        <w:rPr>
          <w:rFonts w:ascii="Arial" w:cs="Arial" w:eastAsia="Arial" w:hAnsi="Arial"/>
          <w:sz w:val="16"/>
          <w:szCs w:val="16"/>
          <w:color w:val="auto"/>
        </w:rPr>
        <w:t>”) agreed to act as representatives of the several Underwriters (in such capacity, the</w:t>
      </w:r>
    </w:p>
    <w:p>
      <w:pPr>
        <w:spacing w:after="0" w:line="32"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in connection with the offering and sale of the Securities. To the extent there are no additional underwriters listed on </w:t>
      </w:r>
      <w:hyperlink w:anchor="page36">
        <w:r>
          <w:rPr>
            <w:rFonts w:ascii="Arial" w:cs="Arial" w:eastAsia="Arial" w:hAnsi="Arial"/>
            <w:sz w:val="16"/>
            <w:szCs w:val="16"/>
            <w:u w:val="single" w:color="auto"/>
            <w:color w:val="0000EE"/>
          </w:rPr>
          <w:t>Schedule A</w:t>
        </w:r>
      </w:hyperlink>
      <w:r>
        <w:rPr>
          <w:rFonts w:ascii="Arial" w:cs="Arial" w:eastAsia="Arial" w:hAnsi="Arial"/>
          <w:sz w:val="16"/>
          <w:szCs w:val="16"/>
          <w:color w:val="auto"/>
        </w:rPr>
        <w:t>,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as used herein shall mean you, as Underwriters, and the term “Underwriters” shall mean either the singular or the plural, as the context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151"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 xml:space="preserve">Each share of the Preferred Stock shall be initially convertible into 23 shares of Common Stock at any time at the option of the holder,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Preferred Stock shall not be convertible prior to the date on which the Company has received approval by its stockholders to increase the total authorized shares of Common Stock by at least the amount necessary to reserve Common Stock sufficient to satisfy the Company’s conversion obligations in respect of the Preferred Stock,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holder will be prohibited, subject to certain exceptions, from converting the Preferred Stock into shares of Common Stock if, as a result of such conversion, the holder, together with its affiliates and other attribution parties, would own more than 9.99% of the total number of shares of the Company’s Common Stock then issued and outstanding, which percentage may be changed at the holder’s election to a lower percentage at any time or a higher percentage not to exceed 19.99% upon 61 days’ notice to the Company.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right="120" w:firstLine="648"/>
        <w:spacing w:after="0" w:line="284" w:lineRule="auto"/>
        <w:rPr>
          <w:sz w:val="20"/>
          <w:szCs w:val="20"/>
          <w:color w:val="auto"/>
        </w:rPr>
      </w:pPr>
      <w:r>
        <w:rPr>
          <w:rFonts w:ascii="Arial" w:cs="Arial" w:eastAsia="Arial" w:hAnsi="Arial"/>
          <w:sz w:val="16"/>
          <w:szCs w:val="16"/>
          <w:color w:val="auto"/>
        </w:rPr>
        <w:t>The Company has prepared and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shelf registration statement on Form S-3, File No. 333-234025, including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to be used in connection with the public offering and sale of the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all documents incorporated or deemed to be incorporated by reference therein and any information deemed to be a part thereof at the time of effectiveness pursuant to</w:t>
      </w:r>
    </w:p>
    <w:p>
      <w:pPr>
        <w:spacing w:after="0" w:line="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Rule 430A or 430B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 registration statement filed by the Company pursuant to Rule 462(b) under the Securities Act in connection with the offer and sale of the Securities is called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and from and after the date and time of filing of any such Rule 462(b) Registration Statement the term “Registration Statement” shall include the Rule 462(b) Registration Statement. The preliminary prospectus supplement dated December 17, 2020 describing the Securities and the offering thereof (the “</w:t>
      </w:r>
      <w:r>
        <w:rPr>
          <w:rFonts w:ascii="Arial" w:cs="Arial" w:eastAsia="Arial" w:hAnsi="Arial"/>
          <w:sz w:val="16"/>
          <w:szCs w:val="16"/>
          <w:b w:val="1"/>
          <w:bCs w:val="1"/>
          <w:color w:val="auto"/>
        </w:rPr>
        <w:t>Preliminary Prospectus Supplement</w:t>
      </w:r>
      <w:r>
        <w:rPr>
          <w:rFonts w:ascii="Arial" w:cs="Arial" w:eastAsia="Arial" w:hAnsi="Arial"/>
          <w:sz w:val="16"/>
          <w:szCs w:val="16"/>
          <w:color w:val="auto"/>
        </w:rPr>
        <w:t>”), together with the Base Prospectus,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supplement to the Base Prospectus in preliminary form that describes the Securities and the offering thereof and is used prior to the filing of the Prospectus (as defined below), together with the Base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mean the final prospectus supplement to the Base Prospectus that describes the Securities and the offering thereof (the “</w:t>
      </w:r>
      <w:r>
        <w:rPr>
          <w:rFonts w:ascii="Arial" w:cs="Arial" w:eastAsia="Arial" w:hAnsi="Arial"/>
          <w:sz w:val="16"/>
          <w:szCs w:val="16"/>
          <w:b w:val="1"/>
          <w:bCs w:val="1"/>
          <w:color w:val="auto"/>
        </w:rPr>
        <w:t>Final Prospectus Supplement</w:t>
      </w:r>
      <w:r>
        <w:rPr>
          <w:rFonts w:ascii="Arial" w:cs="Arial" w:eastAsia="Arial" w:hAnsi="Arial"/>
          <w:sz w:val="16"/>
          <w:szCs w:val="16"/>
          <w:color w:val="auto"/>
        </w:rPr>
        <w:t>”), together with the Base Prospectus, in the form first used by the Underwriters to confirm sales of the Securities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is 8:00 a.m. (New York City time) on December 18, 2020. As used herein,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w:t>
      </w:r>
      <w:r>
        <w:rPr>
          <w:rFonts w:ascii="Arial" w:cs="Arial" w:eastAsia="Arial" w:hAnsi="Arial"/>
          <w:sz w:val="16"/>
          <w:szCs w:val="16"/>
          <w:color w:val="auto"/>
        </w:rPr>
        <w:t xml:space="preserve"> </w:t>
      </w:r>
      <w:r>
        <w:rPr>
          <w:rFonts w:ascii="Arial" w:cs="Arial" w:eastAsia="Arial" w:hAnsi="Arial"/>
          <w:sz w:val="16"/>
          <w:szCs w:val="16"/>
          <w:b w:val="1"/>
          <w:bCs w:val="1"/>
          <w:color w:val="auto"/>
        </w:rPr>
        <w:t>Sale Prospectus</w:t>
      </w:r>
      <w:r>
        <w:rPr>
          <w:rFonts w:ascii="Arial" w:cs="Arial" w:eastAsia="Arial" w:hAnsi="Arial"/>
          <w:sz w:val="16"/>
          <w:szCs w:val="16"/>
          <w:color w:val="auto"/>
        </w:rPr>
        <w:t>” means the Preliminary Prospectus, as amended or supplemented immediately prior to the Applicable Time, together with the free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xml:space="preserve"> means a “road show” (as defined in Rule 433 under the Securities Act) relating to the offering of the Securities contemplated hereby that is a “written communication” (as defined in Rule 405 under the Securities Act). As used herein, “</w:t>
      </w:r>
      <w:r>
        <w:rPr>
          <w:rFonts w:ascii="Arial" w:cs="Arial" w:eastAsia="Arial" w:hAnsi="Arial"/>
          <w:sz w:val="16"/>
          <w:szCs w:val="16"/>
          <w:b w:val="1"/>
          <w:bCs w:val="1"/>
          <w:color w:val="auto"/>
        </w:rPr>
        <w:t>Rule 163B Written Communication</w:t>
      </w:r>
      <w:r>
        <w:rPr>
          <w:rFonts w:ascii="Arial" w:cs="Arial" w:eastAsia="Arial" w:hAnsi="Arial"/>
          <w:sz w:val="16"/>
          <w:szCs w:val="16"/>
          <w:color w:val="auto"/>
        </w:rPr>
        <w:t>” means each written communication (within the meaning of Rule 405 under the Securities Act) that is made in reliance on Rule 163B under the Securities Act by the Company or any person authorized to act on behalf of the Company to one or more potential investors that are, or are reasonably believed to be,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or are reasonably believed to be,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of the Securities; “</w:t>
      </w:r>
      <w:r>
        <w:rPr>
          <w:rFonts w:ascii="Arial" w:cs="Arial" w:eastAsia="Arial" w:hAnsi="Arial"/>
          <w:sz w:val="16"/>
          <w:szCs w:val="16"/>
          <w:b w:val="1"/>
          <w:bCs w:val="1"/>
          <w:color w:val="auto"/>
        </w:rPr>
        <w:t>Rule 163B Oral Communication</w:t>
      </w:r>
      <w:r>
        <w:rPr>
          <w:rFonts w:ascii="Arial" w:cs="Arial" w:eastAsia="Arial" w:hAnsi="Arial"/>
          <w:sz w:val="16"/>
          <w:szCs w:val="16"/>
          <w:color w:val="auto"/>
        </w:rPr>
        <w:t>” means each oral communication, if any, made in reliance on Rule 163B under the Securities Act by the Company or any person authorized to act on behalf of the Company made to one or more QIBs and/or one or more IAIs to determine whether such investors might have an interest in the offering of the Securities;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of the Securities, including any roadshow or investor presentations made to investors by the Company (whether in person or electronically); and “</w:t>
      </w:r>
      <w:r>
        <w:rPr>
          <w:rFonts w:ascii="Arial" w:cs="Arial" w:eastAsia="Arial" w:hAnsi="Arial"/>
          <w:sz w:val="16"/>
          <w:szCs w:val="16"/>
          <w:b w:val="1"/>
          <w:bCs w:val="1"/>
          <w:color w:val="auto"/>
        </w:rPr>
        <w:t>Permitted Rule 163B Communication</w:t>
      </w:r>
      <w:r>
        <w:rPr>
          <w:rFonts w:ascii="Arial" w:cs="Arial" w:eastAsia="Arial" w:hAnsi="Arial"/>
          <w:sz w:val="16"/>
          <w:szCs w:val="16"/>
          <w:color w:val="auto"/>
        </w:rPr>
        <w:t>” means the Rule 163B Written Communication(s) and Marketing Materials listed on Schedule C attached hereto.</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references in this Agreement to the Registration Statement, the Preliminary Prospectus, any preliminary prospectus, the Base Prospectus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Prospectus shall include the documents incorporated or deemed to be incorporated by reference therein. All references in this Agreement to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and schedules and other information which are “contained,” “included” or “stated” in, or “part of” the Registration Statement, the Rule 462(b)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the Preliminary Prospectus, any preliminary prospectus, the Base Prospectus, the Time of Sale Prospectus or the Prospectus, and all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other references of like import, shall be deemed to mean and include all such financial statements and schedules and other information which is or is deemed to</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be incorporated by reference in the Registration Statement, the Rule 462(b) Registration Statement, the Preliminary Prospectus, any preliminary prospectus,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Base Prospectus, the Time of Sale Prospectus or the Prospectus, as the case may be. All references in this Agreement to amendments or supplements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the Preliminary Prospectus, any preliminary prospectus, the Base Prospectus, the Time of Sale Prospectus or the Prospectus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to mean and include the filing of any document under the Securities Exchange Act of 1934, as amended, and the rules and regulations promulgated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that is or is deemed to be incorporated by reference in the Registration Statement, the Preliminary Prospectus,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any preliminary prospectus, the Base Prospectus, or the Prospectus, as the case may be. All references in this Agreement to (i) the Registration Statement,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Preliminary Prospectus, any preliminary prospectus, the Base Prospectus or the Prospectus, any amendments or supplements to any of the foregoing,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free writing prospectus, shall include any copy thereof filed with the Commission pursuant to its Electronic Data Gathering, Analysis and Retrieval System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EDGAR</w:t>
      </w:r>
      <w:r>
        <w:rPr>
          <w:rFonts w:ascii="Arial" w:cs="Arial" w:eastAsia="Arial" w:hAnsi="Arial"/>
          <w:sz w:val="16"/>
          <w:szCs w:val="16"/>
          <w:color w:val="auto"/>
        </w:rPr>
        <w:t>”) and (ii) the Prospectus shall be deemed to include any “electronic Prospectus” provided for use in connection with the offering of the Securities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contemplated by Section 3(n) of this Agreement.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179"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Representations and Warranties.</w:t>
      </w:r>
    </w:p>
    <w:p>
      <w:pPr>
        <w:spacing w:after="0" w:line="164"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The Company hereby represents, warrants and covenants to each Underwriter, as of the date of this Agreement, as of the Closing Date (as hereinafter defined), as follows:</w:t>
      </w:r>
    </w:p>
    <w:p>
      <w:pPr>
        <w:spacing w:after="0" w:line="139" w:lineRule="exact"/>
        <w:rPr>
          <w:sz w:val="20"/>
          <w:szCs w:val="20"/>
          <w:color w:val="auto"/>
        </w:rPr>
      </w:pPr>
    </w:p>
    <w:p>
      <w:pPr>
        <w:ind w:right="100" w:firstLine="656"/>
        <w:spacing w:after="0" w:line="288" w:lineRule="auto"/>
        <w:tabs>
          <w:tab w:leader="none" w:pos="106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Registration Requirements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Registration Statement has become effective under the Securities Act. The Company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At the time the Company’s Annual Report on Form 10-K for the fiscal year ended March 31, 2020 (the “</w:t>
      </w:r>
      <w:r>
        <w:rPr>
          <w:rFonts w:ascii="Arial" w:cs="Arial" w:eastAsia="Arial" w:hAnsi="Arial"/>
          <w:sz w:val="16"/>
          <w:szCs w:val="16"/>
          <w:b w:val="1"/>
          <w:bCs w:val="1"/>
          <w:color w:val="auto"/>
        </w:rPr>
        <w:t>Annual Report</w:t>
      </w:r>
      <w:r>
        <w:rPr>
          <w:rFonts w:ascii="Arial" w:cs="Arial" w:eastAsia="Arial" w:hAnsi="Arial"/>
          <w:sz w:val="16"/>
          <w:szCs w:val="16"/>
          <w:color w:val="auto"/>
        </w:rPr>
        <w:t>”) was filed with the Commission, or, if later, at the time the Registration Statement was originally filed with the Commission, the Company met the then-applicable requirements for use of Form S-3 under the Securities Act. The Company meets the requirements for use of Form S-3 under the Securities Act.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132" w:lineRule="exact"/>
        <w:rPr>
          <w:rFonts w:ascii="Arial" w:cs="Arial" w:eastAsia="Arial" w:hAnsi="Arial"/>
          <w:sz w:val="16"/>
          <w:szCs w:val="16"/>
          <w:b w:val="1"/>
          <w:bCs w:val="1"/>
          <w:color w:val="auto"/>
        </w:rPr>
      </w:pPr>
    </w:p>
    <w:p>
      <w:pPr>
        <w:ind w:firstLine="656"/>
        <w:spacing w:after="0" w:line="285" w:lineRule="auto"/>
        <w:tabs>
          <w:tab w:leader="none" w:pos="1078"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Disclosure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preliminary prospectus and the Prospectus when filed complied, in all material respects, with the Securities Act and, if filed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electronic transmission pursuant to EDGAR, was identical (except as may be permitted by Regulation S-T under the Securities Act) to the copy thereof delivered to the Underwriters for use in connection with the offer and sale of the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Closing Date (as defined in </w:t>
      </w:r>
      <w:hyperlink w:anchor="page19">
        <w:r>
          <w:rPr>
            <w:rFonts w:ascii="Arial" w:cs="Arial" w:eastAsia="Arial" w:hAnsi="Arial"/>
            <w:sz w:val="16"/>
            <w:szCs w:val="16"/>
            <w:u w:val="single" w:color="auto"/>
            <w:color w:val="0000EE"/>
          </w:rPr>
          <w:t>Section 2</w:t>
        </w:r>
      </w:hyperlink>
      <w:r>
        <w:rPr>
          <w:rFonts w:ascii="Arial" w:cs="Arial" w:eastAsia="Arial" w:hAnsi="Arial"/>
          <w:sz w:val="16"/>
          <w:szCs w:val="16"/>
          <w:color w:val="auto"/>
        </w:rPr>
        <w:t xml:space="preserve">), will not, contain any untrue statement of a material fact or omit to state a material fact necessary to make the statements therein, in the light of the circumstances under which they were made, not misleading. The Prospectus, as of its date, did not, and at the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w:t>
      </w:r>
      <w:hyperlink w:anchor="page28">
        <w:r>
          <w:rPr>
            <w:rFonts w:ascii="Arial" w:cs="Arial" w:eastAsia="Arial" w:hAnsi="Arial"/>
            <w:sz w:val="16"/>
            <w:szCs w:val="16"/>
            <w:u w:val="single" w:color="auto"/>
            <w:color w:val="0000EE"/>
          </w:rPr>
          <w:t>Section 9(b)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below. There are no contracts or other documents required to be described in the Time of Sale Prospectus or the Prospectus or to be filed as an exhibit to the Registration Statement which have not been described or filed as required.</w:t>
      </w:r>
    </w:p>
    <w:p>
      <w:pPr>
        <w:spacing w:after="0" w:line="138" w:lineRule="exact"/>
        <w:rPr>
          <w:rFonts w:ascii="Arial" w:cs="Arial" w:eastAsia="Arial" w:hAnsi="Arial"/>
          <w:sz w:val="16"/>
          <w:szCs w:val="16"/>
          <w:color w:val="auto"/>
        </w:rPr>
      </w:pPr>
    </w:p>
    <w:p>
      <w:pPr>
        <w:ind w:right="20" w:firstLine="656"/>
        <w:spacing w:after="0" w:line="286" w:lineRule="auto"/>
        <w:tabs>
          <w:tab w:leader="none" w:pos="105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Free Writing Prospectuses; Road Show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determination date referenced in Rule 164(h) under the Securities Act, the Company was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is not or will not be (as applicable) an “ineligible issuer” in connection with the offering of the Securities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Securities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and electronic road shows, if any, furnished to you before first use, the Company has not prepared, used or referred to, and will not, without your prior written consent, which consent shall not be unreasonably withheld,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200" w:lineRule="exact"/>
        <w:rPr>
          <w:rFonts w:ascii="Arial" w:cs="Arial" w:eastAsia="Arial" w:hAnsi="Arial"/>
          <w:sz w:val="16"/>
          <w:szCs w:val="16"/>
          <w:b w:val="1"/>
          <w:bCs w:val="1"/>
          <w:color w:val="auto"/>
        </w:rPr>
      </w:pPr>
    </w:p>
    <w:p>
      <w:pPr>
        <w:spacing w:after="0" w:line="341"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 w:name="page9"/>
    <w:bookmarkEnd w:id="8"/>
    <w:p>
      <w:pPr>
        <w:ind w:left="-20" w:right="100" w:firstLine="656"/>
        <w:spacing w:after="0" w:line="301" w:lineRule="auto"/>
        <w:tabs>
          <w:tab w:leader="none" w:pos="105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Distribution of Offering Material By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completion of the Underwriters’ distribution of the Securities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has not distributed and will not distribute any offering material in connection with the offering and sale of the Securities other than the Registration Statement, the Time of Sale Prospectus, the Prospectus or any free writing prospectus reviewed and consented to by the Representatives, which consent shall not be unreasonably withheld, the free writing prospectuses, if any, identified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and any Permitted Rule 163B Communications.</w:t>
      </w:r>
    </w:p>
    <w:p>
      <w:pPr>
        <w:spacing w:after="0" w:line="116" w:lineRule="exact"/>
        <w:rPr>
          <w:rFonts w:ascii="Arial" w:cs="Arial" w:eastAsia="Arial" w:hAnsi="Arial"/>
          <w:sz w:val="16"/>
          <w:szCs w:val="16"/>
          <w:b w:val="1"/>
          <w:bCs w:val="1"/>
          <w:color w:val="auto"/>
        </w:rPr>
      </w:pPr>
    </w:p>
    <w:p>
      <w:pPr>
        <w:ind w:left="1040" w:hanging="404"/>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184" w:lineRule="exact"/>
        <w:rPr>
          <w:rFonts w:ascii="Arial" w:cs="Arial" w:eastAsia="Arial" w:hAnsi="Arial"/>
          <w:sz w:val="18"/>
          <w:szCs w:val="18"/>
          <w:b w:val="1"/>
          <w:bCs w:val="1"/>
          <w:color w:val="auto"/>
        </w:rPr>
      </w:pPr>
    </w:p>
    <w:p>
      <w:pPr>
        <w:ind w:left="-20" w:firstLine="656"/>
        <w:spacing w:after="0" w:line="301" w:lineRule="auto"/>
        <w:tabs>
          <w:tab w:leader="none" w:pos="101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Authorization of the Common Stock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shares of Common Stock have been duly authorized by the Company for issuance and sale pursuant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this Agreement and, when issued and delivered by the Company against payment for the shares of Common Stock included in the Securities pursuant to this Agreement, will be validly issued, fully paid and nonassessable, and the issuance and sale of the shares of Common Stock will not be subject to any preemptive rights, rights of first refusal or other similar rights to subscribe for or purchase the shares of Common Stock.</w:t>
      </w:r>
    </w:p>
    <w:p>
      <w:pPr>
        <w:spacing w:after="0" w:line="116" w:lineRule="exact"/>
        <w:rPr>
          <w:rFonts w:ascii="Arial" w:cs="Arial" w:eastAsia="Arial" w:hAnsi="Arial"/>
          <w:sz w:val="16"/>
          <w:szCs w:val="16"/>
          <w:b w:val="1"/>
          <w:bCs w:val="1"/>
          <w:color w:val="auto"/>
        </w:rPr>
      </w:pPr>
    </w:p>
    <w:p>
      <w:pPr>
        <w:ind w:left="-20" w:right="80" w:firstLine="656"/>
        <w:spacing w:after="0" w:line="258" w:lineRule="auto"/>
        <w:tabs>
          <w:tab w:leader="none" w:pos="104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Preferred Stock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of Preferred Stock have been duly authorized by the Company for issuance and sale pursuant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this Agreement and, when issued and delivered by the Company against payment for the shares of Preferred Stock pursuant to this Agreement, will be validly issued, fully paid and nonassessable, and the issuance and sale of the shares of Preferred Stock will not subject to any preemptive rights, rights of first refusal or other similar rights to subscribe for or purchase the Preferred Stock.</w:t>
      </w:r>
    </w:p>
    <w:p>
      <w:pPr>
        <w:spacing w:after="0" w:line="149" w:lineRule="exact"/>
        <w:rPr>
          <w:rFonts w:ascii="Arial" w:cs="Arial" w:eastAsia="Arial" w:hAnsi="Arial"/>
          <w:sz w:val="18"/>
          <w:szCs w:val="18"/>
          <w:b w:val="1"/>
          <w:bCs w:val="1"/>
          <w:color w:val="auto"/>
        </w:rPr>
      </w:pPr>
    </w:p>
    <w:p>
      <w:pPr>
        <w:ind w:left="-20" w:right="200" w:firstLine="656"/>
        <w:spacing w:after="0" w:line="287" w:lineRule="auto"/>
        <w:tabs>
          <w:tab w:leader="none" w:pos="105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Authorization of the Common Stock Issuable Upon Conversion of the Preferred Stock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shares of Common Stock issuable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conversion of the Preferred Stock will be duly authorized by the Company and reserved for issuance upon conversion thereof upon the Company’s receiving the requisite approval from the holders of its voting securities (the “</w:t>
      </w:r>
      <w:r>
        <w:rPr>
          <w:rFonts w:ascii="Arial" w:cs="Arial" w:eastAsia="Arial" w:hAnsi="Arial"/>
          <w:sz w:val="16"/>
          <w:szCs w:val="16"/>
          <w:b w:val="1"/>
          <w:bCs w:val="1"/>
          <w:color w:val="auto"/>
        </w:rPr>
        <w:t>Required Stockholder Approval</w:t>
      </w:r>
      <w:r>
        <w:rPr>
          <w:rFonts w:ascii="Arial" w:cs="Arial" w:eastAsia="Arial" w:hAnsi="Arial"/>
          <w:sz w:val="16"/>
          <w:szCs w:val="16"/>
          <w:color w:val="auto"/>
        </w:rPr>
        <w:t>”) to amend the Company’s Restated and Amended Articles of Incorporation (the “</w:t>
      </w:r>
      <w:r>
        <w:rPr>
          <w:rFonts w:ascii="Arial" w:cs="Arial" w:eastAsia="Arial" w:hAnsi="Arial"/>
          <w:sz w:val="16"/>
          <w:szCs w:val="16"/>
          <w:b w:val="1"/>
          <w:bCs w:val="1"/>
          <w:color w:val="auto"/>
        </w:rPr>
        <w:t>Articles of Incorporation</w:t>
      </w:r>
      <w:r>
        <w:rPr>
          <w:rFonts w:ascii="Arial" w:cs="Arial" w:eastAsia="Arial" w:hAnsi="Arial"/>
          <w:sz w:val="16"/>
          <w:szCs w:val="16"/>
          <w:color w:val="auto"/>
        </w:rPr>
        <w:t>”) to increase the number of authorized and unissued shares of Common Stock by an amount sufficient for the Company to deliver shares of Common Stock upon conversion of each share of Preferred Stock in accordance with the provisions of the Certificate of Designations for the Preferred Stock (the “</w:t>
      </w:r>
      <w:r>
        <w:rPr>
          <w:rFonts w:ascii="Arial" w:cs="Arial" w:eastAsia="Arial" w:hAnsi="Arial"/>
          <w:sz w:val="16"/>
          <w:szCs w:val="16"/>
          <w:b w:val="1"/>
          <w:bCs w:val="1"/>
          <w:color w:val="auto"/>
        </w:rPr>
        <w:t>Certificate of Designations</w:t>
      </w:r>
      <w:r>
        <w:rPr>
          <w:rFonts w:ascii="Arial" w:cs="Arial" w:eastAsia="Arial" w:hAnsi="Arial"/>
          <w:sz w:val="16"/>
          <w:szCs w:val="16"/>
          <w:color w:val="auto"/>
        </w:rPr>
        <w:t>”) and, assuming that the Required Stockholder Approval has been obtained, when such shares of Common Stock are issued and delivered by the Company in accordance with the provisions of the Certificate of Designations, such shares of Common Stock will be validly issued, fully paid and non-assessable, and the issuance of such shares of Common Stock will not be subject to any preemptive rights, rights of first refusal or other similar rights. The Company has, to the fullest extent permitted under the Articles of Incorporation (and subject to the Required Stockholder Approval), reserved from its duly authorized capital stock the maximum number of shares of Common Stock issuable pursuant to this Agreement and the Certificate of Designations, subject to the Required Stockholder Approval with respect to the shares of Common Stock issuable upon conversion of the Preferred Stock.</w:t>
      </w:r>
    </w:p>
    <w:p>
      <w:pPr>
        <w:spacing w:after="0" w:line="127" w:lineRule="exact"/>
        <w:rPr>
          <w:rFonts w:ascii="Arial" w:cs="Arial" w:eastAsia="Arial" w:hAnsi="Arial"/>
          <w:sz w:val="16"/>
          <w:szCs w:val="16"/>
          <w:b w:val="1"/>
          <w:bCs w:val="1"/>
          <w:color w:val="auto"/>
        </w:rPr>
      </w:pPr>
    </w:p>
    <w:p>
      <w:pPr>
        <w:ind w:left="-20" w:right="140" w:firstLine="656"/>
        <w:spacing w:after="0" w:line="262" w:lineRule="auto"/>
        <w:tabs>
          <w:tab w:leader="none" w:pos="101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 except for such rights as have been duly waived.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9" w:name="page10"/>
    <w:bookmarkEnd w:id="9"/>
    <w:p>
      <w:pPr>
        <w:ind w:left="-20" w:right="40" w:firstLine="656"/>
        <w:spacing w:after="0" w:line="286" w:lineRule="auto"/>
        <w:tabs>
          <w:tab w:leader="none" w:pos="101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Adverse Change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otherwise disclosed in the Registration Statement, the Time of Sale Prospectus and the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to the respective dates as of which information is given in the Registration Statement, the Time of Sale Prospectus and the Prospectus: (i) there has been no material adverse change, or any development that could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30" w:lineRule="exact"/>
        <w:rPr>
          <w:rFonts w:ascii="Arial" w:cs="Arial" w:eastAsia="Arial" w:hAnsi="Arial"/>
          <w:sz w:val="16"/>
          <w:szCs w:val="16"/>
          <w:b w:val="1"/>
          <w:bCs w:val="1"/>
          <w:color w:val="auto"/>
        </w:rPr>
      </w:pPr>
    </w:p>
    <w:p>
      <w:pPr>
        <w:ind w:left="-20" w:firstLine="656"/>
        <w:spacing w:after="0" w:line="293" w:lineRule="auto"/>
        <w:tabs>
          <w:tab w:leader="none" w:pos="105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Independent Accountants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OUM &amp; Co. LLP, which has expressed its opinion with respect to the consolidated financial statements (which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used in this Agreement includes the related notes thereto) filed with the Commission as a part of the Registration Statement, the Time of Sale Prospectus and the Prospectus, is (i) an independent registered public accounting firm as required by the Securities Act, the Exchange Act, and the rules of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23" w:lineRule="exact"/>
        <w:rPr>
          <w:rFonts w:ascii="Arial" w:cs="Arial" w:eastAsia="Arial" w:hAnsi="Arial"/>
          <w:sz w:val="16"/>
          <w:szCs w:val="16"/>
          <w:b w:val="1"/>
          <w:bCs w:val="1"/>
          <w:color w:val="auto"/>
        </w:rPr>
      </w:pPr>
    </w:p>
    <w:p>
      <w:pPr>
        <w:ind w:left="-20" w:right="100" w:firstLine="656"/>
        <w:spacing w:after="0" w:line="285" w:lineRule="auto"/>
        <w:tabs>
          <w:tab w:leader="none" w:pos="101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filed with the Commission as a part of the Registration Statement, the Time of Sale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Prospectus present fairly, in all material respects, the consolidated financial position of the Company and its subsidiaries as of the dates indicated and the results of their operations, changes in stockholders’ equity and cash flows for the periods specified. The supporting schedules included in the Registration Statement present fairly the information required to be stated therein. Such financial statements and supporting schedules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 “Capitalization” fairly present, in all material respects, the information set forth therein on a basis consistent with that of the audited financial statements contained in the Registration Statement, the Time of Sale Prospectus and the Prospectus. All disclosures contained in the Registration Statement, any preliminary prospectus,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0" w:name="page11"/>
    <w:bookmarkEnd w:id="10"/>
    <w:p>
      <w:pPr>
        <w:ind w:right="20" w:firstLine="656"/>
        <w:spacing w:after="0" w:line="290" w:lineRule="auto"/>
        <w:tabs>
          <w:tab w:leader="none" w:pos="112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Company’s Accounting System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each of its subsidiaries make and keep books and records that are accurate, in all material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presents the information called for in all material respects and is prepared in accordance with the Commission's rules and guidelines applicable thereto.</w:t>
      </w:r>
    </w:p>
    <w:p>
      <w:pPr>
        <w:spacing w:after="0" w:line="124" w:lineRule="exact"/>
        <w:rPr>
          <w:rFonts w:ascii="Arial" w:cs="Arial" w:eastAsia="Arial" w:hAnsi="Arial"/>
          <w:sz w:val="16"/>
          <w:szCs w:val="16"/>
          <w:b w:val="1"/>
          <w:bCs w:val="1"/>
          <w:color w:val="auto"/>
        </w:rPr>
      </w:pPr>
    </w:p>
    <w:p>
      <w:pPr>
        <w:ind w:firstLine="656"/>
        <w:spacing w:after="0" w:line="287" w:lineRule="auto"/>
        <w:tabs>
          <w:tab w:leader="none" w:pos="1078"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 Controls and Procedures; Deficiencies in or Changes to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Other than as disclosed in the Registration Statement, the Time of Sale Prospectus and the Prospectus,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(as defined in Rule 13a-15(f) under the Exchange Act).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31" w:lineRule="exact"/>
        <w:rPr>
          <w:rFonts w:ascii="Arial" w:cs="Arial" w:eastAsia="Arial" w:hAnsi="Arial"/>
          <w:sz w:val="16"/>
          <w:szCs w:val="16"/>
          <w:b w:val="1"/>
          <w:bCs w:val="1"/>
          <w:color w:val="auto"/>
        </w:rPr>
      </w:pPr>
    </w:p>
    <w:p>
      <w:pPr>
        <w:ind w:right="40" w:firstLine="656"/>
        <w:spacing w:after="0" w:line="293" w:lineRule="auto"/>
        <w:tabs>
          <w:tab w:leader="none" w:pos="1069"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Incorporation and Good Standing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been duly incorporated and is validly existing as a corporation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State of jurisdiction of its principal place of business and each other jurisdiction in which such qualification is required, whether by reason of the ownership or leasing of property or the conduct of business, except where the failure to qualify would not reasonably be expected to result in a Material Adverse Change.</w:t>
      </w:r>
    </w:p>
    <w:p>
      <w:pPr>
        <w:spacing w:after="0" w:line="123" w:lineRule="exact"/>
        <w:rPr>
          <w:rFonts w:ascii="Arial" w:cs="Arial" w:eastAsia="Arial" w:hAnsi="Arial"/>
          <w:sz w:val="16"/>
          <w:szCs w:val="16"/>
          <w:b w:val="1"/>
          <w:bCs w:val="1"/>
          <w:color w:val="auto"/>
        </w:rPr>
      </w:pPr>
    </w:p>
    <w:p>
      <w:pPr>
        <w:ind w:right="20" w:firstLine="656"/>
        <w:spacing w:after="0" w:line="286" w:lineRule="auto"/>
        <w:tabs>
          <w:tab w:leader="none" w:pos="1078"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Subsidiaries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Company’s “subsidiaries” (for purposes of this Agreement, as defined in Rule 405 under the Securities Act)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qualify would not reasonably be expected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hereto.</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ind w:left="-20" w:right="20" w:firstLine="656"/>
        <w:spacing w:after="0" w:line="287" w:lineRule="auto"/>
        <w:tabs>
          <w:tab w:leader="none" w:pos="105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Capitalization and Other Capital Stock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authorized, issued and outstanding capital stock of the Company is as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 capital of the Company conforms, in all material respects, to the description thereof contained in the Time of Sale Prospectus. All of the issued and outstanding securities of the Company have been duly authorized and validly issued, are fully paid and nonassessable and have been issued in compliance with all federal and state securities laws. None of the outstanding securities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presents, in all material respects, the information required to be shown with respect to such plans, arrangements, options and rights.</w:t>
      </w:r>
    </w:p>
    <w:p>
      <w:pPr>
        <w:spacing w:after="0" w:line="127" w:lineRule="exact"/>
        <w:rPr>
          <w:rFonts w:ascii="Arial" w:cs="Arial" w:eastAsia="Arial" w:hAnsi="Arial"/>
          <w:sz w:val="16"/>
          <w:szCs w:val="16"/>
          <w:b w:val="1"/>
          <w:bCs w:val="1"/>
          <w:color w:val="auto"/>
        </w:rPr>
      </w:pPr>
    </w:p>
    <w:p>
      <w:pPr>
        <w:ind w:left="-20" w:right="60" w:firstLine="656"/>
        <w:spacing w:after="0" w:line="293" w:lineRule="auto"/>
        <w:tabs>
          <w:tab w:leader="none" w:pos="103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Stock Exchange Listing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shares of Common Stock are registered pursuant to Section 12(b) or 12(g) of the Exchange Act and are listed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Nasdaq Capital Market (the “</w:t>
      </w:r>
      <w:r>
        <w:rPr>
          <w:rFonts w:ascii="Arial" w:cs="Arial" w:eastAsia="Arial" w:hAnsi="Arial"/>
          <w:sz w:val="16"/>
          <w:szCs w:val="16"/>
          <w:b w:val="1"/>
          <w:bCs w:val="1"/>
          <w:color w:val="auto"/>
        </w:rPr>
        <w:t>Nasdaq</w:t>
      </w:r>
      <w:r>
        <w:rPr>
          <w:rFonts w:ascii="Arial" w:cs="Arial" w:eastAsia="Arial" w:hAnsi="Arial"/>
          <w:sz w:val="16"/>
          <w:szCs w:val="16"/>
          <w:color w:val="auto"/>
        </w:rPr>
        <w:t>”), and the Company has taken no action designed to, or likely to have the effect of, terminating the registration of the shares of Common Stock under the Exchange Act or delisting the shares of Common Stock from the Nasdaq, nor, except as otherwise disclosed in the Registration Statement, the Time of Sale Prospectus and the Prospectus, has the Company received any notification that the Commission or the Nasdaq is contemplating terminating such registration or listing. Except as otherwise disclosed in the Registration Statement, the Time of Sale Prospectus and the Prospectus, to the Company’s knowledge, it is in compliance with all applicable listing requirements of Nasdaq.</w:t>
      </w:r>
    </w:p>
    <w:p>
      <w:pPr>
        <w:spacing w:after="0" w:line="123" w:lineRule="exact"/>
        <w:rPr>
          <w:rFonts w:ascii="Arial" w:cs="Arial" w:eastAsia="Arial" w:hAnsi="Arial"/>
          <w:sz w:val="16"/>
          <w:szCs w:val="16"/>
          <w:b w:val="1"/>
          <w:bCs w:val="1"/>
          <w:color w:val="auto"/>
        </w:rPr>
      </w:pPr>
    </w:p>
    <w:p>
      <w:pPr>
        <w:ind w:left="-20" w:firstLine="656"/>
        <w:spacing w:after="0" w:line="284" w:lineRule="auto"/>
        <w:tabs>
          <w:tab w:leader="none" w:pos="102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Non-Contravention of Existing Instruments; No Further Authorizations or Approvals Required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is in violation of its charter or by-laws, partnership agreement or operating agreement or similar organizational documents, as applicable, or is in default (or, with the giving of notice or lapse of time, would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would not be reasonably expected, individually or in the aggregate, to result in a Material Adverse Change. The Company’s execution, delivery and performance of this Agreement, consummation of the transactions contemplated hereby and by the Registration Statement, the Time of Sale Prospectus and the Prospectus and the issuance and sale of the Securities (including the use of proceeds from the sale of the Securities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for such conflicts, breaches or violations specified in subsection (ii) and (iii) above that would not reasonably be expected to result in a Material Adverse Change. Except as otherwise disclosed in the Registration Statement, the Time of Sale Prospectus and the Prospectus,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As used herein,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12" w:name="page13"/>
    <w:bookmarkEnd w:id="12"/>
    <w:p>
      <w:pPr>
        <w:ind w:right="160" w:firstLine="656"/>
        <w:spacing w:after="0" w:line="259" w:lineRule="auto"/>
        <w:tabs>
          <w:tab w:leader="none" w:pos="103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and its subsidiaries have been, during the past three (3) years, and are in compliance with all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laws, rules and regulations, except where failure to be so in compliance would not reasonably be expected, individually or in the aggregate, to result in a Material Adverse Change.</w:t>
      </w:r>
    </w:p>
    <w:p>
      <w:pPr>
        <w:spacing w:after="0" w:line="147" w:lineRule="exact"/>
        <w:rPr>
          <w:rFonts w:ascii="Arial" w:cs="Arial" w:eastAsia="Arial" w:hAnsi="Arial"/>
          <w:sz w:val="18"/>
          <w:szCs w:val="18"/>
          <w:b w:val="1"/>
          <w:bCs w:val="1"/>
          <w:color w:val="auto"/>
        </w:rPr>
      </w:pPr>
    </w:p>
    <w:p>
      <w:pPr>
        <w:ind w:right="160" w:firstLine="656"/>
        <w:spacing w:after="0" w:line="296" w:lineRule="auto"/>
        <w:tabs>
          <w:tab w:leader="none" w:pos="107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Actions or Proceedings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is no action, suit, proceeding, inquiry or investigation brought by or before any legal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entity now pending or, to the knowledge of the Company, threatened, against or affecting the Company or any of its subsidiaries, that would reasonably be expected, individually or in the aggregate, to result in a Material Adverse Change. No labor dispute with the employees of the Company or any of its subsidiaries, or with the employees of any principal supplier, manufacturer, customer or contractor of the Company, exists or, to the knowledge of the Company, is threatened or imminent, except as would not reasonably be expected to result in a Material Adverse Change.</w:t>
      </w:r>
    </w:p>
    <w:p>
      <w:pPr>
        <w:spacing w:after="0" w:line="120" w:lineRule="exact"/>
        <w:rPr>
          <w:rFonts w:ascii="Arial" w:cs="Arial" w:eastAsia="Arial" w:hAnsi="Arial"/>
          <w:sz w:val="16"/>
          <w:szCs w:val="16"/>
          <w:b w:val="1"/>
          <w:bCs w:val="1"/>
          <w:color w:val="auto"/>
        </w:rPr>
      </w:pPr>
    </w:p>
    <w:p>
      <w:pPr>
        <w:ind w:firstLine="656"/>
        <w:spacing w:after="0" w:line="283" w:lineRule="auto"/>
        <w:tabs>
          <w:tab w:leader="none" w:pos="106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Intellectual Property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own, or have obtained valid and enforceable licenses for, the inventions, patent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patents, trademarks, trade names, service names, copyrights, trade secrets and other intellectual property described in the Registration Statement, the Time of Sale Prospectus and the Prospectus as being owned or licensed by them or used in the conduct of their respective businesses as currently conducted or as currently proposed to be conducted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To the Company’s knowledge, the conduct of their respective businesses does not and will not infringe, misappropriate or otherwise conflict in any material respect with any intellectual property rights of others, except as would not be reasonably be expected, individually or in the aggregate, to result in a Material Adverse Change. The Intellectual Property of the Company has not been adjudged by a court of competent jurisdiction to be invalid or unenforceable, in whole or in part, and the Company is unaware of any facts which, in the Company’s opinion, would form a reasonable basis for any such adjudication. To the Company's knowledge, except as otherwise described in the Registration Statement, the Time of Sale Prospectus and the Prospectus: (i) there are no third parties who have rights to any Intellectual Property, except for customary reversionary rights of third-party licensors with respect to Intellectual Property that is disclosed in the Registration Statement, the Time of Sale Prospectus and the Prospectus as licensed to the Company or one or more of its subsidiaries; and (ii) there is no infringement by third parties of any Intellectual Property, except, for each of (i) and (ii), as would not be reasonably be expected, individually or in the aggregate, to result in a Material Adverse Change. There is no pending or, to the Company’s knowledge, threatened action, suit, proceeding or claim by third parties: (A) challenging the Company’s and its subsidiaries’ rights in or to any Intellectual Property, and the Company is unaware of any facts which, in the Company’s opinion, would form a reasonable basis for any such action, suit, proceeding or claim; (B) challenging the validity, enforceability or scope of any Intellectual Property, and the Company is unaware of any facts which, in the Company’s opinion, would form a reasonable basis for any such action, suit, proceeding or claim; or (C) asserting that the Company or any of its subsidiaries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third parties, and the Company is unaware of any facts which, in the Company’s opinion, would form a reasonable basis for any such action, suit, proceeding or claim; in each case of (A), (B) and (C), except as would not reasonably be expected to result in a Material Adverse Change. The Company and its subsidiaries have complied with the terms of each agreement pursuant to which Intellectual Property has been licensed to the Company or any subsidiary, and all such agreements are in full force and effect, except when the failure to be in compliance would not reasonably be expected to result in a Material Adverse Change. To the Company’s knowledge, there are no defects in any of the patents or patent applications included in the Intellectual Property, except as would not reasonably be expected to result in a Material Adverse Change. To the Company’s knowledge, the Company and its subsidiaries have taken all reasonable steps to protect, maintain and safeguard the Intellectual Property, including the execution of appropriate nondisclosure or confidentiality agreements and invention assignment agreements with their employees, and to the Company’s knowledge, no current employee of the Company involved in the development of Intellectual Property is in or has been in violation of any material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in each case except when the failure to be in compliance would not reasonably be expected to result in a Material Adverse Change. To the Company’s knowledge, the duty of candor and good faith as required by the United States Patent and Trademark Office during the prosecution of the United States patents and patent applications included in the Intellectual Property has been complied with in all material respects; and in all foreign offices having similar requirements, all such requirements have been complied with in all material respects, in each case except when the failure to be in compliance would not reasonably be expected to result in a Material Adverse Change. To the knowledge of the Company, none of the Company owned Intellectual Property or technology (including information technology and outsourced arrangements) employed by the Company or its subsidiaries in the conduct of their respective businesses has been obtained or is being used by the Company or its subsidiaries in violation of any contractual obligation binding on the Company or its subsidiaries or any of their respective officers, directors or employees or otherwise in violation of the rights of any persons. The product candidates described in the Registration Statement, the Time of Sale Prospectus and the Prospectus as under development by the Company or any subsidiary fall within the scope of the claims of one or more patents and/or pending patent applications owned by, or exclusively licensed to, the Company or its subsidiaries.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3" w:name="page14"/>
    <w:bookmarkEnd w:id="13"/>
    <w:p>
      <w:pPr>
        <w:ind w:left="-20" w:right="80" w:firstLine="656"/>
        <w:spacing w:after="0" w:line="293" w:lineRule="auto"/>
        <w:tabs>
          <w:tab w:leader="none" w:pos="1087"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All Necessary Permits, etc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possess such valid and current certificates, authorizations or permits required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 federal or foreign regulatory agencies or bodies to conduct their respective businesses as currently conducted and as described in the Registration Statement, the Time of Sale Prospectus or the Prospectus (“</w:t>
      </w:r>
      <w:r>
        <w:rPr>
          <w:rFonts w:ascii="Arial" w:cs="Arial" w:eastAsia="Arial" w:hAnsi="Arial"/>
          <w:sz w:val="16"/>
          <w:szCs w:val="16"/>
          <w:b w:val="1"/>
          <w:bCs w:val="1"/>
          <w:color w:val="auto"/>
        </w:rPr>
        <w:t>Permits</w:t>
      </w:r>
      <w:r>
        <w:rPr>
          <w:rFonts w:ascii="Arial" w:cs="Arial" w:eastAsia="Arial" w:hAnsi="Arial"/>
          <w:sz w:val="16"/>
          <w:szCs w:val="16"/>
          <w:color w:val="auto"/>
        </w:rPr>
        <w:t>”), except where the failure to so possess would not reasonably be expected to result in a Material Adverse Change. Neither the Company nor any of its subsidiaries is in violation of, or in default under, any of the Permits or has received any notice of proceedings relating to the revocation or modification of, or non-compliance with, any such certificate, authorization or permit, that, individually or in the aggregate, if the subject of an unfavorable decision, ruling or finding, would reasonably be expected to result in a Material Adverse Change.</w:t>
      </w:r>
    </w:p>
    <w:p>
      <w:pPr>
        <w:spacing w:after="0" w:line="123" w:lineRule="exact"/>
        <w:rPr>
          <w:rFonts w:ascii="Arial" w:cs="Arial" w:eastAsia="Arial" w:hAnsi="Arial"/>
          <w:sz w:val="16"/>
          <w:szCs w:val="16"/>
          <w:b w:val="1"/>
          <w:bCs w:val="1"/>
          <w:color w:val="auto"/>
        </w:rPr>
      </w:pPr>
    </w:p>
    <w:p>
      <w:pPr>
        <w:ind w:left="-20" w:firstLine="656"/>
        <w:spacing w:after="0" w:line="291" w:lineRule="auto"/>
        <w:tabs>
          <w:tab w:leader="none" w:pos="104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Title to Properties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otherwise disclosed in the Registration Statement, the Time of Sale Prospectus and the Prospectus,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its subsidiaries have good and marketable title to all of the real and personal property and other assets reflected as owned in the financial statements referred to in Section 1(l) above (or elsewhere in the Registration Statement, the Time of Sale Prospectus or the Prospectus), in each case free and clear of any security interests, mortgages, liens, encumbrances, equities, adverse claims and other defects that would reasonably be expected to result in a Material Adverse Change.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25" w:lineRule="exact"/>
        <w:rPr>
          <w:rFonts w:ascii="Arial" w:cs="Arial" w:eastAsia="Arial" w:hAnsi="Arial"/>
          <w:sz w:val="16"/>
          <w:szCs w:val="16"/>
          <w:b w:val="1"/>
          <w:bCs w:val="1"/>
          <w:color w:val="auto"/>
        </w:rPr>
      </w:pPr>
    </w:p>
    <w:p>
      <w:pPr>
        <w:ind w:left="-20" w:right="80" w:firstLine="656"/>
        <w:spacing w:after="0" w:line="291" w:lineRule="auto"/>
        <w:tabs>
          <w:tab w:leader="none" w:pos="104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Tax Law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(i) disclosed in the Registration Statement, the Time of Sale Prospectus and the Prospectus or (ii) would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reasonably be expected to result in a Material Adverse Change,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1(l) above in respect of all material federal, state and foreign income and franchise taxes applicable to the Company for all periods as to which the tax liability of the Company or any of its subsidiaries has not been finally determined.</w:t>
      </w:r>
    </w:p>
    <w:p>
      <w:pPr>
        <w:spacing w:after="0" w:line="125" w:lineRule="exact"/>
        <w:rPr>
          <w:rFonts w:ascii="Arial" w:cs="Arial" w:eastAsia="Arial" w:hAnsi="Arial"/>
          <w:sz w:val="16"/>
          <w:szCs w:val="16"/>
          <w:b w:val="1"/>
          <w:bCs w:val="1"/>
          <w:color w:val="auto"/>
        </w:rPr>
      </w:pPr>
    </w:p>
    <w:p>
      <w:pPr>
        <w:ind w:left="-20" w:firstLine="656"/>
        <w:spacing w:after="0" w:line="290" w:lineRule="auto"/>
        <w:tabs>
          <w:tab w:leader="none" w:pos="103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Company and its subsidiaries are insured by recognized, financially sound and reputable institutions with policies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spacing w:after="0" w:line="125" w:lineRule="exact"/>
        <w:rPr>
          <w:sz w:val="20"/>
          <w:szCs w:val="20"/>
          <w:color w:val="auto"/>
        </w:rPr>
      </w:pPr>
    </w:p>
    <w:p>
      <w:pPr>
        <w:ind w:left="-20" w:firstLine="656"/>
        <w:spacing w:after="0" w:line="286" w:lineRule="auto"/>
        <w:tabs>
          <w:tab w:leader="none" w:pos="113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Environmental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would not reasonably be expected, individually or in the aggregate, to result in a Material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b w:val="1"/>
          <w:bCs w:val="1"/>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its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to the knowledge of the Company,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14" w:name="page15"/>
    <w:bookmarkEnd w:id="14"/>
    <w:p>
      <w:pPr>
        <w:ind w:left="1160" w:hanging="524"/>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178" w:lineRule="exact"/>
        <w:rPr>
          <w:rFonts w:ascii="Arial" w:cs="Arial" w:eastAsia="Arial" w:hAnsi="Arial"/>
          <w:sz w:val="18"/>
          <w:szCs w:val="18"/>
          <w:b w:val="1"/>
          <w:bCs w:val="1"/>
          <w:color w:val="auto"/>
        </w:rPr>
      </w:pPr>
    </w:p>
    <w:p>
      <w:pPr>
        <w:ind w:left="-20" w:right="60" w:firstLine="656"/>
        <w:spacing w:after="0" w:line="286" w:lineRule="auto"/>
        <w:tabs>
          <w:tab w:leader="none" w:pos="1117"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ERISA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and any “employee benefit plan” (as defined under the Employee Retirement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established or maintained by the Company, its subsidiaries or their “ERISA Affiliates” (as defined below) are in compliance in all material respects with ERISA. “</w:t>
      </w:r>
      <w:r>
        <w:rPr>
          <w:rFonts w:ascii="Arial" w:cs="Arial" w:eastAsia="Arial" w:hAnsi="Arial"/>
          <w:sz w:val="16"/>
          <w:szCs w:val="16"/>
          <w:b w:val="1"/>
          <w:bCs w:val="1"/>
          <w:color w:val="auto"/>
        </w:rPr>
        <w:t>ERISA Affiliate</w:t>
      </w:r>
      <w:r>
        <w:rPr>
          <w:rFonts w:ascii="Arial" w:cs="Arial" w:eastAsia="Arial" w:hAnsi="Arial"/>
          <w:sz w:val="16"/>
          <w:szCs w:val="16"/>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of which the Company or such subsidiary is a member. Except as would not, individually or in the aggregate, reasonably be expected to result in a Material Adverse Change: (i) no “reportable event” (as defined under ERISA) has occurred or is reasonably expected to occur with respect to any “employee benefit plan” established or maintained by the Company, its subsidiaries or any of their ERISA Affiliates; (ii) no “employee benefit plan” established or maintained by the Company, its subsidiaries or any of their ERISA Affiliates, if such “employee benefit plan” were terminated, would have any “amount of unfunded benefit liabilities” (as defined under ERISA); (iii) neither the Company, its subsidiaries nor any of their ERISA Affiliates has incurred or reasonably expects to incur (a) any liability under Title IV of ERISA with respect to termination of, or withdrawal from, any “employee benefit plan” or (b) any material liability under Sections 412, 4971, 4975 or 4980B of the Code; and (iv) each employee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cause the loss of such qualification.</w:t>
      </w:r>
    </w:p>
    <w:p>
      <w:pPr>
        <w:spacing w:after="0" w:line="136" w:lineRule="exact"/>
        <w:rPr>
          <w:rFonts w:ascii="Arial" w:cs="Arial" w:eastAsia="Arial" w:hAnsi="Arial"/>
          <w:sz w:val="16"/>
          <w:szCs w:val="16"/>
          <w:b w:val="1"/>
          <w:bCs w:val="1"/>
          <w:color w:val="auto"/>
        </w:rPr>
      </w:pPr>
    </w:p>
    <w:p>
      <w:pPr>
        <w:ind w:left="-20" w:right="140" w:firstLine="656"/>
        <w:spacing w:after="0" w:line="306" w:lineRule="auto"/>
        <w:tabs>
          <w:tab w:leader="none" w:pos="115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Company Not an “Investment Company.” </w:t>
      </w:r>
      <w:r>
        <w:rPr>
          <w:rFonts w:ascii="Arial" w:cs="Arial" w:eastAsia="Arial" w:hAnsi="Arial"/>
          <w:sz w:val="16"/>
          <w:szCs w:val="16"/>
          <w:color w:val="auto"/>
        </w:rPr>
        <w:t>The Company is not, and will not be, either after receipt of payment for the Securities or after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113" w:lineRule="exact"/>
        <w:rPr>
          <w:rFonts w:ascii="Arial" w:cs="Arial" w:eastAsia="Arial" w:hAnsi="Arial"/>
          <w:sz w:val="16"/>
          <w:szCs w:val="16"/>
          <w:b w:val="1"/>
          <w:bCs w:val="1"/>
          <w:color w:val="auto"/>
        </w:rPr>
      </w:pPr>
    </w:p>
    <w:p>
      <w:pPr>
        <w:ind w:left="-20" w:right="40" w:firstLine="656"/>
        <w:spacing w:after="0" w:line="301" w:lineRule="auto"/>
        <w:tabs>
          <w:tab w:leader="none" w:pos="1117"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Price Stabilization or Manipulation; Compliance with Regulation 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has taken, 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indirectly, any action designed to or that might cause or result in stabilization or manipulation of the price of the Securities or of any “reference security” (as defined in Rule 100 of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 with respect to the Securities, whether to facilitate the sale or resale of the Securities or otherwise, and has taken no action which would directly or indirectly violate Regulation M.</w:t>
      </w:r>
    </w:p>
    <w:p>
      <w:pPr>
        <w:spacing w:after="0" w:line="116" w:lineRule="exact"/>
        <w:rPr>
          <w:rFonts w:ascii="Arial" w:cs="Arial" w:eastAsia="Arial" w:hAnsi="Arial"/>
          <w:sz w:val="16"/>
          <w:szCs w:val="16"/>
          <w:b w:val="1"/>
          <w:bCs w:val="1"/>
          <w:color w:val="auto"/>
        </w:rPr>
      </w:pPr>
    </w:p>
    <w:p>
      <w:pPr>
        <w:ind w:left="-20" w:right="100" w:firstLine="656"/>
        <w:spacing w:after="0" w:line="262" w:lineRule="auto"/>
        <w:tabs>
          <w:tab w:leader="none" w:pos="107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Related-Party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business relationships or related-party transactions involving the Company or any of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other person required to be described in the Registration Statement, the Time of Sale Prospectus or the Prospectus that have not been described as required.</w:t>
      </w:r>
    </w:p>
    <w:p>
      <w:pPr>
        <w:spacing w:after="0" w:line="145" w:lineRule="exact"/>
        <w:rPr>
          <w:rFonts w:ascii="Arial" w:cs="Arial" w:eastAsia="Arial" w:hAnsi="Arial"/>
          <w:sz w:val="18"/>
          <w:szCs w:val="18"/>
          <w:b w:val="1"/>
          <w:bCs w:val="1"/>
          <w:color w:val="auto"/>
        </w:rPr>
      </w:pPr>
    </w:p>
    <w:p>
      <w:pPr>
        <w:ind w:left="-20" w:right="200" w:firstLine="656"/>
        <w:spacing w:after="0" w:line="301" w:lineRule="auto"/>
        <w:tabs>
          <w:tab w:leader="none" w:pos="113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FINRA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of the information provided to the Underwriters or to counsel for the Underwriters by the Company, its counsel,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and directors and the holders of any securities (debt or equity) or options to acquire any securities of the Company in connection with the offering of the Securities is true, complete, correct and compliant with FINRA’s rules, in all material respects, and any letters, filings or other supplemental information provided to FINRA pursuant to FINRA Rules or NASD Conduct Rules is true, complete and correct, in all material respects.</w:t>
      </w:r>
    </w:p>
    <w:p>
      <w:pPr>
        <w:spacing w:after="0" w:line="116" w:lineRule="exact"/>
        <w:rPr>
          <w:rFonts w:ascii="Arial" w:cs="Arial" w:eastAsia="Arial" w:hAnsi="Arial"/>
          <w:sz w:val="16"/>
          <w:szCs w:val="16"/>
          <w:b w:val="1"/>
          <w:bCs w:val="1"/>
          <w:color w:val="auto"/>
        </w:rPr>
      </w:pPr>
    </w:p>
    <w:p>
      <w:pPr>
        <w:ind w:left="-20" w:firstLine="656"/>
        <w:spacing w:after="0" w:line="296" w:lineRule="auto"/>
        <w:tabs>
          <w:tab w:leader="none" w:pos="1156"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Parties to Lock-Up Agreements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furnished to the Underwriters a letter agreement in the form attached hereto as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Lock-up Agreement</w:t>
      </w:r>
      <w:r>
        <w:rPr>
          <w:rFonts w:ascii="Arial" w:cs="Arial" w:eastAsia="Arial" w:hAnsi="Arial"/>
          <w:sz w:val="16"/>
          <w:szCs w:val="16"/>
          <w:color w:val="auto"/>
        </w:rPr>
        <w:t xml:space="preserve">”) from each of the persons listed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Such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lists under an appropriate caption the directors and executive officers of the Company. If any additional persons shall become directors or executive officers of the Company prior to the end of the Company Lock-up Period (as defined below), the Company shall cause each such person, prior to or contemporaneously with their appointment or election as a director or executive officer of the Company, to execute and deliver to Jefferies a Lock-up Agreement.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90" w:right="359" w:bottom="1440" w:gutter="0" w:footer="0" w:header="0"/>
        </w:sectPr>
      </w:pPr>
    </w:p>
    <w:bookmarkStart w:id="15" w:name="page16"/>
    <w:bookmarkEnd w:id="15"/>
    <w:p>
      <w:pPr>
        <w:ind w:left="-20" w:right="140" w:firstLine="656"/>
        <w:spacing w:after="0" w:line="258" w:lineRule="auto"/>
        <w:tabs>
          <w:tab w:leader="none" w:pos="105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Statistical and Market-Related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statistical, demographic and market-related data included in the Registration Statement, the Time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Prospectus or the Prospectus are based on or derived from sources that the Company believes, after reasonable inquiry, to be reliable and accurate or represent the Company’s good faith estimates that are made on the basis of data derived from such sources. To the extent required, the Company has obtained the written consent to the use of such data from such sources.</w:t>
      </w:r>
    </w:p>
    <w:p>
      <w:pPr>
        <w:spacing w:after="0" w:line="155" w:lineRule="exact"/>
        <w:rPr>
          <w:rFonts w:ascii="Arial" w:cs="Arial" w:eastAsia="Arial" w:hAnsi="Arial"/>
          <w:sz w:val="18"/>
          <w:szCs w:val="18"/>
          <w:b w:val="1"/>
          <w:bCs w:val="1"/>
          <w:color w:val="auto"/>
        </w:rPr>
      </w:pPr>
    </w:p>
    <w:p>
      <w:pPr>
        <w:ind w:left="-20" w:firstLine="656"/>
        <w:spacing w:after="0" w:line="335" w:lineRule="auto"/>
        <w:tabs>
          <w:tab w:leader="none" w:pos="1078"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Sarbanes-Oxley Act. </w:t>
      </w:r>
      <w:r>
        <w:rPr>
          <w:rFonts w:ascii="Arial" w:cs="Arial" w:eastAsia="Arial" w:hAnsi="Arial"/>
          <w:sz w:val="15"/>
          <w:szCs w:val="15"/>
          <w:color w:val="auto"/>
        </w:rPr>
        <w:t>There is, and has been, no failure on the part of the Company or, to the Company’s knowledge, any of the Company’s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or officers, in their capacities as such, to comply in all material respects with any applicable provision of the Sarbanes-Oxley Act of 2002, as amended and the rules and regulations promulgated in connection therewith, including Section 402 related to loans and Sections 302 and 906 related to certifications.</w:t>
      </w:r>
    </w:p>
    <w:p>
      <w:pPr>
        <w:spacing w:after="0" w:line="95" w:lineRule="exact"/>
        <w:rPr>
          <w:rFonts w:ascii="Arial" w:cs="Arial" w:eastAsia="Arial" w:hAnsi="Arial"/>
          <w:sz w:val="15"/>
          <w:szCs w:val="15"/>
          <w:b w:val="1"/>
          <w:bCs w:val="1"/>
          <w:color w:val="auto"/>
        </w:rPr>
      </w:pPr>
    </w:p>
    <w:p>
      <w:pPr>
        <w:jc w:val="both"/>
        <w:ind w:left="-20" w:right="140" w:firstLine="656"/>
        <w:spacing w:after="0" w:line="339" w:lineRule="auto"/>
        <w:tabs>
          <w:tab w:leader="none" w:pos="1156"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No Unlawful Contributions or Other Payments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Neither the Company nor any of its subsidiaries nor, to the Company’s knowledge,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92" w:lineRule="exact"/>
        <w:rPr>
          <w:rFonts w:ascii="Arial" w:cs="Arial" w:eastAsia="Arial" w:hAnsi="Arial"/>
          <w:sz w:val="15"/>
          <w:szCs w:val="15"/>
          <w:b w:val="1"/>
          <w:bCs w:val="1"/>
          <w:color w:val="auto"/>
        </w:rPr>
      </w:pPr>
    </w:p>
    <w:p>
      <w:pPr>
        <w:ind w:left="-20" w:right="60" w:firstLine="656"/>
        <w:spacing w:after="0" w:line="287" w:lineRule="auto"/>
        <w:tabs>
          <w:tab w:leader="none" w:pos="1058"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Anti-Corruption and Anti-Bribery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nor any director, officer, or employee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the UK Bribery Act 2010, or any other applicable anti-bribery or anti-corruption law; or (iv) made, offered, authorized, requested, or taken an act in furtherance of any unlawful bribe, rebate, payoff, influence payment, kickback or other unlawful payment or benefit . The Company and its subsidiaries and, to the knowledge of the Company, the Company’s affiliates have conducted their respective businesses in material compliance with the FCPA and have instituted and maintain policies and procedures designed to ensure, and which are reasonably expected to continue to ensure, continued compliance therewith.</w:t>
      </w:r>
    </w:p>
    <w:p>
      <w:pPr>
        <w:spacing w:after="0" w:line="131" w:lineRule="exact"/>
        <w:rPr>
          <w:rFonts w:ascii="Arial" w:cs="Arial" w:eastAsia="Arial" w:hAnsi="Arial"/>
          <w:sz w:val="16"/>
          <w:szCs w:val="16"/>
          <w:b w:val="1"/>
          <w:bCs w:val="1"/>
          <w:color w:val="auto"/>
        </w:rPr>
      </w:pPr>
    </w:p>
    <w:p>
      <w:pPr>
        <w:ind w:left="-20" w:right="80" w:firstLine="656"/>
        <w:spacing w:after="0" w:line="293" w:lineRule="auto"/>
        <w:tabs>
          <w:tab w:leader="none" w:pos="1253"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Money Laundering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operations of the Company and its subsidiaries are, and have been conducted at all times, in material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23" w:lineRule="exact"/>
        <w:rPr>
          <w:rFonts w:ascii="Arial" w:cs="Arial" w:eastAsia="Arial" w:hAnsi="Arial"/>
          <w:sz w:val="16"/>
          <w:szCs w:val="16"/>
          <w:b w:val="1"/>
          <w:bCs w:val="1"/>
          <w:color w:val="auto"/>
        </w:rPr>
      </w:pPr>
    </w:p>
    <w:p>
      <w:pPr>
        <w:ind w:left="-20" w:right="40" w:firstLine="656"/>
        <w:spacing w:after="0" w:line="287" w:lineRule="auto"/>
        <w:tabs>
          <w:tab w:leader="none" w:pos="1156"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Sanctions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directors, officers, or employees, nor, to the knowledge of the Company, after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or the U.S. Department of State, the United Nations Security Council, the European Union, Her Majesty’s Treasury of the United Kingdom,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16" w:name="page17"/>
    <w:bookmarkEnd w:id="16"/>
    <w:p>
      <w:pPr>
        <w:ind w:right="720" w:firstLine="656"/>
        <w:spacing w:after="0" w:line="339" w:lineRule="auto"/>
        <w:tabs>
          <w:tab w:leader="none" w:pos="115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Brokers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pursuant to this Agreement, there is no broker, finder or other party that is entitled to receive from the Company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brokerage or finder’s fee or other fee or commission as a result of any transactions contemplated by this Agreement.</w:t>
      </w:r>
    </w:p>
    <w:p>
      <w:pPr>
        <w:spacing w:after="0" w:line="93" w:lineRule="exact"/>
        <w:rPr>
          <w:rFonts w:ascii="Arial" w:cs="Arial" w:eastAsia="Arial" w:hAnsi="Arial"/>
          <w:sz w:val="16"/>
          <w:szCs w:val="16"/>
          <w:b w:val="1"/>
          <w:bCs w:val="1"/>
          <w:color w:val="auto"/>
        </w:rPr>
      </w:pPr>
    </w:p>
    <w:p>
      <w:pPr>
        <w:ind w:right="180" w:firstLine="656"/>
        <w:spacing w:after="0" w:line="291" w:lineRule="auto"/>
        <w:tabs>
          <w:tab w:leader="none" w:pos="117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Forward-Looking Statements. </w:t>
      </w:r>
      <w:r>
        <w:rPr>
          <w:rFonts w:ascii="Arial" w:cs="Arial" w:eastAsia="Arial" w:hAnsi="Arial"/>
          <w:sz w:val="16"/>
          <w:szCs w:val="16"/>
          <w:color w:val="auto"/>
        </w:rPr>
        <w:t>Each financial or operational projection or other “forward-looking statement” (as defined by Section 27A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33" w:lineRule="exact"/>
        <w:rPr>
          <w:rFonts w:ascii="Arial" w:cs="Arial" w:eastAsia="Arial" w:hAnsi="Arial"/>
          <w:sz w:val="16"/>
          <w:szCs w:val="16"/>
          <w:b w:val="1"/>
          <w:bCs w:val="1"/>
          <w:color w:val="auto"/>
        </w:rPr>
      </w:pPr>
    </w:p>
    <w:p>
      <w:pPr>
        <w:ind w:right="120" w:firstLine="656"/>
        <w:spacing w:after="0" w:line="259" w:lineRule="auto"/>
        <w:tabs>
          <w:tab w:leader="none" w:pos="1156"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 Outstanding Loans or Other Extensions of Credit</w:t>
      </w:r>
      <w:r>
        <w:rPr>
          <w:rFonts w:ascii="Arial" w:cs="Arial" w:eastAsia="Arial" w:hAnsi="Arial"/>
          <w:sz w:val="18"/>
          <w:szCs w:val="18"/>
          <w:color w:val="auto"/>
        </w:rPr>
        <w:t>. The Company does not have any outstanding extension of credit, in the form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loan, to or for any director or executive officer (or equivalent thereof) of the Company except for such extensions of credit as are expressly permitted by Section 13(k) of the Exchange Act.</w:t>
      </w:r>
    </w:p>
    <w:p>
      <w:pPr>
        <w:spacing w:after="0" w:line="153" w:lineRule="exact"/>
        <w:rPr>
          <w:rFonts w:ascii="Arial" w:cs="Arial" w:eastAsia="Arial" w:hAnsi="Arial"/>
          <w:sz w:val="18"/>
          <w:szCs w:val="18"/>
          <w:b w:val="1"/>
          <w:bCs w:val="1"/>
          <w:i w:val="1"/>
          <w:iCs w:val="1"/>
          <w:color w:val="auto"/>
        </w:rPr>
      </w:pPr>
    </w:p>
    <w:p>
      <w:pPr>
        <w:ind w:right="120" w:firstLine="656"/>
        <w:spacing w:after="0" w:line="285" w:lineRule="auto"/>
        <w:tabs>
          <w:tab w:leader="none" w:pos="1137"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Cybersecurity</w:t>
      </w:r>
      <w:r>
        <w:rPr>
          <w:rFonts w:ascii="Arial" w:cs="Arial" w:eastAsia="Arial" w:hAnsi="Arial"/>
          <w:sz w:val="16"/>
          <w:szCs w:val="16"/>
          <w:color w:val="auto"/>
        </w:rPr>
        <w:t>. Except as would not reasonably be expected, individually or in the aggregate, to result in a Material Adverse Change; (i)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and its subsidiaries’ information technology assets and equipment, computers,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and to the Company’s knowledge, are free and clear of all material bugs, errors, defects, Trojan horses, time bombs, malware and other corruptants; (ii)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all personal, personally identifiable, sensitive, confidential or regulated data (“</w:t>
      </w:r>
      <w:r>
        <w:rPr>
          <w:rFonts w:ascii="Arial" w:cs="Arial" w:eastAsia="Arial" w:hAnsi="Arial"/>
          <w:sz w:val="16"/>
          <w:szCs w:val="16"/>
          <w:b w:val="1"/>
          <w:bCs w:val="1"/>
          <w:color w:val="auto"/>
        </w:rPr>
        <w:t>Personal Data</w:t>
      </w:r>
      <w:r>
        <w:rPr>
          <w:rFonts w:ascii="Arial" w:cs="Arial" w:eastAsia="Arial" w:hAnsi="Arial"/>
          <w:sz w:val="16"/>
          <w:szCs w:val="16"/>
          <w:color w:val="auto"/>
        </w:rPr>
        <w:t>”) used in connection with their businesses. To the Company’s knowledge, there have been no material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as would not reasonably be expected, individually or in the aggregate, to result in a Material Adverse Change.</w:t>
      </w:r>
    </w:p>
    <w:p>
      <w:pPr>
        <w:spacing w:after="0" w:line="140" w:lineRule="exact"/>
        <w:rPr>
          <w:rFonts w:ascii="Arial" w:cs="Arial" w:eastAsia="Arial" w:hAnsi="Arial"/>
          <w:sz w:val="16"/>
          <w:szCs w:val="16"/>
          <w:b w:val="1"/>
          <w:bCs w:val="1"/>
          <w:color w:val="auto"/>
        </w:rPr>
      </w:pPr>
    </w:p>
    <w:p>
      <w:pPr>
        <w:ind w:firstLine="656"/>
        <w:spacing w:after="0" w:line="285" w:lineRule="auto"/>
        <w:tabs>
          <w:tab w:leader="none" w:pos="1117"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Data Privacy Laws</w:t>
      </w:r>
      <w:r>
        <w:rPr>
          <w:rFonts w:ascii="Arial" w:cs="Arial" w:eastAsia="Arial" w:hAnsi="Arial"/>
          <w:sz w:val="16"/>
          <w:szCs w:val="16"/>
          <w:color w:val="auto"/>
        </w:rPr>
        <w:t>. Except as would not reasonably be expected, individually or in the aggregate, to result in a Material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Adverse Change, the Company and its subsidiaries are, and for the past three (3) years have been, in compliance with all applicable state and federal data privacy and security laws and regulations, including, to the extent applicable, HIPAA (collectively, the “</w:t>
      </w:r>
      <w:r>
        <w:rPr>
          <w:rFonts w:ascii="Arial" w:cs="Arial" w:eastAsia="Arial" w:hAnsi="Arial"/>
          <w:sz w:val="16"/>
          <w:szCs w:val="16"/>
          <w:b w:val="1"/>
          <w:bCs w:val="1"/>
          <w:color w:val="auto"/>
        </w:rPr>
        <w:t>Privacy Laws</w:t>
      </w:r>
      <w:r>
        <w:rPr>
          <w:rFonts w:ascii="Arial" w:cs="Arial" w:eastAsia="Arial" w:hAnsi="Arial"/>
          <w:sz w:val="16"/>
          <w:szCs w:val="16"/>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6"/>
          <w:szCs w:val="16"/>
          <w:b w:val="1"/>
          <w:bCs w:val="1"/>
          <w:color w:val="auto"/>
        </w:rPr>
        <w:t>Policies</w:t>
      </w:r>
      <w:r>
        <w:rPr>
          <w:rFonts w:ascii="Arial" w:cs="Arial" w:eastAsia="Arial" w:hAnsi="Arial"/>
          <w:sz w:val="16"/>
          <w:szCs w:val="16"/>
          <w:color w:val="auto"/>
        </w:rPr>
        <w:t>”). Except as would not reasonably be expected, individually or in the aggregate, to result in a Material Adverse Change, the Company and its subsidiaries have at all times made all disclosures to users or customers required by applicable laws, Privacy Laws and regulatory rules or requirements, and none of such disclosures made or contained in any Policy have, to the knowledge of the Company, been inaccurate, misleading, deceptive or in violation of any applicable laws, Privacy Laws, Policies, and regulatory rules or requirements in any material respect. Neither the Company nor any subsidiary: (i) has received written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(iii) is a party to any order, decree, or agreement that imposes any obligation or liability by any governmental or regulatory authority under any Privacy Laws.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ind w:left="-20" w:right="20" w:firstLine="656"/>
        <w:spacing w:after="0" w:line="288" w:lineRule="auto"/>
        <w:tabs>
          <w:tab w:leader="none" w:pos="1078"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Communications. </w:t>
      </w:r>
      <w:r>
        <w:rPr>
          <w:rFonts w:ascii="Arial" w:cs="Arial" w:eastAsia="Arial" w:hAnsi="Arial"/>
          <w:sz w:val="16"/>
          <w:szCs w:val="16"/>
          <w:color w:val="auto"/>
        </w:rPr>
        <w:t>The Company (i) has not alone engaged in communications with potential investors in reliance on Rule 163B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Act other than Permitted Rule 163B Communications with the consent of the Representatives with entities that are, or are reasonably believed to be, QIBs or IAIs and (ii) has not authorized anyone other than the Representatives to engage in such communications; the Company reconfirms that the Representatives has been authorized to act on its behalf in undertaking Marketing Materials, Rule 163B Oral Communications and Rule 163B Written Communications; as of the Applicable Time, each Permitted Rule 163B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Rule 163B Communication, if any, does not, as of the date hereof, conflict with the information contained in the Registration Statement, the Preliminary Prospectus and the Prospectus.</w:t>
      </w:r>
    </w:p>
    <w:p>
      <w:pPr>
        <w:spacing w:after="0" w:line="137" w:lineRule="exact"/>
        <w:rPr>
          <w:rFonts w:ascii="Arial" w:cs="Arial" w:eastAsia="Arial" w:hAnsi="Arial"/>
          <w:sz w:val="16"/>
          <w:szCs w:val="16"/>
          <w:b w:val="1"/>
          <w:bCs w:val="1"/>
          <w:color w:val="auto"/>
        </w:rPr>
      </w:pPr>
    </w:p>
    <w:p>
      <w:pPr>
        <w:ind w:left="-20" w:firstLine="656"/>
        <w:spacing w:after="0" w:line="286" w:lineRule="auto"/>
        <w:tabs>
          <w:tab w:leader="none" w:pos="115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Clinical Data and Regulatory Compliance. </w:t>
      </w:r>
      <w:r>
        <w:rPr>
          <w:rFonts w:ascii="Arial" w:cs="Arial" w:eastAsia="Arial" w:hAnsi="Arial"/>
          <w:sz w:val="16"/>
          <w:szCs w:val="16"/>
          <w:color w:val="auto"/>
        </w:rPr>
        <w:t>The preclinical tests and clinical trials, and other studies (collectively, “studies”) that are described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or the results of which are referred to in, the Registration Statement, the Time of Sale Prospectus or the Prospectus were and, if still pending, are being conducted in all material respects in accordance with applicable Health Care Laws, each description of the results of such studies is accurate and complete in all material respects and fairly presents the data derived from such studies, and the Company and its subsidiaries have no knowledge of any other studies the results of which are materially inconsistent with, or otherwise materially call into question, the results described or referred to in the Registration Statement, the Time of Sale Prospectuses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Arial" w:cs="Arial" w:eastAsia="Arial" w:hAnsi="Arial"/>
          <w:sz w:val="16"/>
          <w:szCs w:val="16"/>
          <w:b w:val="1"/>
          <w:bCs w:val="1"/>
          <w:color w:val="auto"/>
        </w:rPr>
        <w:t>Regulatory Agencies</w:t>
      </w:r>
      <w:r>
        <w:rPr>
          <w:rFonts w:ascii="Arial" w:cs="Arial" w:eastAsia="Arial" w:hAnsi="Arial"/>
          <w:sz w:val="16"/>
          <w:szCs w:val="16"/>
          <w:color w:val="auto"/>
        </w:rPr>
        <w:t>”), except for such failure which would not, individually or in the aggregate, reasonably be expected to result in a Material Adverse Change; and neither the Company nor any of its subsidiaries has received any notice of, or correspondence from, any Regulatory Agency requiring the termination, suspension or material adverse modification of any clinical trials that are described or referred to in the Registration Statement, the Time of Sale Prospectus or the Prospectus, other than any suspension that was subsequently lifted prior to January 1, 2018.</w:t>
      </w:r>
    </w:p>
    <w:p>
      <w:pPr>
        <w:spacing w:after="0" w:line="136" w:lineRule="exact"/>
        <w:rPr>
          <w:rFonts w:ascii="Arial" w:cs="Arial" w:eastAsia="Arial" w:hAnsi="Arial"/>
          <w:sz w:val="16"/>
          <w:szCs w:val="16"/>
          <w:b w:val="1"/>
          <w:bCs w:val="1"/>
          <w:color w:val="auto"/>
        </w:rPr>
      </w:pPr>
    </w:p>
    <w:p>
      <w:pPr>
        <w:ind w:left="-20" w:firstLine="656"/>
        <w:spacing w:after="0" w:line="284" w:lineRule="auto"/>
        <w:tabs>
          <w:tab w:leader="none" w:pos="113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Health Care Laws</w:t>
      </w:r>
      <w:r>
        <w:rPr>
          <w:rFonts w:ascii="Arial" w:cs="Arial" w:eastAsia="Arial" w:hAnsi="Arial"/>
          <w:sz w:val="16"/>
          <w:szCs w:val="16"/>
          <w:color w:val="auto"/>
        </w:rPr>
        <w:t>. The Company and its subsidiaries are, and at all times have been, in compliance with all Health 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except for such noncompliance which would not, individually or in the aggregate, reasonably be expected to result in a Material Adverse Change. For purposes of this Agreement, “Health Care Laws”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(“HIPAA”) (42 U.S.C. Section 1320d et seq.),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all other local, state, federal, national, supranational and foreign laws, relating to the regulation of the Company or its subsidiaries, and (v)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except as would not reasonably be expected to result in a Material Adverse Change.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to the knowledge of the Company and its subsidiaries,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90" w:right="339" w:bottom="1440" w:gutter="0" w:footer="0" w:header="0"/>
        </w:sectPr>
      </w:pPr>
    </w:p>
    <w:bookmarkStart w:id="18" w:name="page19"/>
    <w:bookmarkEnd w:id="18"/>
    <w:p>
      <w:pPr>
        <w:ind w:right="20" w:firstLine="656"/>
        <w:spacing w:after="0" w:line="291" w:lineRule="auto"/>
        <w:tabs>
          <w:tab w:leader="none" w:pos="1234"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Contract Terminations. </w:t>
      </w:r>
      <w:r>
        <w:rPr>
          <w:rFonts w:ascii="Arial" w:cs="Arial" w:eastAsia="Arial" w:hAnsi="Arial"/>
          <w:sz w:val="16"/>
          <w:szCs w:val="16"/>
          <w:color w:val="auto"/>
        </w:rPr>
        <w:t>Neither the Company nor any of its subsidiaries has sent or received any communication regarding termination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or intent not to renew, any of the contracts or agreements referred to or described in any preliminary prospectus, the Prospectus or any free writing prospectus, or referred to or described in, or filed as an exhibit to, the Registration Statement, or any document incorporated by reference therein, and no such termination or non-renewal has been threatened by the Company or any of its subsidiaries or, to the Company’s knowledge, any other party to any such contract or agreement, which threat of termination or non-renewal has not been rescinded as of the date hereof, in each case except as would not reasonably be expected to result in a Material Adverse Change.</w:t>
      </w:r>
    </w:p>
    <w:p>
      <w:pPr>
        <w:spacing w:after="0" w:line="10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Any certificate signed by any officer of the Company or any of its subsidiaries and delivered to any Underwriter or to counsel for the Underwriters in connection with the offering, or the purchase and sale, of the Securities shall be deemed a representation and warranty by the Company to each Underwriter as to the matters covered thereby.</w:t>
      </w:r>
    </w:p>
    <w:p>
      <w:pPr>
        <w:spacing w:after="0" w:line="126" w:lineRule="exact"/>
        <w:rPr>
          <w:sz w:val="20"/>
          <w:szCs w:val="20"/>
          <w:color w:val="auto"/>
        </w:rPr>
      </w:pPr>
    </w:p>
    <w:p>
      <w:pPr>
        <w:ind w:right="20" w:firstLine="648"/>
        <w:spacing w:after="0" w:line="306" w:lineRule="auto"/>
        <w:rPr>
          <w:rFonts w:ascii="Arial" w:cs="Arial" w:eastAsia="Arial" w:hAnsi="Arial"/>
          <w:sz w:val="16"/>
          <w:szCs w:val="16"/>
          <w:color w:val="auto"/>
        </w:rPr>
      </w:pPr>
      <w:r>
        <w:rPr>
          <w:rFonts w:ascii="Arial" w:cs="Arial" w:eastAsia="Arial" w:hAnsi="Arial"/>
          <w:sz w:val="16"/>
          <w:szCs w:val="16"/>
          <w:color w:val="auto"/>
        </w:rPr>
        <w:t xml:space="preserve">The Company has a reasonable basis for making each of the representations set forth in this Section 1. The Company acknowledges that the Underwriters and, for purposes of the opinions to be delivered pursuant to </w:t>
      </w:r>
      <w:hyperlink w:anchor="page25">
        <w:r>
          <w:rPr>
            <w:rFonts w:ascii="Arial" w:cs="Arial" w:eastAsia="Arial" w:hAnsi="Arial"/>
            <w:sz w:val="16"/>
            <w:szCs w:val="16"/>
            <w:u w:val="single" w:color="auto"/>
            <w:color w:val="0000EE"/>
          </w:rPr>
          <w:t>Section 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hereof, counsel to the Company and counsel to the Underwriters, will rely upon the accuracy and truthfulness of the foregoing representations and hereby consents to such reliance.</w:t>
      </w:r>
    </w:p>
    <w:p>
      <w:pPr>
        <w:spacing w:after="0" w:line="114"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Purchase, Sale and Delivery of the Securities</w:t>
      </w:r>
      <w:r>
        <w:rPr>
          <w:rFonts w:ascii="Arial" w:cs="Arial" w:eastAsia="Arial" w:hAnsi="Arial"/>
          <w:sz w:val="15"/>
          <w:szCs w:val="15"/>
          <w:color w:val="auto"/>
        </w:rPr>
        <w:t>.</w:t>
      </w:r>
    </w:p>
    <w:p>
      <w:pPr>
        <w:spacing w:after="0" w:line="185" w:lineRule="exact"/>
        <w:rPr>
          <w:sz w:val="20"/>
          <w:szCs w:val="20"/>
          <w:color w:val="auto"/>
        </w:rPr>
      </w:pPr>
    </w:p>
    <w:p>
      <w:pPr>
        <w:jc w:val="both"/>
        <w:ind w:right="40" w:firstLine="656"/>
        <w:spacing w:after="0" w:line="296" w:lineRule="auto"/>
        <w:tabs>
          <w:tab w:leader="none" w:pos="1069"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The Securities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terms herein set forth, the Company agrees to issue and sell to the several Underwriters an aggregate of 63,000,000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shares of Common Stock and 2,000,000 shares of Preferred Stock On the basis of the representations, warranties and agreements herein contained, and upon the terms but subject to the conditions herein set forth, the Underwriters agree, severally and not jointly, to purchase from the Company the respective number of Securities set forth opposite their names on </w:t>
      </w:r>
      <w:hyperlink w:anchor="page36">
        <w:r>
          <w:rPr>
            <w:rFonts w:ascii="Arial" w:cs="Arial" w:eastAsia="Arial" w:hAnsi="Arial"/>
            <w:sz w:val="16"/>
            <w:szCs w:val="16"/>
            <w:u w:val="single" w:color="auto"/>
            <w:color w:val="0000EE"/>
          </w:rPr>
          <w:t>Schedule A</w:t>
        </w:r>
      </w:hyperlink>
      <w:r>
        <w:rPr>
          <w:rFonts w:ascii="Arial" w:cs="Arial" w:eastAsia="Arial" w:hAnsi="Arial"/>
          <w:sz w:val="16"/>
          <w:szCs w:val="16"/>
          <w:color w:val="auto"/>
        </w:rPr>
        <w:t>. The purchase price to be paid by the several Underwriters to the Company shall be (i) $0.8648 per share of Common Stock and (ii) $19.8904 per share of Preferred Stock.</w:t>
      </w:r>
    </w:p>
    <w:p>
      <w:pPr>
        <w:spacing w:after="0" w:line="120" w:lineRule="exact"/>
        <w:rPr>
          <w:rFonts w:ascii="Arial" w:cs="Arial" w:eastAsia="Arial" w:hAnsi="Arial"/>
          <w:sz w:val="16"/>
          <w:szCs w:val="16"/>
          <w:color w:val="auto"/>
        </w:rPr>
      </w:pPr>
    </w:p>
    <w:p>
      <w:pPr>
        <w:ind w:right="20" w:firstLine="656"/>
        <w:spacing w:after="0" w:line="316" w:lineRule="auto"/>
        <w:tabs>
          <w:tab w:leader="none" w:pos="1078"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The Closing Date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Delivery of certificates for the Securities to be purchased by the Underwriters and payment therefor shall be made 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offices of Cooley LLP (or such other place as may be agreed to by the Company and the Representatives) at 9:00 a.m. New York City time, on December 22, 2020, or such other time and date not later than 1:30 p.m. New York City time, on January 5, 2020 as the Representatives shall designate by notice to the Company (the time and date of such closing are called the “</w:t>
      </w:r>
      <w:r>
        <w:rPr>
          <w:rFonts w:ascii="Arial" w:cs="Arial" w:eastAsia="Arial" w:hAnsi="Arial"/>
          <w:sz w:val="15"/>
          <w:szCs w:val="15"/>
          <w:b w:val="1"/>
          <w:bCs w:val="1"/>
          <w:color w:val="auto"/>
        </w:rPr>
        <w:t>Closing Date</w:t>
      </w:r>
      <w:r>
        <w:rPr>
          <w:rFonts w:ascii="Arial" w:cs="Arial" w:eastAsia="Arial" w:hAnsi="Arial"/>
          <w:sz w:val="15"/>
          <w:szCs w:val="15"/>
          <w:color w:val="auto"/>
        </w:rPr>
        <w:t>”). The Company hereby acknowledges that circumstances under which the Representatives may provide notice to postpone the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108" w:lineRule="exact"/>
        <w:rPr>
          <w:rFonts w:ascii="Arial" w:cs="Arial" w:eastAsia="Arial" w:hAnsi="Arial"/>
          <w:sz w:val="15"/>
          <w:szCs w:val="15"/>
          <w:b w:val="1"/>
          <w:bCs w:val="1"/>
          <w:color w:val="auto"/>
        </w:rPr>
      </w:pPr>
    </w:p>
    <w:p>
      <w:pPr>
        <w:ind w:right="40" w:firstLine="656"/>
        <w:spacing w:after="0" w:line="310" w:lineRule="auto"/>
        <w:tabs>
          <w:tab w:leader="none" w:pos="1059"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Public Offering of the Securities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Representatives hereby advise the Company that the Underwriters intend to offer for sale to the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initially on the terms set forth in the Registration Statement, the Time of Sale Prospectus and the Prospectus, their respective portions of the Securities as soon after this Agreement has been executed as the Representatives, in its sole judgment, has determined is advisable and practicable.</w:t>
      </w:r>
    </w:p>
    <w:p>
      <w:pPr>
        <w:spacing w:after="0" w:line="110" w:lineRule="exact"/>
        <w:rPr>
          <w:rFonts w:ascii="Arial" w:cs="Arial" w:eastAsia="Arial" w:hAnsi="Arial"/>
          <w:sz w:val="16"/>
          <w:szCs w:val="16"/>
          <w:b w:val="1"/>
          <w:bCs w:val="1"/>
          <w:color w:val="auto"/>
        </w:rPr>
      </w:pPr>
    </w:p>
    <w:p>
      <w:pPr>
        <w:ind w:firstLine="656"/>
        <w:spacing w:after="0" w:line="275" w:lineRule="auto"/>
        <w:tabs>
          <w:tab w:leader="none" w:pos="107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for the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for the Securities shall be made at the Closing Date by wire transfer of immediately available funds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of the Company.</w:t>
      </w:r>
    </w:p>
    <w:p>
      <w:pPr>
        <w:spacing w:after="0" w:line="139" w:lineRule="exact"/>
        <w:rPr>
          <w:rFonts w:ascii="Arial" w:cs="Arial" w:eastAsia="Arial" w:hAnsi="Arial"/>
          <w:sz w:val="18"/>
          <w:szCs w:val="18"/>
          <w:b w:val="1"/>
          <w:bCs w:val="1"/>
          <w:color w:val="auto"/>
        </w:rPr>
      </w:pPr>
    </w:p>
    <w:p>
      <w:pPr>
        <w:ind w:left="660" w:right="20" w:firstLine="1292"/>
        <w:spacing w:after="0" w:line="294" w:lineRule="auto"/>
        <w:tabs>
          <w:tab w:leader="none" w:pos="2338" w:val="left"/>
        </w:tabs>
        <w:numPr>
          <w:ilvl w:val="1"/>
          <w:numId w:val="16"/>
        </w:numPr>
        <w:rPr>
          <w:rFonts w:ascii="Arial" w:cs="Arial" w:eastAsia="Arial" w:hAnsi="Arial"/>
          <w:sz w:val="16"/>
          <w:szCs w:val="16"/>
          <w:color w:val="auto"/>
        </w:rPr>
      </w:pPr>
      <w:r>
        <w:rPr>
          <w:rFonts w:ascii="Arial" w:cs="Arial" w:eastAsia="Arial" w:hAnsi="Arial"/>
          <w:sz w:val="16"/>
          <w:szCs w:val="16"/>
          <w:color w:val="auto"/>
        </w:rPr>
        <w:t>It is understood that Jefferies has been authorized, for its own account and the accounts of the several Underwriters, to accept delivery of and receipt for, and make payment of the purchase price for, the Securities the Underwriters have agreed to purchase. Jefferies, individually and not as a Representative of the Underwriters, may (but shall not be obligated to) make payment for any Securities to be purchased by any Underwriter whose funds shall not have been received by Jefferies by the Closing Date, as the case may be, for the account of such Underwriter, but any such payment shall not relieve such Underwriter from any of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90" w:right="419" w:bottom="1440" w:gutter="0" w:footer="0" w:header="0"/>
        </w:sectPr>
      </w:pPr>
    </w:p>
    <w:bookmarkStart w:id="19" w:name="page20"/>
    <w:bookmarkEnd w:id="19"/>
    <w:p>
      <w:pPr>
        <w:ind w:left="-20" w:firstLine="656"/>
        <w:spacing w:after="0" w:line="291" w:lineRule="auto"/>
        <w:tabs>
          <w:tab w:leader="none" w:pos="1039"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the Securities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deliver, or cause to be delivered to Jefferies for the accounts of the several Underwriters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for the Securities at the Closing Date, against release of a wire transfer of immediately available funds for the amount of the purchase price therefor. If Jefferies so elects, delivery of the Securities may be made by credit to the accounts designated by Jefferies through The Depository Trust Company’s full fast transfer or DWAC programs. If Jefferies so elects, the certificates for the Securities shall be registered in such names and denominations as Jefferies shall have requested at least two full business days prior to the Closing Date and shall be made available for inspection on the business day preceding the Closing Date at a location in New York City as Jefferies may designate. Time shall be of the essence, and delivery at the time and place specified in this Agreement is a further condition to the obligations of the Underwriters.</w:t>
      </w:r>
    </w:p>
    <w:p>
      <w:pPr>
        <w:spacing w:after="0" w:line="126" w:lineRule="exact"/>
        <w:rPr>
          <w:sz w:val="20"/>
          <w:szCs w:val="20"/>
          <w:color w:val="auto"/>
        </w:rPr>
      </w:pPr>
    </w:p>
    <w:p>
      <w:pPr>
        <w:ind w:left="1280"/>
        <w:spacing w:after="0"/>
        <w:tabs>
          <w:tab w:leader="none" w:pos="22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Additional Covenants.</w:t>
      </w:r>
    </w:p>
    <w:p>
      <w:pPr>
        <w:spacing w:after="0" w:line="191" w:lineRule="exact"/>
        <w:rPr>
          <w:sz w:val="20"/>
          <w:szCs w:val="20"/>
          <w:color w:val="auto"/>
        </w:rPr>
      </w:pPr>
    </w:p>
    <w:p>
      <w:pPr>
        <w:ind w:left="-20" w:right="100" w:firstLine="656"/>
        <w:spacing w:after="0" w:line="294" w:lineRule="auto"/>
        <w:tabs>
          <w:tab w:leader="none" w:pos="1049"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Delivery of Registration Statement, Time of Sale Prospectus and Prospectus. </w:t>
      </w:r>
      <w:r>
        <w:rPr>
          <w:rFonts w:ascii="Arial" w:cs="Arial" w:eastAsia="Arial" w:hAnsi="Arial"/>
          <w:sz w:val="16"/>
          <w:szCs w:val="16"/>
          <w:color w:val="auto"/>
        </w:rPr>
        <w:t>The Company shall furnish to you in New York City, without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charge, prior to 10:00 a.m. New York City time on the business day next succeeding the date of this Agreement and during the period when a prospectus relating to the Securities is required by the Securities Act to be delivered (whether physically or through compliance with Rule 172 under the Securities Act or any similar rule) in connection with sales of the Securities, as many copies of the Time of Sale Prospectus, the Prospectus and any supplements and amendments thereto or to the Registration Statement as you may reasonably request.</w:t>
      </w:r>
    </w:p>
    <w:p>
      <w:pPr>
        <w:spacing w:after="0" w:line="128" w:lineRule="exact"/>
        <w:rPr>
          <w:rFonts w:ascii="Arial" w:cs="Arial" w:eastAsia="Arial" w:hAnsi="Arial"/>
          <w:sz w:val="16"/>
          <w:szCs w:val="16"/>
          <w:b w:val="1"/>
          <w:bCs w:val="1"/>
          <w:color w:val="auto"/>
        </w:rPr>
      </w:pPr>
    </w:p>
    <w:p>
      <w:pPr>
        <w:ind w:left="-20" w:firstLine="656"/>
        <w:spacing w:after="0" w:line="286" w:lineRule="auto"/>
        <w:tabs>
          <w:tab w:leader="none" w:pos="1058"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Representatives’ Review of Proposed Amendments and Supplements. </w:t>
      </w:r>
      <w:r>
        <w:rPr>
          <w:rFonts w:ascii="Arial" w:cs="Arial" w:eastAsia="Arial" w:hAnsi="Arial"/>
          <w:sz w:val="16"/>
          <w:szCs w:val="16"/>
          <w:color w:val="auto"/>
        </w:rPr>
        <w:t>During the period when a prospectus relating to the Securities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which shall not unreasonably be withheld.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shall not unreasonably be withheld. The Company shall file with the Commission within the applicable period specified in Rule 424(b) under the Securities Act any prospectus required to be filed pursuant to such Rule.</w:t>
      </w:r>
    </w:p>
    <w:p>
      <w:pPr>
        <w:spacing w:after="0" w:line="139" w:lineRule="exact"/>
        <w:rPr>
          <w:rFonts w:ascii="Arial" w:cs="Arial" w:eastAsia="Arial" w:hAnsi="Arial"/>
          <w:sz w:val="16"/>
          <w:szCs w:val="16"/>
          <w:b w:val="1"/>
          <w:bCs w:val="1"/>
          <w:color w:val="auto"/>
        </w:rPr>
      </w:pPr>
    </w:p>
    <w:p>
      <w:pPr>
        <w:ind w:left="-20" w:firstLine="656"/>
        <w:spacing w:after="0" w:line="305" w:lineRule="auto"/>
        <w:tabs>
          <w:tab w:leader="none" w:pos="1039"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Free Writing Prospectuses. </w:t>
      </w:r>
      <w:r>
        <w:rPr>
          <w:rFonts w:ascii="Arial" w:cs="Arial" w:eastAsia="Arial" w:hAnsi="Arial"/>
          <w:sz w:val="15"/>
          <w:szCs w:val="15"/>
          <w:color w:val="auto"/>
        </w:rPr>
        <w:t>The Company shall furnish to the Representatives for review, a reasonable amount of time prior to the proposed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shall not unreasonably be withheld.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Securities (but in any event if at any time through and including the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5"/>
          <w:szCs w:val="15"/>
          <w:i w:val="1"/>
          <w:iCs w:val="1"/>
          <w:color w:val="auto"/>
        </w:rPr>
        <w:t>provided, however</w:t>
      </w:r>
      <w:r>
        <w:rPr>
          <w:rFonts w:ascii="Arial" w:cs="Arial" w:eastAsia="Arial" w:hAnsi="Arial"/>
          <w:sz w:val="15"/>
          <w:szCs w:val="15"/>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shall not unreasonably be withheld.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0" w:name="page21"/>
    <w:bookmarkEnd w:id="20"/>
    <w:p>
      <w:pPr>
        <w:ind w:right="60" w:firstLine="656"/>
        <w:spacing w:after="0" w:line="259" w:lineRule="auto"/>
        <w:tabs>
          <w:tab w:leader="none" w:pos="107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Filing of Underwriter Free Writing Prospectuses. </w:t>
      </w:r>
      <w:r>
        <w:rPr>
          <w:rFonts w:ascii="Arial" w:cs="Arial" w:eastAsia="Arial" w:hAnsi="Arial"/>
          <w:sz w:val="18"/>
          <w:szCs w:val="18"/>
          <w:color w:val="auto"/>
        </w:rPr>
        <w:t>The Company shall not take any action that would result in an Underwriter or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53" w:lineRule="exact"/>
        <w:rPr>
          <w:rFonts w:ascii="Arial" w:cs="Arial" w:eastAsia="Arial" w:hAnsi="Arial"/>
          <w:sz w:val="18"/>
          <w:szCs w:val="18"/>
          <w:b w:val="1"/>
          <w:bCs w:val="1"/>
          <w:color w:val="auto"/>
        </w:rPr>
      </w:pPr>
    </w:p>
    <w:p>
      <w:pPr>
        <w:ind w:firstLine="656"/>
        <w:spacing w:after="0" w:line="286" w:lineRule="auto"/>
        <w:tabs>
          <w:tab w:leader="none" w:pos="1059"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Time of Sale Prospectus. </w:t>
      </w:r>
      <w:r>
        <w:rPr>
          <w:rFonts w:ascii="Arial" w:cs="Arial" w:eastAsia="Arial" w:hAnsi="Arial"/>
          <w:sz w:val="16"/>
          <w:szCs w:val="16"/>
          <w:color w:val="auto"/>
        </w:rPr>
        <w:t>If the Time of Sale Prospectus is being used to solicit offers to buy the Securities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30" w:lineRule="exact"/>
        <w:rPr>
          <w:rFonts w:ascii="Arial" w:cs="Arial" w:eastAsia="Arial" w:hAnsi="Arial"/>
          <w:sz w:val="16"/>
          <w:szCs w:val="16"/>
          <w:b w:val="1"/>
          <w:bCs w:val="1"/>
          <w:color w:val="auto"/>
        </w:rPr>
      </w:pPr>
    </w:p>
    <w:p>
      <w:pPr>
        <w:ind w:right="20" w:firstLine="656"/>
        <w:spacing w:after="0" w:line="283" w:lineRule="auto"/>
        <w:tabs>
          <w:tab w:leader="none" w:pos="1039"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and until such time as the Underwriters are no longer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 a Prospectus in order to confirm sales of the Securities, the Company shall promptly advise the Representatives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Common Stock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w:t>
      </w:r>
    </w:p>
    <w:p>
      <w:pPr>
        <w:spacing w:after="0" w:line="1" w:lineRule="exact"/>
        <w:rPr>
          <w:rFonts w:ascii="Arial" w:cs="Arial" w:eastAsia="Arial" w:hAnsi="Arial"/>
          <w:sz w:val="16"/>
          <w:szCs w:val="16"/>
          <w:b w:val="1"/>
          <w:bCs w:val="1"/>
          <w:color w:val="auto"/>
        </w:rPr>
      </w:pPr>
    </w:p>
    <w:p>
      <w:pPr>
        <w:ind w:right="12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Rule 424(b), Rule 433 and Rule 430B under the Securities Act and will use its reasonable efforts to confirm that any filings made by the Company under Rule 424(b) or Rule 433 were received in a timely manner by the Commission.</w:t>
      </w:r>
    </w:p>
    <w:p>
      <w:pPr>
        <w:spacing w:after="0" w:line="152" w:lineRule="exact"/>
        <w:rPr>
          <w:rFonts w:ascii="Arial" w:cs="Arial" w:eastAsia="Arial" w:hAnsi="Arial"/>
          <w:sz w:val="16"/>
          <w:szCs w:val="16"/>
          <w:b w:val="1"/>
          <w:bCs w:val="1"/>
          <w:color w:val="auto"/>
        </w:rPr>
      </w:pPr>
    </w:p>
    <w:p>
      <w:pPr>
        <w:ind w:firstLine="656"/>
        <w:spacing w:after="0" w:line="286" w:lineRule="auto"/>
        <w:tabs>
          <w:tab w:leader="none" w:pos="1069"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the Prospectus and Other Securities Act Matters. </w:t>
      </w:r>
      <w:r>
        <w:rPr>
          <w:rFonts w:ascii="Arial" w:cs="Arial" w:eastAsia="Arial" w:hAnsi="Arial"/>
          <w:sz w:val="16"/>
          <w:szCs w:val="16"/>
          <w:color w:val="auto"/>
        </w:rPr>
        <w:t>If any event shall occur or condition exist as a result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1" w:name="page22"/>
    <w:bookmarkEnd w:id="21"/>
    <w:p>
      <w:pPr>
        <w:ind w:firstLine="656"/>
        <w:spacing w:after="0" w:line="311" w:lineRule="auto"/>
        <w:tabs>
          <w:tab w:leader="none" w:pos="1078"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Blue Sky Compliance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 shall cooperate with the Representatives and counsel for the Underwriters to qualify or register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for sale under (or obtain exemptions from the application of) the state securities or blue sky laws (or other foreign laws) of those jurisdictions designated by the Representatives, shall comply with such laws and shall continue such qualifications, registrations and exemptions in effect so long as required for the distribution of the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15" w:lineRule="exact"/>
        <w:rPr>
          <w:rFonts w:ascii="Arial" w:cs="Arial" w:eastAsia="Arial" w:hAnsi="Arial"/>
          <w:sz w:val="15"/>
          <w:szCs w:val="15"/>
          <w:b w:val="1"/>
          <w:bCs w:val="1"/>
          <w:color w:val="auto"/>
        </w:rPr>
      </w:pPr>
    </w:p>
    <w:p>
      <w:pPr>
        <w:ind w:right="140" w:firstLine="656"/>
        <w:spacing w:after="0" w:line="275" w:lineRule="auto"/>
        <w:tabs>
          <w:tab w:leader="none" w:pos="103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Securities sold by it in the manner described under the caption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of Proceeds” in the Registration Statement, the Time of Sale Prospectus and the Prospectus.</w:t>
      </w:r>
    </w:p>
    <w:p>
      <w:pPr>
        <w:spacing w:after="0" w:line="133" w:lineRule="exact"/>
        <w:rPr>
          <w:rFonts w:ascii="Arial" w:cs="Arial" w:eastAsia="Arial" w:hAnsi="Arial"/>
          <w:sz w:val="18"/>
          <w:szCs w:val="18"/>
          <w:b w:val="1"/>
          <w:bCs w:val="1"/>
          <w:color w:val="auto"/>
        </w:rPr>
      </w:pPr>
    </w:p>
    <w:p>
      <w:pPr>
        <w:ind w:left="1040" w:hanging="384"/>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maintain, at its expense, a registrar and transfer agent for the Securities.</w:t>
      </w:r>
    </w:p>
    <w:p>
      <w:pPr>
        <w:spacing w:after="0" w:line="184" w:lineRule="exact"/>
        <w:rPr>
          <w:rFonts w:ascii="Arial" w:cs="Arial" w:eastAsia="Arial" w:hAnsi="Arial"/>
          <w:sz w:val="18"/>
          <w:szCs w:val="18"/>
          <w:b w:val="1"/>
          <w:bCs w:val="1"/>
          <w:color w:val="auto"/>
        </w:rPr>
      </w:pPr>
    </w:p>
    <w:p>
      <w:pPr>
        <w:ind w:firstLine="656"/>
        <w:spacing w:after="0" w:line="285" w:lineRule="auto"/>
        <w:tabs>
          <w:tab w:leader="none" w:pos="1078"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Earnings Statement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make generally available to its security holders and to the Representatives as soon as reasonably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requirements of this Section 3(k) shall be satisfied to the extent that such information is available on</w:t>
      </w:r>
    </w:p>
    <w:p>
      <w:pPr>
        <w:spacing w:after="0" w:line="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EDGAR .</w:t>
      </w:r>
    </w:p>
    <w:p>
      <w:pPr>
        <w:spacing w:after="0" w:line="172" w:lineRule="exact"/>
        <w:rPr>
          <w:rFonts w:ascii="Arial" w:cs="Arial" w:eastAsia="Arial" w:hAnsi="Arial"/>
          <w:sz w:val="16"/>
          <w:szCs w:val="16"/>
          <w:b w:val="1"/>
          <w:bCs w:val="1"/>
          <w:color w:val="auto"/>
        </w:rPr>
      </w:pPr>
    </w:p>
    <w:p>
      <w:pPr>
        <w:ind w:right="40" w:firstLine="656"/>
        <w:spacing w:after="0" w:line="296" w:lineRule="auto"/>
        <w:tabs>
          <w:tab w:leader="none" w:pos="103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Continued Compliance with Securities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comply with the Securities Act and the Exchange Act so as to permit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completion of the distribution of the Securities as contemplated by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Registration Statement, the Time of Sale Prospectus and the Prospectus. Without limiting the generality of the foregoing, the Company will, during the period when a prospectus relating to the Securities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w:t>
      </w:r>
    </w:p>
    <w:p>
      <w:pPr>
        <w:spacing w:after="0" w:line="120" w:lineRule="exact"/>
        <w:rPr>
          <w:rFonts w:ascii="Arial" w:cs="Arial" w:eastAsia="Arial" w:hAnsi="Arial"/>
          <w:sz w:val="16"/>
          <w:szCs w:val="16"/>
          <w:b w:val="1"/>
          <w:bCs w:val="1"/>
          <w:color w:val="auto"/>
        </w:rPr>
      </w:pPr>
    </w:p>
    <w:p>
      <w:pPr>
        <w:ind w:right="180" w:firstLine="656"/>
        <w:spacing w:after="0" w:line="339" w:lineRule="auto"/>
        <w:tabs>
          <w:tab w:leader="none" w:pos="1127"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Listing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use its best efforts to list, subject to notice of issuance, the shares of Common Stock, and, subject to receipt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Stockholder Approval, the shares of Common Stock issuable upon conversion of the Preferred Stock on the Nasdaq.</w:t>
      </w:r>
    </w:p>
    <w:p>
      <w:pPr>
        <w:spacing w:after="0" w:line="87" w:lineRule="exact"/>
        <w:rPr>
          <w:rFonts w:ascii="Arial" w:cs="Arial" w:eastAsia="Arial" w:hAnsi="Arial"/>
          <w:sz w:val="16"/>
          <w:szCs w:val="16"/>
          <w:b w:val="1"/>
          <w:bCs w:val="1"/>
          <w:color w:val="auto"/>
        </w:rPr>
      </w:pPr>
    </w:p>
    <w:p>
      <w:pPr>
        <w:ind w:right="100" w:firstLine="656"/>
        <w:spacing w:after="0" w:line="286" w:lineRule="auto"/>
        <w:tabs>
          <w:tab w:leader="none" w:pos="1078"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 to Provide Copy of the Prospectus in Form That May be Downloaded from the Internet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requested by the Representatives,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shall cause to be prepared and delivered, at its expense, within one business day from the effective date of this Agreement, to the Representatives an “</w:t>
      </w:r>
      <w:r>
        <w:rPr>
          <w:rFonts w:ascii="Arial" w:cs="Arial" w:eastAsia="Arial" w:hAnsi="Arial"/>
          <w:sz w:val="16"/>
          <w:szCs w:val="16"/>
          <w:b w:val="1"/>
          <w:bCs w:val="1"/>
          <w:color w:val="auto"/>
        </w:rPr>
        <w:t>electronic Prospectus</w:t>
      </w:r>
      <w:r>
        <w:rPr>
          <w:rFonts w:ascii="Arial" w:cs="Arial" w:eastAsia="Arial" w:hAnsi="Arial"/>
          <w:sz w:val="16"/>
          <w:szCs w:val="16"/>
          <w:color w:val="auto"/>
        </w:rPr>
        <w:t>” to be used by the Underwriters in connection with the offering and sale of the Securities. As used herein, the term “</w:t>
      </w:r>
      <w:r>
        <w:rPr>
          <w:rFonts w:ascii="Arial" w:cs="Arial" w:eastAsia="Arial" w:hAnsi="Arial"/>
          <w:sz w:val="16"/>
          <w:szCs w:val="16"/>
          <w:b w:val="1"/>
          <w:bCs w:val="1"/>
          <w:color w:val="auto"/>
        </w:rPr>
        <w:t>electronic</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a form of Prospectus, and any amendment or supplement thereto, that meets each of the following conditions: (i) it shall be encoded in an</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format, satisfactory to the Representatives, that may be transmitted electronically by the Representatives and the other Underwriters to offerees and purchasers of the Securities;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Jefferies,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firstLine="656"/>
        <w:spacing w:after="0" w:line="283" w:lineRule="auto"/>
        <w:tabs>
          <w:tab w:leader="none" w:pos="1069"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Securities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through and including the 90th calendar day following the date of the Prospectus (such period, as extended as described below, being referred to herein as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the Company will not, without the prior written consent of the Representatives (which consent may be withheld in the Representatives’ sole discretion), directly or indirectly: (i) sell, offer to sell, contract to sell or lend any shares of Common Stock or any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of Common Stock or any Related Securities; (iii) pledge, hypothecate or grant any security interest in any shares of Common Stock or any Related Securities; (iv) in any other way transfer or dispose of any shares of Common Stock or any Related Securities; (v) enter into any swap, hedge or similar arrangement or agreement that transfers, in whole or in part, the economic risk of ownership of any shares of Common Stock or any Related Securities, regardless of whether any such transaction is to be settled in securities, in cash or otherwise; (vi) announce the offering of any shares of Common Stock or any Related Securities; (vii) submit or file any registration statement under the Securities Act in respect of any shares of Common Stock or Related Securities (other than as contemplated by this Agreement with respect to the Securities or except for registration statements on Form S-8 with respect to any and all shares of Common Stock or Related Securities to be issued pursuant to any employee benefit plans); (viii) effect a reverse stock split, recapitalization, share consolidation, reclassification or similar transaction affecting the outstanding shares of Common Stock; or (ix) publicly announce the intention to do any of the foregoing;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may (A) effect the transactions contemplated hereby; (B) issue shares of Common Stock, options or warrants or other equity awards to acquire shares of Common Stock, pursuant to any stock option, stock bonus or other stock plan or arrangement described in the Registration Statement, the Time of Sale Prospectus and the Prospectus as such plans may be amended; (C) issue shares of Common Stock upon exercise of any such options, warrants or other equity awards to acquire shares of Common Stock; (D) issue shares of Common Stock upon exercise of options, warrants or other equity awards to acquire shares of Common Stock described as outstanding in the Registration Statement, the Time of Sale Prospectus and Prospectus; (E) issue shares of Common Stock upon conversion of shares of the Company’s Series A Convertible Preferred Stock described as outstanding in the Registration Statement, the Time of Sale Prospectus and Prospectus; (F) issue shares of Common Stock upon conversion of shares of the Company’s Series B 10% Convertible Preferred Stock described as outstanding in the Registration Statement, the Time of Sale Prospectus and Prospectus (the “</w:t>
      </w:r>
      <w:r>
        <w:rPr>
          <w:rFonts w:ascii="Arial" w:cs="Arial" w:eastAsia="Arial" w:hAnsi="Arial"/>
          <w:sz w:val="16"/>
          <w:szCs w:val="16"/>
          <w:b w:val="1"/>
          <w:bCs w:val="1"/>
          <w:color w:val="auto"/>
        </w:rPr>
        <w:t>Series B Preferred</w:t>
      </w:r>
      <w:r>
        <w:rPr>
          <w:rFonts w:ascii="Arial" w:cs="Arial" w:eastAsia="Arial" w:hAnsi="Arial"/>
          <w:sz w:val="16"/>
          <w:szCs w:val="16"/>
          <w:color w:val="auto"/>
        </w:rPr>
        <w:t>”); (G) in connection with any conversion of shares of the Series B Preferred, issue shares of Common Stock issuable as payment of any accrued, but unpaid dividends on the shares of Series B Preferred to be converted; and (H) issue shares of Common Stock upon conversion of shares of the Company’s Series C Convertible Preferred Stock described as outstanding in the Registration Statement, the Time of Sale Prospectus and Prospectus. For purposes of the foregoing, “</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of Common Stock or any securities exchangeable or exercisable for or convertible into shares of Common Stock, or to acquire other securities or rights ultimately exchangeable or exercisable for, or convertible into, shares of Common Stock.</w:t>
      </w:r>
    </w:p>
    <w:p>
      <w:pPr>
        <w:spacing w:after="0" w:line="155" w:lineRule="exact"/>
        <w:rPr>
          <w:rFonts w:ascii="Arial" w:cs="Arial" w:eastAsia="Arial" w:hAnsi="Arial"/>
          <w:sz w:val="16"/>
          <w:szCs w:val="16"/>
          <w:b w:val="1"/>
          <w:bCs w:val="1"/>
          <w:color w:val="auto"/>
        </w:rPr>
      </w:pPr>
    </w:p>
    <w:p>
      <w:pPr>
        <w:jc w:val="both"/>
        <w:ind w:right="20" w:firstLine="656"/>
        <w:spacing w:after="0" w:line="284" w:lineRule="auto"/>
        <w:tabs>
          <w:tab w:leader="none" w:pos="1069"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Future Reports to the Representatives. </w:t>
      </w:r>
      <w:r>
        <w:rPr>
          <w:rFonts w:ascii="Arial" w:cs="Arial" w:eastAsia="Arial" w:hAnsi="Arial"/>
          <w:sz w:val="16"/>
          <w:szCs w:val="16"/>
          <w:color w:val="auto"/>
        </w:rPr>
        <w:t>During the period of three years hereafter, the Company will furnish to the Representative, c/o Jefferies,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520 Madison Avenue, New York, New York 10022, Attention: Global Head of Syndicate: (i) as soon as practicable after the end of each fiscal year, copies of the Annual Report of the Company containing the balance sheet of the Company as of the close of such fiscal year and statements of income,</w:t>
      </w:r>
    </w:p>
    <w:p>
      <w:pPr>
        <w:spacing w:after="0" w:line="1" w:lineRule="exact"/>
        <w:rPr>
          <w:rFonts w:ascii="Arial" w:cs="Arial" w:eastAsia="Arial" w:hAnsi="Arial"/>
          <w:sz w:val="16"/>
          <w:szCs w:val="16"/>
          <w:b w:val="1"/>
          <w:bCs w:val="1"/>
          <w:i w:val="1"/>
          <w:iCs w:val="1"/>
          <w:color w:val="auto"/>
        </w:rPr>
      </w:pPr>
    </w:p>
    <w:p>
      <w:pPr>
        <w:spacing w:after="0" w:line="292" w:lineRule="auto"/>
        <w:rPr>
          <w:rFonts w:ascii="Arial" w:cs="Arial" w:eastAsia="Arial" w:hAnsi="Arial"/>
          <w:sz w:val="16"/>
          <w:szCs w:val="16"/>
          <w:b w:val="1"/>
          <w:bCs w:val="1"/>
          <w:i w:val="1"/>
          <w:iCs w:val="1"/>
          <w:color w:val="auto"/>
        </w:rPr>
      </w:pPr>
      <w:r>
        <w:rPr>
          <w:rFonts w:ascii="Arial" w:cs="Arial" w:eastAsia="Arial" w:hAnsi="Arial"/>
          <w:sz w:val="16"/>
          <w:szCs w:val="16"/>
          <w:color w:val="auto"/>
        </w:rPr>
        <w:t xml:space="preserve">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and (iii) as soon as available, copies of any report or communication of the Company furnished or made available generally to holders of its capital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requirements of this Section 3(p) shall be satisfied to the extent that such reports, statement, communications, financial statements or other documents are available on EDGAR.</w:t>
      </w:r>
    </w:p>
    <w:p>
      <w:pPr>
        <w:spacing w:after="0" w:line="123" w:lineRule="exact"/>
        <w:rPr>
          <w:rFonts w:ascii="Arial" w:cs="Arial" w:eastAsia="Arial" w:hAnsi="Arial"/>
          <w:sz w:val="16"/>
          <w:szCs w:val="16"/>
          <w:b w:val="1"/>
          <w:bCs w:val="1"/>
          <w:i w:val="1"/>
          <w:iCs w:val="1"/>
          <w:color w:val="auto"/>
        </w:rPr>
      </w:pPr>
    </w:p>
    <w:p>
      <w:pPr>
        <w:ind w:right="120" w:firstLine="656"/>
        <w:spacing w:after="0" w:line="339" w:lineRule="auto"/>
        <w:tabs>
          <w:tab w:leader="none" w:pos="1078"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Investment Limitation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not invest or otherwise use the proceeds received by the Company from its sale of the Securities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 manner as would require the Company or any of its subsidiaries to register as an investment company under the Investment Company Act.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right="160" w:firstLine="656"/>
        <w:spacing w:after="0" w:line="301" w:lineRule="auto"/>
        <w:tabs>
          <w:tab w:leader="none" w:pos="1059"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Stabilization or Manipulation; Compliance with Regulation 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not take, and will ensure that no affiliate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will take, directly or indirectly, any action designed to or that might reasonably be expected to cause or result in stabilization or manipulation of the price of the Common Stock or any reference security with respect to the Common Stock, whether to facilitate the sale or resale of the Securities or otherwise, and the Company will, and shall cause each of its affiliates to, comply with all applicable provisions of Regulation M.</w:t>
      </w:r>
    </w:p>
    <w:p>
      <w:pPr>
        <w:spacing w:after="0" w:line="116" w:lineRule="exact"/>
        <w:rPr>
          <w:rFonts w:ascii="Arial" w:cs="Arial" w:eastAsia="Arial" w:hAnsi="Arial"/>
          <w:sz w:val="16"/>
          <w:szCs w:val="16"/>
          <w:b w:val="1"/>
          <w:bCs w:val="1"/>
          <w:color w:val="auto"/>
        </w:rPr>
      </w:pPr>
    </w:p>
    <w:p>
      <w:pPr>
        <w:ind w:right="440" w:firstLine="656"/>
        <w:spacing w:after="0" w:line="319" w:lineRule="auto"/>
        <w:tabs>
          <w:tab w:leader="none" w:pos="1049" w:val="left"/>
        </w:tabs>
        <w:numPr>
          <w:ilvl w:val="0"/>
          <w:numId w:val="22"/>
        </w:numPr>
        <w:rPr>
          <w:rFonts w:ascii="Arial" w:cs="Arial" w:eastAsia="Arial" w:hAnsi="Arial"/>
          <w:sz w:val="15"/>
          <w:szCs w:val="15"/>
          <w:color w:val="auto"/>
        </w:rPr>
      </w:pPr>
      <w:r>
        <w:rPr>
          <w:rFonts w:ascii="Arial" w:cs="Arial" w:eastAsia="Arial" w:hAnsi="Arial"/>
          <w:sz w:val="15"/>
          <w:szCs w:val="15"/>
          <w:b w:val="1"/>
          <w:bCs w:val="1"/>
          <w:i w:val="1"/>
          <w:iCs w:val="1"/>
          <w:color w:val="auto"/>
        </w:rPr>
        <w:t>Enforce Lock-Up Agreements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During the Lock-up Period, the Company will enforce all agreements between the Company and any of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securityholders that restrict or prohibit, expressly or in operation, the offer, sale or transfer of Securities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pursuant to </w:t>
      </w:r>
      <w:hyperlink w:anchor="page27">
        <w:r>
          <w:rPr>
            <w:rFonts w:ascii="Arial" w:cs="Arial" w:eastAsia="Arial" w:hAnsi="Arial"/>
            <w:sz w:val="15"/>
            <w:szCs w:val="15"/>
            <w:u w:val="single" w:color="auto"/>
            <w:color w:val="0000EE"/>
          </w:rPr>
          <w:t>Section 6(k)</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hereof.</w:t>
      </w:r>
    </w:p>
    <w:p>
      <w:pPr>
        <w:spacing w:after="0" w:line="109" w:lineRule="exact"/>
        <w:rPr>
          <w:rFonts w:ascii="Arial" w:cs="Arial" w:eastAsia="Arial" w:hAnsi="Arial"/>
          <w:sz w:val="15"/>
          <w:szCs w:val="15"/>
          <w:color w:val="auto"/>
        </w:rPr>
      </w:pPr>
    </w:p>
    <w:p>
      <w:pPr>
        <w:jc w:val="both"/>
        <w:ind w:firstLine="656"/>
        <w:spacing w:after="0" w:line="310" w:lineRule="auto"/>
        <w:tabs>
          <w:tab w:leader="none" w:pos="1039"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 to Provide Interim 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Closing Date, the Company will furnish the Underwriters, as soon as they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16" w:lineRule="exact"/>
        <w:rPr>
          <w:rFonts w:ascii="Arial" w:cs="Arial" w:eastAsia="Arial" w:hAnsi="Arial"/>
          <w:sz w:val="16"/>
          <w:szCs w:val="16"/>
          <w:b w:val="1"/>
          <w:bCs w:val="1"/>
          <w:color w:val="auto"/>
        </w:rPr>
      </w:pPr>
    </w:p>
    <w:p>
      <w:pPr>
        <w:ind w:right="120" w:firstLine="656"/>
        <w:spacing w:after="0" w:line="294" w:lineRule="auto"/>
        <w:tabs>
          <w:tab w:leader="none" w:pos="1078"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Permitted Rule 163B Communications. </w:t>
      </w:r>
      <w:r>
        <w:rPr>
          <w:rFonts w:ascii="Arial" w:cs="Arial" w:eastAsia="Arial" w:hAnsi="Arial"/>
          <w:sz w:val="16"/>
          <w:szCs w:val="16"/>
          <w:color w:val="auto"/>
        </w:rPr>
        <w:t>If at any time following the distribution of any Permitted Rule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163B Communication, there occurred or occurs an event or development as a result of which such Permitted Rule 163B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Rule 163B Communication to eliminate or correct such untrue statement or omission.</w:t>
      </w:r>
    </w:p>
    <w:p>
      <w:pPr>
        <w:spacing w:after="0" w:line="122" w:lineRule="exact"/>
        <w:rPr>
          <w:rFonts w:ascii="Arial" w:cs="Arial" w:eastAsia="Arial" w:hAnsi="Arial"/>
          <w:sz w:val="16"/>
          <w:szCs w:val="16"/>
          <w:b w:val="1"/>
          <w:bCs w:val="1"/>
          <w:color w:val="auto"/>
        </w:rPr>
      </w:pPr>
    </w:p>
    <w:p>
      <w:pPr>
        <w:ind w:firstLine="656"/>
        <w:spacing w:after="0" w:line="288" w:lineRule="auto"/>
        <w:tabs>
          <w:tab w:leader="none" w:pos="1069"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Announcement Regarding Lock-ups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announce the Underwriters’ intention to release any director or “officer” (within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meaning of Rule 16a-1(f) under the Exchange Act) of the Company from any of the restrictions imposed by any Lock-Up Agreement, by issuing, through a major news service, a press release in form and substance satisfactory to Jefferies or, if consented to by Jefferies, in a registration statement that is publicly filed in connection with a secondary offering of the Company’s shares promptly following the Company’s receipt of any notification from the Representatives in which such intention is indicated, but in any case not later than the close of the third business day prior to the date on which such release or waiver is to become effective; provided, however, that nothing shall prevent Jefferies, on behalf of the Underwriters, from announcing the same through a major news service, irrespective of whether the Company has made the required announcement;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such announcement shall be made of any release or waiver granted solely to permit a transfer of securities that is not for consideration and where the transferee has agreed in writing to be bound by the terms of a Lock-Up Agreement in the form set forth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ind w:right="20" w:firstLine="1296"/>
        <w:spacing w:after="0" w:line="283" w:lineRule="auto"/>
        <w:rPr>
          <w:sz w:val="20"/>
          <w:szCs w:val="20"/>
          <w:color w:val="auto"/>
        </w:rPr>
      </w:pPr>
      <w:r>
        <w:rPr>
          <w:rFonts w:ascii="Arial" w:cs="Arial" w:eastAsia="Arial" w:hAnsi="Arial"/>
          <w:sz w:val="16"/>
          <w:szCs w:val="16"/>
          <w:b w:val="1"/>
          <w:bCs w:val="1"/>
          <w:color w:val="auto"/>
        </w:rPr>
        <w:t xml:space="preserve">Section 4. Payment of Expenses. </w:t>
      </w:r>
      <w:r>
        <w:rPr>
          <w:rFonts w:ascii="Arial" w:cs="Arial" w:eastAsia="Arial" w:hAnsi="Arial"/>
          <w:sz w:val="16"/>
          <w:szCs w:val="16"/>
          <w:color w:val="auto"/>
        </w:rPr>
        <w:t>The Company agrees to pay all costs, fees and expenses incurred in connection with the performance of</w:t>
      </w:r>
      <w:r>
        <w:rPr>
          <w:rFonts w:ascii="Arial" w:cs="Arial" w:eastAsia="Arial" w:hAnsi="Arial"/>
          <w:sz w:val="16"/>
          <w:szCs w:val="16"/>
          <w:b w:val="1"/>
          <w:bCs w:val="1"/>
          <w:color w:val="auto"/>
        </w:rPr>
        <w:t xml:space="preserve"> </w:t>
      </w:r>
      <w:r>
        <w:rPr>
          <w:rFonts w:ascii="Arial" w:cs="Arial" w:eastAsia="Arial" w:hAnsi="Arial"/>
          <w:sz w:val="16"/>
          <w:szCs w:val="16"/>
          <w:color w:val="auto"/>
        </w:rPr>
        <w:t>its obligations hereunder and in connection with the transactions contemplated hereby, including without limitation (i) all expenses incident to the issuance and delivery of the Securities (including all printing and engraving costs), (ii) all fees and expenses of the registrar and transfer agent of the Securities, (iii) all necessary issue, transfer and other stamp taxes in connection with the issuance and sale of the Securities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Rule 163B Communication, and all amendments and supplements thereto, and this Agreement,</w:t>
      </w:r>
    </w:p>
    <w:p>
      <w:pPr>
        <w:spacing w:after="0" w:line="5" w:lineRule="exact"/>
        <w:rPr>
          <w:sz w:val="20"/>
          <w:szCs w:val="20"/>
          <w:color w:val="auto"/>
        </w:rPr>
      </w:pPr>
    </w:p>
    <w:p>
      <w:pPr>
        <w:ind w:right="20" w:firstLine="8"/>
        <w:spacing w:after="0" w:line="305" w:lineRule="auto"/>
        <w:tabs>
          <w:tab w:leader="none" w:pos="297" w:val="left"/>
        </w:tabs>
        <w:numPr>
          <w:ilvl w:val="0"/>
          <w:numId w:val="23"/>
        </w:numPr>
        <w:rPr>
          <w:rFonts w:ascii="Arial" w:cs="Arial" w:eastAsia="Arial" w:hAnsi="Arial"/>
          <w:sz w:val="15"/>
          <w:szCs w:val="15"/>
          <w:color w:val="0000EE"/>
        </w:rPr>
      </w:pPr>
      <w:r>
        <w:rPr>
          <w:rFonts w:ascii="Arial" w:cs="Arial" w:eastAsia="Arial" w:hAnsi="Arial"/>
          <w:sz w:val="15"/>
          <w:szCs w:val="15"/>
          <w:color w:val="auto"/>
        </w:rPr>
        <w:t>all filing fees, attorneys’ fees and expenses incurred by the Company or the Underwriters in connection with qualifying or registering (or obtaining exemptions from the qualification or registration of) all or any part of the Securities for offer and sale under the state securities or blue sky laws,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Securities, including any related filing fees and the legal fees of, and disbursements by, counsel to the Underwriters (such fees of and disbursements by counsel to the Underwriters pursuant to clauses (vi) and (vii) not to exceed $15,000 in the aggregate)</w:t>
      </w:r>
      <w:r>
        <w:rPr>
          <w:rFonts w:ascii="Arial" w:cs="Arial" w:eastAsia="Arial" w:hAnsi="Arial"/>
          <w:sz w:val="15"/>
          <w:szCs w:val="15"/>
          <w:b w:val="1"/>
          <w:bCs w:val="1"/>
          <w:color w:val="auto"/>
        </w:rPr>
        <w:t>,</w:t>
      </w:r>
      <w:r>
        <w:rPr>
          <w:rFonts w:ascii="Arial" w:cs="Arial" w:eastAsia="Arial" w:hAnsi="Arial"/>
          <w:sz w:val="15"/>
          <w:szCs w:val="15"/>
          <w:color w:val="auto"/>
        </w:rPr>
        <w:t xml:space="preserve"> (viii) the costs and expenses of the Company relating to investor presentations on any “road show”, any Permitted Rule 163B Communication or any Rule 163B Oral Communication undertaken in connection with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one-half the cost of any aircraft chartered in connection with the road show, (ix) the fees and expenses associated with listing the shares of Common Stock on the Nasdaq, and (x) all other fees, costs and expenses of the nature referred to in Item 14 of Part II of the Registration Statement. Except as provided in this </w:t>
      </w:r>
      <w:hyperlink w:anchor="page25">
        <w:r>
          <w:rPr>
            <w:rFonts w:ascii="Arial" w:cs="Arial" w:eastAsia="Arial" w:hAnsi="Arial"/>
            <w:sz w:val="15"/>
            <w:szCs w:val="15"/>
            <w:u w:val="single" w:color="auto"/>
            <w:color w:val="0000EE"/>
          </w:rPr>
          <w:t>Section 4</w:t>
        </w:r>
        <w:r>
          <w:rPr>
            <w:rFonts w:ascii="Arial" w:cs="Arial" w:eastAsia="Arial" w:hAnsi="Arial"/>
            <w:sz w:val="15"/>
            <w:szCs w:val="15"/>
            <w:color w:val="0000EE"/>
          </w:rPr>
          <w:t xml:space="preserve"> </w:t>
        </w:r>
      </w:hyperlink>
      <w:r>
        <w:rPr>
          <w:rFonts w:ascii="Arial" w:cs="Arial" w:eastAsia="Arial" w:hAnsi="Arial"/>
          <w:sz w:val="15"/>
          <w:szCs w:val="15"/>
          <w:color w:val="000000"/>
        </w:rPr>
        <w:t>or</w:t>
      </w:r>
      <w:r>
        <w:rPr>
          <w:rFonts w:ascii="Arial" w:cs="Arial" w:eastAsia="Arial" w:hAnsi="Arial"/>
          <w:sz w:val="15"/>
          <w:szCs w:val="15"/>
          <w:color w:val="0000EE"/>
        </w:rPr>
        <w:t xml:space="preserve"> </w:t>
      </w:r>
      <w:r>
        <w:rPr>
          <w:rFonts w:ascii="Arial" w:cs="Arial" w:eastAsia="Arial" w:hAnsi="Arial"/>
          <w:sz w:val="15"/>
          <w:szCs w:val="15"/>
          <w:color w:val="000000"/>
        </w:rPr>
        <w:t>in</w:t>
      </w:r>
      <w:r>
        <w:rPr>
          <w:rFonts w:ascii="Arial" w:cs="Arial" w:eastAsia="Arial" w:hAnsi="Arial"/>
          <w:sz w:val="15"/>
          <w:szCs w:val="15"/>
          <w:color w:val="0000EE"/>
        </w:rPr>
        <w:t xml:space="preserve"> </w:t>
      </w:r>
      <w:hyperlink w:anchor="page27">
        <w:r>
          <w:rPr>
            <w:rFonts w:ascii="Arial" w:cs="Arial" w:eastAsia="Arial" w:hAnsi="Arial"/>
            <w:sz w:val="15"/>
            <w:szCs w:val="15"/>
            <w:u w:val="single" w:color="auto"/>
            <w:color w:val="0000EE"/>
          </w:rPr>
          <w:t>Section 7</w:t>
        </w:r>
      </w:hyperlink>
      <w:r>
        <w:rPr>
          <w:rFonts w:ascii="Arial" w:cs="Arial" w:eastAsia="Arial" w:hAnsi="Arial"/>
          <w:sz w:val="15"/>
          <w:szCs w:val="15"/>
          <w:color w:val="000000"/>
        </w:rPr>
        <w:t>,</w:t>
      </w:r>
      <w:r>
        <w:rPr>
          <w:rFonts w:ascii="Arial" w:cs="Arial" w:eastAsia="Arial" w:hAnsi="Arial"/>
          <w:sz w:val="15"/>
          <w:szCs w:val="15"/>
          <w:color w:val="0000EE"/>
        </w:rPr>
        <w:t xml:space="preserve"> </w:t>
      </w:r>
      <w:hyperlink w:anchor="page28">
        <w:r>
          <w:rPr>
            <w:rFonts w:ascii="Arial" w:cs="Arial" w:eastAsia="Arial" w:hAnsi="Arial"/>
            <w:sz w:val="15"/>
            <w:szCs w:val="15"/>
            <w:u w:val="single" w:color="auto"/>
            <w:color w:val="0000EE"/>
          </w:rPr>
          <w:t xml:space="preserve">Section 9 </w:t>
        </w:r>
      </w:hyperlink>
      <w:r>
        <w:rPr>
          <w:rFonts w:ascii="Arial" w:cs="Arial" w:eastAsia="Arial" w:hAnsi="Arial"/>
          <w:sz w:val="15"/>
          <w:szCs w:val="15"/>
          <w:color w:val="000000"/>
        </w:rPr>
        <w:t>or</w:t>
      </w:r>
      <w:r>
        <w:rPr>
          <w:rFonts w:ascii="Arial" w:cs="Arial" w:eastAsia="Arial" w:hAnsi="Arial"/>
          <w:sz w:val="15"/>
          <w:szCs w:val="15"/>
          <w:color w:val="0000EE"/>
        </w:rPr>
        <w:t xml:space="preserve"> </w:t>
      </w:r>
      <w:hyperlink w:anchor="page30">
        <w:r>
          <w:rPr>
            <w:rFonts w:ascii="Arial" w:cs="Arial" w:eastAsia="Arial" w:hAnsi="Arial"/>
            <w:sz w:val="15"/>
            <w:szCs w:val="15"/>
            <w:u w:val="single" w:color="auto"/>
            <w:color w:val="0000EE"/>
          </w:rPr>
          <w:t xml:space="preserve">Section 10 </w:t>
        </w:r>
      </w:hyperlink>
      <w:r>
        <w:rPr>
          <w:rFonts w:ascii="Arial" w:cs="Arial" w:eastAsia="Arial" w:hAnsi="Arial"/>
          <w:sz w:val="15"/>
          <w:szCs w:val="15"/>
          <w:color w:val="000000"/>
        </w:rPr>
        <w:t>hereof,</w:t>
      </w:r>
      <w:r>
        <w:rPr>
          <w:rFonts w:ascii="Arial" w:cs="Arial" w:eastAsia="Arial" w:hAnsi="Arial"/>
          <w:sz w:val="15"/>
          <w:szCs w:val="15"/>
          <w:color w:val="0000EE"/>
        </w:rPr>
        <w:t xml:space="preserve"> </w:t>
      </w:r>
      <w:r>
        <w:rPr>
          <w:rFonts w:ascii="Arial" w:cs="Arial" w:eastAsia="Arial" w:hAnsi="Arial"/>
          <w:sz w:val="15"/>
          <w:szCs w:val="15"/>
          <w:color w:val="000000"/>
        </w:rPr>
        <w:t>the Underwriters shall pay their own expenses, including the fees and disbursements of their counsel.</w:t>
      </w:r>
    </w:p>
    <w:p>
      <w:pPr>
        <w:spacing w:after="0" w:line="118" w:lineRule="exact"/>
        <w:rPr>
          <w:rFonts w:ascii="Arial" w:cs="Arial" w:eastAsia="Arial" w:hAnsi="Arial"/>
          <w:sz w:val="15"/>
          <w:szCs w:val="15"/>
          <w:color w:val="0000EE"/>
        </w:rPr>
      </w:pPr>
    </w:p>
    <w:p>
      <w:pPr>
        <w:ind w:firstLine="1296"/>
        <w:spacing w:after="0" w:line="310" w:lineRule="auto"/>
        <w:rPr>
          <w:sz w:val="20"/>
          <w:szCs w:val="20"/>
          <w:color w:val="auto"/>
        </w:rPr>
      </w:pPr>
      <w:r>
        <w:rPr>
          <w:rFonts w:ascii="Arial" w:cs="Arial" w:eastAsia="Arial" w:hAnsi="Arial"/>
          <w:sz w:val="16"/>
          <w:szCs w:val="16"/>
          <w:b w:val="1"/>
          <w:bCs w:val="1"/>
          <w:color w:val="auto"/>
        </w:rPr>
        <w:t xml:space="preserve">Section 5. Covenant of the Underwriters. </w:t>
      </w:r>
      <w:r>
        <w:rPr>
          <w:rFonts w:ascii="Arial" w:cs="Arial" w:eastAsia="Arial" w:hAnsi="Arial"/>
          <w:sz w:val="16"/>
          <w:szCs w:val="16"/>
          <w:color w:val="auto"/>
        </w:rPr>
        <w:t>Each Underwriter severally and not jointly covenants with the Company not to take any action</w:t>
      </w:r>
      <w:r>
        <w:rPr>
          <w:rFonts w:ascii="Arial" w:cs="Arial" w:eastAsia="Arial" w:hAnsi="Arial"/>
          <w:sz w:val="16"/>
          <w:szCs w:val="16"/>
          <w:b w:val="1"/>
          <w:bCs w:val="1"/>
          <w:color w:val="auto"/>
        </w:rPr>
        <w:t xml:space="preserve"> </w:t>
      </w:r>
      <w:r>
        <w:rPr>
          <w:rFonts w:ascii="Arial" w:cs="Arial" w:eastAsia="Arial" w:hAnsi="Arial"/>
          <w:sz w:val="16"/>
          <w:szCs w:val="16"/>
          <w:color w:val="auto"/>
        </w:rPr>
        <w:t>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11" w:lineRule="exact"/>
        <w:rPr>
          <w:rFonts w:ascii="Arial" w:cs="Arial" w:eastAsia="Arial" w:hAnsi="Arial"/>
          <w:sz w:val="15"/>
          <w:szCs w:val="15"/>
          <w:color w:val="0000EE"/>
        </w:rPr>
      </w:pPr>
    </w:p>
    <w:p>
      <w:pPr>
        <w:ind w:right="40" w:firstLine="1296"/>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Section 6. Conditions of the Obligations of the Underwriters. </w:t>
      </w:r>
      <w:r>
        <w:rPr>
          <w:rFonts w:ascii="Arial" w:cs="Arial" w:eastAsia="Arial" w:hAnsi="Arial"/>
          <w:sz w:val="18"/>
          <w:szCs w:val="18"/>
          <w:color w:val="auto"/>
        </w:rPr>
        <w:t>The respective obligations of the several Underwriters hereunder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and pay for the Securities as provided herein on the Closing Date shall be subject to (x) the accuracy of the representations and warranties on the part of the Company set forth in </w:t>
      </w:r>
      <w:hyperlink w:anchor="page8">
        <w:r>
          <w:rPr>
            <w:rFonts w:ascii="Arial" w:cs="Arial" w:eastAsia="Arial" w:hAnsi="Arial"/>
            <w:sz w:val="18"/>
            <w:szCs w:val="18"/>
            <w:u w:val="single" w:color="auto"/>
            <w:color w:val="0000EE"/>
          </w:rPr>
          <w:t>Section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hereof as of the date hereof and as of the Closing Date as though then made (except in each case for representations and warranties made as of a specified date, which shall be accurate (in all material respects or in all respects, as applicable) only as of the specified date), and (y) to the timely performance, in all material respects, by the Company of its covenants and other obligations hereunder, and to each of the following additional conditions:</w:t>
      </w:r>
    </w:p>
    <w:p>
      <w:pPr>
        <w:spacing w:after="0" w:line="152" w:lineRule="exact"/>
        <w:rPr>
          <w:rFonts w:ascii="Arial" w:cs="Arial" w:eastAsia="Arial" w:hAnsi="Arial"/>
          <w:sz w:val="15"/>
          <w:szCs w:val="15"/>
          <w:color w:val="0000EE"/>
        </w:rPr>
      </w:pPr>
    </w:p>
    <w:p>
      <w:pPr>
        <w:ind w:right="80" w:firstLine="656"/>
        <w:spacing w:after="0" w:line="306" w:lineRule="auto"/>
        <w:tabs>
          <w:tab w:leader="none" w:pos="1069"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Comfort Letter</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the date hereof, the Representatives shall have received from OUM &amp; Co. LLP, independent registered public accountants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w:t>
      </w:r>
    </w:p>
    <w:p>
      <w:pPr>
        <w:ind w:right="300"/>
        <w:spacing w:after="0" w:line="260" w:lineRule="auto"/>
        <w:rPr>
          <w:rFonts w:ascii="Arial" w:cs="Arial" w:eastAsia="Arial" w:hAnsi="Arial"/>
          <w:sz w:val="15"/>
          <w:szCs w:val="15"/>
          <w:b w:val="1"/>
          <w:bCs w:val="1"/>
          <w:color w:val="auto"/>
        </w:rPr>
      </w:pPr>
      <w:r>
        <w:rPr>
          <w:rFonts w:ascii="Arial" w:cs="Arial" w:eastAsia="Arial" w:hAnsi="Arial"/>
          <w:sz w:val="18"/>
          <w:szCs w:val="18"/>
          <w:color w:val="auto"/>
        </w:rPr>
        <w:t>72 (or any successor bulletin), with respect to the audited and unaudited financial statements and certain financial information contained in the Registration Statement, the Time of Sale Prospectus, and each free writing prospectus, if any.</w:t>
      </w:r>
    </w:p>
    <w:p>
      <w:pPr>
        <w:spacing w:after="0" w:line="200" w:lineRule="exact"/>
        <w:rPr>
          <w:rFonts w:ascii="Arial" w:cs="Arial" w:eastAsia="Arial" w:hAnsi="Arial"/>
          <w:sz w:val="15"/>
          <w:szCs w:val="15"/>
          <w:color w:val="0000EE"/>
        </w:rPr>
      </w:pPr>
    </w:p>
    <w:p>
      <w:pPr>
        <w:spacing w:after="0" w:line="358" w:lineRule="exact"/>
        <w:rPr>
          <w:rFonts w:ascii="Arial" w:cs="Arial" w:eastAsia="Arial" w:hAnsi="Arial"/>
          <w:sz w:val="15"/>
          <w:szCs w:val="15"/>
          <w:color w:val="0000EE"/>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5" w:name="page26"/>
    <w:bookmarkEnd w:id="25"/>
    <w:p>
      <w:pPr>
        <w:ind w:right="540" w:firstLine="656"/>
        <w:spacing w:after="0" w:line="268" w:lineRule="auto"/>
        <w:tabs>
          <w:tab w:leader="none" w:pos="1078"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Registration Requirements; No Stop Order; No Objection from FINRA. </w:t>
      </w:r>
      <w:r>
        <w:rPr>
          <w:rFonts w:ascii="Arial" w:cs="Arial" w:eastAsia="Arial" w:hAnsi="Arial"/>
          <w:sz w:val="18"/>
          <w:szCs w:val="18"/>
          <w:color w:val="auto"/>
        </w:rPr>
        <w:t>For the period from and after the date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through and including the Closing Date and:</w:t>
      </w:r>
    </w:p>
    <w:p>
      <w:pPr>
        <w:spacing w:after="0" w:line="145" w:lineRule="exact"/>
        <w:rPr>
          <w:rFonts w:ascii="Arial" w:cs="Arial" w:eastAsia="Arial" w:hAnsi="Arial"/>
          <w:sz w:val="18"/>
          <w:szCs w:val="18"/>
          <w:b w:val="1"/>
          <w:bCs w:val="1"/>
          <w:color w:val="auto"/>
        </w:rPr>
      </w:pPr>
    </w:p>
    <w:p>
      <w:pPr>
        <w:ind w:left="660" w:right="220" w:firstLine="1292"/>
        <w:spacing w:after="0" w:line="259" w:lineRule="auto"/>
        <w:tabs>
          <w:tab w:leader="none" w:pos="233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w:t>
      </w:r>
    </w:p>
    <w:p>
      <w:pPr>
        <w:spacing w:after="0" w:line="153" w:lineRule="exact"/>
        <w:rPr>
          <w:rFonts w:ascii="Arial" w:cs="Arial" w:eastAsia="Arial" w:hAnsi="Arial"/>
          <w:sz w:val="18"/>
          <w:szCs w:val="18"/>
          <w:color w:val="auto"/>
        </w:rPr>
      </w:pPr>
    </w:p>
    <w:p>
      <w:pPr>
        <w:ind w:left="660" w:right="60" w:firstLine="1292"/>
        <w:spacing w:after="0" w:line="259" w:lineRule="auto"/>
        <w:tabs>
          <w:tab w:leader="none" w:pos="2386"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post-effective amendment to the Registration Statement shall be in effect, and no proceedings for such purpose shall have been instituted or, to the Company’s knowledge, threatened by the Commission.</w:t>
      </w:r>
    </w:p>
    <w:p>
      <w:pPr>
        <w:spacing w:after="0" w:line="153" w:lineRule="exact"/>
        <w:rPr>
          <w:rFonts w:ascii="Arial" w:cs="Arial" w:eastAsia="Arial" w:hAnsi="Arial"/>
          <w:sz w:val="18"/>
          <w:szCs w:val="18"/>
          <w:color w:val="auto"/>
        </w:rPr>
      </w:pPr>
    </w:p>
    <w:p>
      <w:pPr>
        <w:ind w:left="660" w:right="520" w:firstLine="1292"/>
        <w:spacing w:after="0" w:line="268" w:lineRule="auto"/>
        <w:tabs>
          <w:tab w:leader="none" w:pos="24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a filing has been made with FINRA, FINRA shall have raised no objection to the fairness and reasonableness of the underwriting terms and arrangements.</w:t>
      </w:r>
    </w:p>
    <w:p>
      <w:pPr>
        <w:spacing w:after="0" w:line="139" w:lineRule="exact"/>
        <w:rPr>
          <w:rFonts w:ascii="Arial" w:cs="Arial" w:eastAsia="Arial" w:hAnsi="Arial"/>
          <w:sz w:val="18"/>
          <w:szCs w:val="18"/>
          <w:color w:val="auto"/>
        </w:rPr>
      </w:pPr>
    </w:p>
    <w:p>
      <w:pPr>
        <w:ind w:right="140" w:firstLine="656"/>
        <w:spacing w:after="0" w:line="275" w:lineRule="auto"/>
        <w:tabs>
          <w:tab w:leader="none" w:pos="1059"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Adverse Change or Ratings Agency Change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period from and after the date of this Agreement and through and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Closing Date:</w:t>
      </w:r>
    </w:p>
    <w:p>
      <w:pPr>
        <w:spacing w:after="0" w:line="139" w:lineRule="exact"/>
        <w:rPr>
          <w:rFonts w:ascii="Arial" w:cs="Arial" w:eastAsia="Arial" w:hAnsi="Arial"/>
          <w:sz w:val="18"/>
          <w:szCs w:val="18"/>
          <w:b w:val="1"/>
          <w:bCs w:val="1"/>
          <w:color w:val="auto"/>
        </w:rPr>
      </w:pPr>
    </w:p>
    <w:p>
      <w:pPr>
        <w:ind w:left="2340" w:hanging="388"/>
        <w:spacing w:after="0"/>
        <w:tabs>
          <w:tab w:leader="none" w:pos="23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judgment of the Representatives there shall not have occurred any Material Adverse Change; and</w:t>
      </w:r>
    </w:p>
    <w:p>
      <w:pPr>
        <w:spacing w:after="0" w:line="184" w:lineRule="exact"/>
        <w:rPr>
          <w:rFonts w:ascii="Arial" w:cs="Arial" w:eastAsia="Arial" w:hAnsi="Arial"/>
          <w:sz w:val="18"/>
          <w:szCs w:val="18"/>
          <w:color w:val="auto"/>
        </w:rPr>
      </w:pPr>
    </w:p>
    <w:p>
      <w:pPr>
        <w:ind w:left="660" w:right="40" w:firstLine="1292"/>
        <w:spacing w:after="0" w:line="256" w:lineRule="auto"/>
        <w:tabs>
          <w:tab w:leader="none" w:pos="238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pacing w:after="0" w:line="150" w:lineRule="exact"/>
        <w:rPr>
          <w:rFonts w:ascii="Arial" w:cs="Arial" w:eastAsia="Arial" w:hAnsi="Arial"/>
          <w:sz w:val="18"/>
          <w:szCs w:val="18"/>
          <w:color w:val="auto"/>
        </w:rPr>
      </w:pPr>
    </w:p>
    <w:p>
      <w:pPr>
        <w:ind w:firstLine="656"/>
        <w:spacing w:after="0" w:line="262" w:lineRule="auto"/>
        <w:tabs>
          <w:tab w:leader="none" w:pos="1078"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Latham &amp; Watkins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Closing Date, the Representatives shall have received the (i) opinion and negative assurance letter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Latham &amp; Watkins LLP, counsel for the Company and (ii) tax opinion of Latham &amp; Watkins, LLP, counsel for the Company, each dated as of such date, in form and substance reasonably satisfactory to the Representative.</w:t>
      </w:r>
    </w:p>
    <w:p>
      <w:pPr>
        <w:spacing w:after="0" w:line="151" w:lineRule="exact"/>
        <w:rPr>
          <w:rFonts w:ascii="Arial" w:cs="Arial" w:eastAsia="Arial" w:hAnsi="Arial"/>
          <w:sz w:val="18"/>
          <w:szCs w:val="18"/>
          <w:b w:val="1"/>
          <w:bCs w:val="1"/>
          <w:color w:val="auto"/>
        </w:rPr>
      </w:pPr>
    </w:p>
    <w:p>
      <w:pPr>
        <w:ind w:right="200" w:firstLine="656"/>
        <w:spacing w:after="0" w:line="259" w:lineRule="auto"/>
        <w:tabs>
          <w:tab w:leader="none" w:pos="1059"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Opinion of Capital Technology Law Group. </w:t>
      </w:r>
      <w:r>
        <w:rPr>
          <w:rFonts w:ascii="Arial" w:cs="Arial" w:eastAsia="Arial" w:hAnsi="Arial"/>
          <w:sz w:val="18"/>
          <w:szCs w:val="18"/>
          <w:color w:val="auto"/>
        </w:rPr>
        <w:t>On the Closing Date, the Representatives shall have received the opinion of Capital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Group, counsel for the Company with respect to intellectual property matters, dated as of such date, in form and substance reasonably satisfactory to the Representatives.</w:t>
      </w:r>
    </w:p>
    <w:p>
      <w:pPr>
        <w:spacing w:after="0" w:line="153" w:lineRule="exact"/>
        <w:rPr>
          <w:rFonts w:ascii="Arial" w:cs="Arial" w:eastAsia="Arial" w:hAnsi="Arial"/>
          <w:sz w:val="18"/>
          <w:szCs w:val="18"/>
          <w:b w:val="1"/>
          <w:bCs w:val="1"/>
          <w:color w:val="auto"/>
        </w:rPr>
      </w:pPr>
    </w:p>
    <w:p>
      <w:pPr>
        <w:jc w:val="both"/>
        <w:ind w:right="540" w:firstLine="656"/>
        <w:spacing w:after="0" w:line="259" w:lineRule="auto"/>
        <w:tabs>
          <w:tab w:leader="none" w:pos="1039"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Opinion of Hyman, Phelps &amp; McNamara. </w:t>
      </w:r>
      <w:r>
        <w:rPr>
          <w:rFonts w:ascii="Arial" w:cs="Arial" w:eastAsia="Arial" w:hAnsi="Arial"/>
          <w:sz w:val="18"/>
          <w:szCs w:val="18"/>
          <w:color w:val="auto"/>
        </w:rPr>
        <w:t>On the Closing Date, the Representatives shall have received an opinion of Hyman, Phelps &amp;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McNamara, P.C., counsel for the Company with respect to regulatory matters, dated as of such date, in form and substance reasonably satisfactory to the Representatives.</w:t>
      </w:r>
    </w:p>
    <w:p>
      <w:pPr>
        <w:spacing w:after="0" w:line="153" w:lineRule="exact"/>
        <w:rPr>
          <w:rFonts w:ascii="Arial" w:cs="Arial" w:eastAsia="Arial" w:hAnsi="Arial"/>
          <w:sz w:val="18"/>
          <w:szCs w:val="18"/>
          <w:b w:val="1"/>
          <w:bCs w:val="1"/>
          <w:color w:val="auto"/>
        </w:rPr>
      </w:pPr>
    </w:p>
    <w:p>
      <w:pPr>
        <w:ind w:right="80" w:firstLine="656"/>
        <w:spacing w:after="0" w:line="259" w:lineRule="auto"/>
        <w:tabs>
          <w:tab w:leader="none" w:pos="1069"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Opinion of Woodburn and Wedge. </w:t>
      </w:r>
      <w:r>
        <w:rPr>
          <w:rFonts w:ascii="Arial" w:cs="Arial" w:eastAsia="Arial" w:hAnsi="Arial"/>
          <w:sz w:val="18"/>
          <w:szCs w:val="18"/>
          <w:color w:val="auto"/>
        </w:rPr>
        <w:t>On the Closing Date, the Representatives shall have received an opinion of Woodburn and Wedge, counsel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Company with respect to the due authorization and valid issuance of the Securities, dated as of such date, in form and substance reasonably satisfactory to the Representatives.</w:t>
      </w:r>
    </w:p>
    <w:p>
      <w:pPr>
        <w:spacing w:after="0" w:line="147" w:lineRule="exact"/>
        <w:rPr>
          <w:rFonts w:ascii="Arial" w:cs="Arial" w:eastAsia="Arial" w:hAnsi="Arial"/>
          <w:sz w:val="18"/>
          <w:szCs w:val="18"/>
          <w:b w:val="1"/>
          <w:bCs w:val="1"/>
          <w:color w:val="auto"/>
        </w:rPr>
      </w:pPr>
    </w:p>
    <w:p>
      <w:pPr>
        <w:ind w:right="340" w:firstLine="656"/>
        <w:spacing w:after="0" w:line="262" w:lineRule="auto"/>
        <w:tabs>
          <w:tab w:leader="none" w:pos="1078"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Closing Date, the Representatives shall have received the opinion and negative assurance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 of Cooley LLP, counsel for the Underwriters in connection with the offer and sale of the Securities, dated as of such date, in form and substance satisfactory to the Underwriters.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6" w:name="page27"/>
    <w:bookmarkEnd w:id="26"/>
    <w:p>
      <w:pPr>
        <w:ind w:right="180" w:firstLine="656"/>
        <w:spacing w:after="0" w:line="339" w:lineRule="auto"/>
        <w:tabs>
          <w:tab w:leader="none" w:pos="103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Officers’ Certificate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Closing Date, the Representatives shall have received a certificate executed by the Chief Executive Officer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Company and the Chief Financial Officer of the Company, dated as of such date, to the effect set forth in </w:t>
      </w:r>
      <w:hyperlink w:anchor="page26">
        <w:r>
          <w:rPr>
            <w:rFonts w:ascii="Arial" w:cs="Arial" w:eastAsia="Arial" w:hAnsi="Arial"/>
            <w:sz w:val="16"/>
            <w:szCs w:val="16"/>
            <w:u w:val="single" w:color="auto"/>
            <w:color w:val="0000EE"/>
          </w:rPr>
          <w:t>Section 6(b)(ii)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further to the effect that:</w:t>
      </w:r>
    </w:p>
    <w:p>
      <w:pPr>
        <w:spacing w:after="0" w:line="93" w:lineRule="exact"/>
        <w:rPr>
          <w:rFonts w:ascii="Arial" w:cs="Arial" w:eastAsia="Arial" w:hAnsi="Arial"/>
          <w:sz w:val="16"/>
          <w:szCs w:val="16"/>
          <w:color w:val="auto"/>
        </w:rPr>
      </w:pPr>
    </w:p>
    <w:p>
      <w:pPr>
        <w:ind w:left="660" w:right="400" w:firstLine="1292"/>
        <w:spacing w:after="0" w:line="268" w:lineRule="auto"/>
        <w:tabs>
          <w:tab w:leader="none" w:pos="2338"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 the period from and including the date of this Agreement through and including such date, there has not occurred any Material Adverse Change;</w:t>
      </w:r>
    </w:p>
    <w:p>
      <w:pPr>
        <w:spacing w:after="0" w:line="145" w:lineRule="exact"/>
        <w:rPr>
          <w:rFonts w:ascii="Arial" w:cs="Arial" w:eastAsia="Arial" w:hAnsi="Arial"/>
          <w:sz w:val="18"/>
          <w:szCs w:val="18"/>
          <w:color w:val="auto"/>
        </w:rPr>
      </w:pPr>
    </w:p>
    <w:p>
      <w:pPr>
        <w:ind w:left="660" w:right="260" w:firstLine="1292"/>
        <w:spacing w:after="0" w:line="268" w:lineRule="auto"/>
        <w:tabs>
          <w:tab w:leader="none" w:pos="2386"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45" w:lineRule="exact"/>
        <w:rPr>
          <w:rFonts w:ascii="Arial" w:cs="Arial" w:eastAsia="Arial" w:hAnsi="Arial"/>
          <w:sz w:val="18"/>
          <w:szCs w:val="18"/>
          <w:color w:val="auto"/>
        </w:rPr>
      </w:pPr>
    </w:p>
    <w:p>
      <w:pPr>
        <w:ind w:left="660" w:right="180" w:firstLine="1292"/>
        <w:spacing w:after="0" w:line="268" w:lineRule="auto"/>
        <w:tabs>
          <w:tab w:leader="none" w:pos="2435"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39" w:lineRule="exact"/>
        <w:rPr>
          <w:sz w:val="20"/>
          <w:szCs w:val="20"/>
          <w:color w:val="auto"/>
        </w:rPr>
      </w:pPr>
    </w:p>
    <w:p>
      <w:pPr>
        <w:ind w:firstLine="656"/>
        <w:spacing w:after="0" w:line="326" w:lineRule="auto"/>
        <w:tabs>
          <w:tab w:leader="none" w:pos="1039" w:val="left"/>
        </w:tabs>
        <w:numPr>
          <w:ilvl w:val="0"/>
          <w:numId w:val="27"/>
        </w:numPr>
        <w:rPr>
          <w:rFonts w:ascii="Arial" w:cs="Arial" w:eastAsia="Arial" w:hAnsi="Arial"/>
          <w:sz w:val="15"/>
          <w:szCs w:val="15"/>
          <w:color w:val="auto"/>
        </w:rPr>
      </w:pPr>
      <w:r>
        <w:rPr>
          <w:rFonts w:ascii="Arial" w:cs="Arial" w:eastAsia="Arial" w:hAnsi="Arial"/>
          <w:sz w:val="15"/>
          <w:szCs w:val="15"/>
          <w:b w:val="1"/>
          <w:bCs w:val="1"/>
          <w:i w:val="1"/>
          <w:iCs w:val="1"/>
          <w:color w:val="auto"/>
        </w:rPr>
        <w:t>Bring-down Comfort Letter</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the Closing Date, the Representatives shall have received from OUM &amp; Co. LLP, independent registered public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accountants for the Company, a letter dated such date, in form and substance satisfactory to the Representatives, which letter shall: (i) reaffirm the statements made in the letter furnished by them pursuant to </w:t>
      </w:r>
      <w:hyperlink w:anchor="page25">
        <w:r>
          <w:rPr>
            <w:rFonts w:ascii="Arial" w:cs="Arial" w:eastAsia="Arial" w:hAnsi="Arial"/>
            <w:sz w:val="15"/>
            <w:szCs w:val="15"/>
            <w:u w:val="single" w:color="auto"/>
            <w:color w:val="0000EE"/>
          </w:rPr>
          <w:t>Section 6(a)</w:t>
        </w:r>
      </w:hyperlink>
      <w:r>
        <w:rPr>
          <w:rFonts w:ascii="Arial" w:cs="Arial" w:eastAsia="Arial" w:hAnsi="Arial"/>
          <w:sz w:val="15"/>
          <w:szCs w:val="15"/>
          <w:color w:val="auto"/>
        </w:rPr>
        <w:t>, except that the specified date referred to therein for the carrying out of procedures shall be no more than three business days prior to the Closing Date, as the case may be; and (ii) cover certain financial information contained in the Prospectus.</w:t>
      </w:r>
    </w:p>
    <w:p>
      <w:pPr>
        <w:spacing w:after="0" w:line="108" w:lineRule="exact"/>
        <w:rPr>
          <w:rFonts w:ascii="Arial" w:cs="Arial" w:eastAsia="Arial" w:hAnsi="Arial"/>
          <w:sz w:val="15"/>
          <w:szCs w:val="15"/>
          <w:color w:val="auto"/>
        </w:rPr>
      </w:pPr>
    </w:p>
    <w:p>
      <w:pPr>
        <w:ind w:right="380" w:firstLine="656"/>
        <w:spacing w:after="0" w:line="331" w:lineRule="auto"/>
        <w:tabs>
          <w:tab w:leader="none" w:pos="1078" w:val="left"/>
        </w:tabs>
        <w:numPr>
          <w:ilvl w:val="0"/>
          <w:numId w:val="27"/>
        </w:numPr>
        <w:rPr>
          <w:rFonts w:ascii="Arial" w:cs="Arial" w:eastAsia="Arial" w:hAnsi="Arial"/>
          <w:sz w:val="16"/>
          <w:szCs w:val="16"/>
          <w:color w:val="0000EE"/>
        </w:rPr>
      </w:pPr>
      <w:r>
        <w:rPr>
          <w:rFonts w:ascii="Arial" w:cs="Arial" w:eastAsia="Arial" w:hAnsi="Arial"/>
          <w:sz w:val="16"/>
          <w:szCs w:val="16"/>
          <w:b w:val="1"/>
          <w:bCs w:val="1"/>
          <w:i w:val="1"/>
          <w:iCs w:val="1"/>
          <w:color w:val="auto"/>
        </w:rPr>
        <w:t xml:space="preserve">Lock-Up Agreements. </w:t>
      </w:r>
      <w:r>
        <w:rPr>
          <w:rFonts w:ascii="Arial" w:cs="Arial" w:eastAsia="Arial" w:hAnsi="Arial"/>
          <w:sz w:val="16"/>
          <w:szCs w:val="16"/>
          <w:color w:val="auto"/>
        </w:rPr>
        <w:t>On or prior to the date hereof, the Company shall have furnished to the Representatives an agreement in the form of</w:t>
      </w:r>
      <w:r>
        <w:rPr>
          <w:rFonts w:ascii="Arial" w:cs="Arial" w:eastAsia="Arial" w:hAnsi="Arial"/>
          <w:sz w:val="16"/>
          <w:szCs w:val="16"/>
          <w:b w:val="1"/>
          <w:bCs w:val="1"/>
          <w:i w:val="1"/>
          <w:iCs w:val="1"/>
          <w:color w:val="auto"/>
        </w:rPr>
        <w:t xml:space="preserve"> </w:t>
      </w:r>
      <w:hyperlink w:anchor="page40">
        <w:r>
          <w:rPr>
            <w:rFonts w:ascii="Arial" w:cs="Arial" w:eastAsia="Arial" w:hAnsi="Arial"/>
            <w:sz w:val="16"/>
            <w:szCs w:val="16"/>
            <w:u w:val="single" w:color="auto"/>
            <w:color w:val="0000EE"/>
          </w:rPr>
          <w:t>Exhibit</w:t>
        </w:r>
        <w:r>
          <w:rPr>
            <w:rFonts w:ascii="Arial" w:cs="Arial" w:eastAsia="Arial" w:hAnsi="Arial"/>
            <w:sz w:val="16"/>
            <w:szCs w:val="16"/>
            <w:color w:val="0000EE"/>
          </w:rPr>
          <w:t xml:space="preserve"> </w:t>
        </w:r>
      </w:hyperlink>
      <w:r>
        <w:rPr>
          <w:rFonts w:ascii="Arial" w:cs="Arial" w:eastAsia="Arial" w:hAnsi="Arial"/>
          <w:sz w:val="16"/>
          <w:szCs w:val="16"/>
          <w:u w:val="single" w:color="auto"/>
          <w:color w:val="000000"/>
        </w:rPr>
        <w:t>A</w:t>
      </w:r>
      <w:r>
        <w:rPr>
          <w:rFonts w:ascii="Arial" w:cs="Arial" w:eastAsia="Arial" w:hAnsi="Arial"/>
          <w:sz w:val="16"/>
          <w:szCs w:val="16"/>
          <w:color w:val="0000EE"/>
        </w:rPr>
        <w:t xml:space="preserve"> </w:t>
      </w:r>
      <w:r>
        <w:rPr>
          <w:rFonts w:ascii="Arial" w:cs="Arial" w:eastAsia="Arial" w:hAnsi="Arial"/>
          <w:sz w:val="16"/>
          <w:szCs w:val="16"/>
          <w:color w:val="000000"/>
        </w:rPr>
        <w:t>hereto from each of the persons listed on</w:t>
      </w:r>
      <w:r>
        <w:rPr>
          <w:rFonts w:ascii="Arial" w:cs="Arial" w:eastAsia="Arial" w:hAnsi="Arial"/>
          <w:sz w:val="16"/>
          <w:szCs w:val="16"/>
          <w:color w:val="0000EE"/>
        </w:rPr>
        <w:t xml:space="preserve"> </w:t>
      </w:r>
      <w:r>
        <w:rPr>
          <w:rFonts w:ascii="Arial" w:cs="Arial" w:eastAsia="Arial" w:hAnsi="Arial"/>
          <w:sz w:val="16"/>
          <w:szCs w:val="16"/>
          <w:u w:val="single" w:color="auto"/>
          <w:color w:val="000000"/>
        </w:rPr>
        <w:t>Exhibit B</w:t>
      </w:r>
      <w:r>
        <w:rPr>
          <w:rFonts w:ascii="Arial" w:cs="Arial" w:eastAsia="Arial" w:hAnsi="Arial"/>
          <w:sz w:val="16"/>
          <w:szCs w:val="16"/>
          <w:color w:val="0000EE"/>
        </w:rPr>
        <w:t xml:space="preserve"> </w:t>
      </w:r>
      <w:r>
        <w:rPr>
          <w:rFonts w:ascii="Arial" w:cs="Arial" w:eastAsia="Arial" w:hAnsi="Arial"/>
          <w:sz w:val="16"/>
          <w:szCs w:val="16"/>
          <w:color w:val="000000"/>
        </w:rPr>
        <w:t>hereto, and each such agreement shall be in full force and effect on the Closing.</w:t>
      </w:r>
    </w:p>
    <w:p>
      <w:pPr>
        <w:spacing w:after="0" w:line="100" w:lineRule="exact"/>
        <w:rPr>
          <w:rFonts w:ascii="Arial" w:cs="Arial" w:eastAsia="Arial" w:hAnsi="Arial"/>
          <w:sz w:val="16"/>
          <w:szCs w:val="16"/>
          <w:color w:val="0000EE"/>
        </w:rPr>
      </w:pPr>
    </w:p>
    <w:p>
      <w:pPr>
        <w:ind w:right="20" w:firstLine="656"/>
        <w:spacing w:after="0" w:line="259" w:lineRule="auto"/>
        <w:tabs>
          <w:tab w:leader="none" w:pos="103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color w:val="auto"/>
        </w:rPr>
        <w:t>. In the event that a Rule 462(b) Registration Statement is filed in connection with the offering contemplated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this Agreement, such Rule 462(b) Registration Statement shall have been filed with the Commission on the date of this Agreement and shall have become effective automatically upon such filing.</w:t>
      </w:r>
    </w:p>
    <w:p>
      <w:pPr>
        <w:spacing w:after="0" w:line="153" w:lineRule="exact"/>
        <w:rPr>
          <w:rFonts w:ascii="Arial" w:cs="Arial" w:eastAsia="Arial" w:hAnsi="Arial"/>
          <w:sz w:val="18"/>
          <w:szCs w:val="18"/>
          <w:b w:val="1"/>
          <w:bCs w:val="1"/>
          <w:color w:val="auto"/>
        </w:rPr>
      </w:pPr>
    </w:p>
    <w:p>
      <w:pPr>
        <w:ind w:right="20" w:firstLine="656"/>
        <w:spacing w:after="0" w:line="254" w:lineRule="auto"/>
        <w:tabs>
          <w:tab w:leader="none" w:pos="1127"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Additional Documents</w:t>
      </w:r>
      <w:r>
        <w:rPr>
          <w:rFonts w:ascii="Arial" w:cs="Arial" w:eastAsia="Arial" w:hAnsi="Arial"/>
          <w:sz w:val="18"/>
          <w:szCs w:val="18"/>
          <w:color w:val="auto"/>
        </w:rPr>
        <w:t>. On or before the Closing Date, the Representatives and counsel for the Underwriters shall have received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documents and opinions as they may reasonably request for the purposes of enabling them to pass upon the issuance and sale of the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Securities as contemplated herein and in connection with the other transactions contemplated by this Agreement shall be satisfactory in form and substance to the Representatives and counsel for the Underwriters.</w:t>
      </w:r>
    </w:p>
    <w:p>
      <w:pPr>
        <w:spacing w:after="0" w:line="130" w:lineRule="exact"/>
        <w:rPr>
          <w:rFonts w:ascii="Arial" w:cs="Arial" w:eastAsia="Arial" w:hAnsi="Arial"/>
          <w:sz w:val="15"/>
          <w:szCs w:val="15"/>
          <w:b w:val="1"/>
          <w:bCs w:val="1"/>
          <w:color w:val="auto"/>
        </w:rPr>
      </w:pPr>
    </w:p>
    <w:p>
      <w:pPr>
        <w:ind w:right="100" w:firstLine="648"/>
        <w:spacing w:after="0" w:line="306" w:lineRule="auto"/>
        <w:rPr>
          <w:rFonts w:ascii="Arial" w:cs="Arial" w:eastAsia="Arial" w:hAnsi="Arial"/>
          <w:sz w:val="16"/>
          <w:szCs w:val="16"/>
          <w:color w:val="auto"/>
        </w:rPr>
      </w:pPr>
      <w:r>
        <w:rPr>
          <w:rFonts w:ascii="Arial" w:cs="Arial" w:eastAsia="Arial" w:hAnsi="Arial"/>
          <w:sz w:val="16"/>
          <w:szCs w:val="16"/>
          <w:color w:val="auto"/>
        </w:rPr>
        <w:t xml:space="preserve">If any condition specified in this </w:t>
      </w:r>
      <w:hyperlink w:anchor="page25">
        <w:r>
          <w:rPr>
            <w:rFonts w:ascii="Arial" w:cs="Arial" w:eastAsia="Arial" w:hAnsi="Arial"/>
            <w:sz w:val="16"/>
            <w:szCs w:val="16"/>
            <w:u w:val="single" w:color="auto"/>
            <w:color w:val="0000EE"/>
          </w:rPr>
          <w:t>Section 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is not satisfied when and as required to be satisfied, this Agreement may be terminated by the Representatives by notice from Jefferies to the Company at any time on or prior to the Closing Date, which termination shall be without liability on the part of any party to any other party, except that </w:t>
      </w:r>
      <w:hyperlink w:anchor="page25">
        <w:r>
          <w:rPr>
            <w:rFonts w:ascii="Arial" w:cs="Arial" w:eastAsia="Arial" w:hAnsi="Arial"/>
            <w:sz w:val="16"/>
            <w:szCs w:val="16"/>
            <w:u w:val="single" w:color="auto"/>
            <w:color w:val="0000EE"/>
          </w:rPr>
          <w:t>Section 4</w:t>
        </w:r>
      </w:hyperlink>
      <w:r>
        <w:rPr>
          <w:rFonts w:ascii="Arial" w:cs="Arial" w:eastAsia="Arial" w:hAnsi="Arial"/>
          <w:sz w:val="16"/>
          <w:szCs w:val="16"/>
          <w:color w:val="auto"/>
        </w:rPr>
        <w:t xml:space="preserve">, </w:t>
      </w:r>
      <w:hyperlink w:anchor="page27">
        <w:r>
          <w:rPr>
            <w:rFonts w:ascii="Arial" w:cs="Arial" w:eastAsia="Arial" w:hAnsi="Arial"/>
            <w:sz w:val="16"/>
            <w:szCs w:val="16"/>
            <w:u w:val="single" w:color="auto"/>
            <w:color w:val="0000EE"/>
          </w:rPr>
          <w:t>Section 7</w:t>
        </w:r>
      </w:hyperlink>
      <w:r>
        <w:rPr>
          <w:rFonts w:ascii="Arial" w:cs="Arial" w:eastAsia="Arial" w:hAnsi="Arial"/>
          <w:sz w:val="16"/>
          <w:szCs w:val="16"/>
          <w:color w:val="auto"/>
        </w:rPr>
        <w:t xml:space="preserve">, </w:t>
      </w:r>
      <w:hyperlink w:anchor="page28">
        <w:r>
          <w:rPr>
            <w:rFonts w:ascii="Arial" w:cs="Arial" w:eastAsia="Arial" w:hAnsi="Arial"/>
            <w:sz w:val="16"/>
            <w:szCs w:val="16"/>
            <w:u w:val="single" w:color="auto"/>
            <w:color w:val="0000EE"/>
          </w:rPr>
          <w:t>Section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30">
        <w:r>
          <w:rPr>
            <w:rFonts w:ascii="Arial" w:cs="Arial" w:eastAsia="Arial" w:hAnsi="Arial"/>
            <w:sz w:val="16"/>
            <w:szCs w:val="16"/>
            <w:u w:val="single" w:color="auto"/>
            <w:color w:val="0000EE"/>
          </w:rPr>
          <w:t>Section 10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shall at all times be effective and shall survive such termination.</w:t>
      </w:r>
    </w:p>
    <w:p>
      <w:pPr>
        <w:spacing w:after="0" w:line="114" w:lineRule="exact"/>
        <w:rPr>
          <w:rFonts w:ascii="Arial" w:cs="Arial" w:eastAsia="Arial" w:hAnsi="Arial"/>
          <w:sz w:val="16"/>
          <w:szCs w:val="16"/>
          <w:color w:val="auto"/>
        </w:rPr>
      </w:pPr>
    </w:p>
    <w:p>
      <w:pPr>
        <w:ind w:firstLine="1296"/>
        <w:spacing w:after="0" w:line="291" w:lineRule="auto"/>
        <w:rPr>
          <w:rFonts w:ascii="Arial" w:cs="Arial" w:eastAsia="Arial" w:hAnsi="Arial"/>
          <w:sz w:val="16"/>
          <w:szCs w:val="16"/>
          <w:color w:val="0000EE"/>
        </w:rPr>
      </w:pPr>
      <w:r>
        <w:rPr>
          <w:rFonts w:ascii="Arial" w:cs="Arial" w:eastAsia="Arial" w:hAnsi="Arial"/>
          <w:sz w:val="16"/>
          <w:szCs w:val="16"/>
          <w:b w:val="1"/>
          <w:bCs w:val="1"/>
          <w:color w:val="auto"/>
        </w:rPr>
        <w:t>Section 7. Reimbursement of Underwriters’ Expenses</w:t>
      </w:r>
      <w:r>
        <w:rPr>
          <w:rFonts w:ascii="Arial" w:cs="Arial" w:eastAsia="Arial" w:hAnsi="Arial"/>
          <w:sz w:val="16"/>
          <w:szCs w:val="16"/>
          <w:color w:val="auto"/>
        </w:rPr>
        <w:t>. If this Agreement is terminated by the Representatives pursuant to</w:t>
      </w:r>
      <w:r>
        <w:rPr>
          <w:rFonts w:ascii="Arial" w:cs="Arial" w:eastAsia="Arial" w:hAnsi="Arial"/>
          <w:sz w:val="16"/>
          <w:szCs w:val="16"/>
          <w:b w:val="1"/>
          <w:bCs w:val="1"/>
          <w:color w:val="auto"/>
        </w:rPr>
        <w:t xml:space="preserve"> </w:t>
      </w:r>
      <w:hyperlink w:anchor="page25">
        <w:r>
          <w:rPr>
            <w:rFonts w:ascii="Arial" w:cs="Arial" w:eastAsia="Arial" w:hAnsi="Arial"/>
            <w:sz w:val="16"/>
            <w:szCs w:val="16"/>
            <w:u w:val="single" w:color="auto"/>
            <w:color w:val="0000EE"/>
          </w:rPr>
          <w:t>Section 6</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hyperlink w:anchor="page31">
        <w:r>
          <w:rPr>
            <w:rFonts w:ascii="Arial" w:cs="Arial" w:eastAsia="Arial" w:hAnsi="Arial"/>
            <w:sz w:val="16"/>
            <w:szCs w:val="16"/>
            <w:u w:val="single" w:color="auto"/>
            <w:color w:val="0000EE"/>
          </w:rPr>
          <w:t>Section 11</w:t>
        </w:r>
        <w:r>
          <w:rPr>
            <w:rFonts w:ascii="Arial" w:cs="Arial" w:eastAsia="Arial" w:hAnsi="Arial"/>
            <w:sz w:val="16"/>
            <w:szCs w:val="16"/>
            <w:color w:val="0000EE"/>
          </w:rPr>
          <w:t xml:space="preserve"> </w:t>
        </w:r>
      </w:hyperlink>
      <w:r>
        <w:rPr>
          <w:rFonts w:ascii="Arial" w:cs="Arial" w:eastAsia="Arial" w:hAnsi="Arial"/>
          <w:sz w:val="16"/>
          <w:szCs w:val="16"/>
          <w:color w:val="000000"/>
        </w:rPr>
        <w:t>or</w:t>
      </w:r>
      <w:r>
        <w:rPr>
          <w:rFonts w:ascii="Arial" w:cs="Arial" w:eastAsia="Arial" w:hAnsi="Arial"/>
          <w:sz w:val="16"/>
          <w:szCs w:val="16"/>
          <w:color w:val="0000EE"/>
        </w:rPr>
        <w:t xml:space="preserve"> </w:t>
      </w:r>
      <w:hyperlink w:anchor="page31">
        <w:r>
          <w:rPr>
            <w:rFonts w:ascii="Arial" w:cs="Arial" w:eastAsia="Arial" w:hAnsi="Arial"/>
            <w:sz w:val="16"/>
            <w:szCs w:val="16"/>
            <w:u w:val="single" w:color="auto"/>
            <w:color w:val="0000EE"/>
          </w:rPr>
          <w:t>Section 12</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or if the sale to the Underwriters of the Securities on the Closing Date is not consummated because of any refusal, inability or failure</w:t>
      </w:r>
      <w:r>
        <w:rPr>
          <w:rFonts w:ascii="Arial" w:cs="Arial" w:eastAsia="Arial" w:hAnsi="Arial"/>
          <w:sz w:val="16"/>
          <w:szCs w:val="16"/>
          <w:color w:val="0000EE"/>
        </w:rPr>
        <w:t xml:space="preserve"> </w:t>
      </w:r>
      <w:r>
        <w:rPr>
          <w:rFonts w:ascii="Arial" w:cs="Arial" w:eastAsia="Arial" w:hAnsi="Arial"/>
          <w:sz w:val="16"/>
          <w:szCs w:val="16"/>
          <w:color w:val="000000"/>
        </w:rPr>
        <w:t>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and documented by the Representatives and the Underwriters in connection with the proposed purchase and the offering and sale of the Securities, including, but not limited to, reasonable and documented fees and disbursements of counsel, printing expenses, travel expenses, postage, facsimile and telephone charges.</w:t>
      </w:r>
    </w:p>
    <w:p>
      <w:pPr>
        <w:spacing w:after="0" w:line="126" w:lineRule="exact"/>
        <w:rPr>
          <w:rFonts w:ascii="Arial" w:cs="Arial" w:eastAsia="Arial" w:hAnsi="Arial"/>
          <w:sz w:val="16"/>
          <w:szCs w:val="16"/>
          <w:b w:val="1"/>
          <w:bCs w:val="1"/>
          <w:color w:val="auto"/>
        </w:rPr>
      </w:pPr>
    </w:p>
    <w:p>
      <w:pPr>
        <w:ind w:left="1300"/>
        <w:spacing w:after="0"/>
        <w:tabs>
          <w:tab w:leader="none" w:pos="22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Effectiveness of this Agreement</w:t>
      </w:r>
      <w:r>
        <w:rPr>
          <w:rFonts w:ascii="Arial" w:cs="Arial" w:eastAsia="Arial" w:hAnsi="Arial"/>
          <w:sz w:val="15"/>
          <w:szCs w:val="15"/>
          <w:color w:val="auto"/>
        </w:rPr>
        <w:t>. This Agreement shall become effective upon the execution and delivery hereof by the parties</w:t>
      </w:r>
    </w:p>
    <w:p>
      <w:pPr>
        <w:spacing w:after="0" w:line="21"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hereto.</w:t>
      </w:r>
    </w:p>
    <w:p>
      <w:pPr>
        <w:spacing w:after="0" w:line="200" w:lineRule="exact"/>
        <w:rPr>
          <w:rFonts w:ascii="Arial" w:cs="Arial" w:eastAsia="Arial" w:hAnsi="Arial"/>
          <w:sz w:val="16"/>
          <w:szCs w:val="16"/>
          <w:b w:val="1"/>
          <w:bCs w:val="1"/>
          <w:color w:val="auto"/>
        </w:rPr>
      </w:pPr>
    </w:p>
    <w:p>
      <w:pPr>
        <w:spacing w:after="0" w:line="383"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7" w:name="page28"/>
    <w:bookmarkEnd w:id="27"/>
    <w:p>
      <w:pPr>
        <w:ind w:left="1280"/>
        <w:spacing w:after="0"/>
        <w:tabs>
          <w:tab w:leader="none" w:pos="22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185" w:lineRule="exact"/>
        <w:rPr>
          <w:sz w:val="20"/>
          <w:szCs w:val="20"/>
          <w:color w:val="auto"/>
        </w:rPr>
      </w:pPr>
    </w:p>
    <w:p>
      <w:pPr>
        <w:ind w:left="-20" w:right="20" w:firstLine="656"/>
        <w:spacing w:after="0" w:line="284" w:lineRule="auto"/>
        <w:tabs>
          <w:tab w:leader="none" w:pos="1049"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Rule 163B Written Communication or the Prospectus (or any amendment or supplement to the foregoing), or the omission or alleged omission to state therein a material fact necessary in order to make the statements, in the light of the circumstances under which they were made, not misleading; and to reimburse each Underwriter and each such affiliate, director, officer, employee, agent and controlling person for any and all reasonable and documented expenses (including the reasonable and documented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Rule 163B Written Communication or the Prospectus (or any amendment or supplement thereto), it being understood and agreed that the only such information consists of the information described in </w:t>
      </w:r>
      <w:hyperlink w:anchor="page28">
        <w:r>
          <w:rPr>
            <w:rFonts w:ascii="Arial" w:cs="Arial" w:eastAsia="Arial" w:hAnsi="Arial"/>
            <w:sz w:val="16"/>
            <w:szCs w:val="16"/>
            <w:u w:val="single" w:color="auto"/>
            <w:color w:val="0000EE"/>
          </w:rPr>
          <w:t>Section 9(b)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below. The indemnity agreement set forth in this </w:t>
      </w:r>
      <w:hyperlink w:anchor="page28">
        <w:r>
          <w:rPr>
            <w:rFonts w:ascii="Arial" w:cs="Arial" w:eastAsia="Arial" w:hAnsi="Arial"/>
            <w:sz w:val="16"/>
            <w:szCs w:val="16"/>
            <w:u w:val="single" w:color="auto"/>
            <w:color w:val="0000EE"/>
          </w:rPr>
          <w:t>Section 9(a)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shall be in addition to any liabilities that the Company may otherwise have.</w:t>
      </w:r>
    </w:p>
    <w:p>
      <w:pPr>
        <w:spacing w:after="0" w:line="143" w:lineRule="exact"/>
        <w:rPr>
          <w:rFonts w:ascii="Arial" w:cs="Arial" w:eastAsia="Arial" w:hAnsi="Arial"/>
          <w:sz w:val="16"/>
          <w:szCs w:val="16"/>
          <w:color w:val="auto"/>
        </w:rPr>
      </w:pPr>
    </w:p>
    <w:p>
      <w:pPr>
        <w:ind w:left="-20" w:firstLine="656"/>
        <w:spacing w:after="0" w:line="283" w:lineRule="auto"/>
        <w:tabs>
          <w:tab w:leader="none" w:pos="1058"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Rule 163B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Rule 163B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reasonable and documented fees and disbursements of counsel) as such expenses are incurred by the Company, or any such director, officer, employee or controlling person in connection with investigating, defending, settling, compromising or paying any such loss, claim, damage, liability, expense or action. The Company hereby acknowledges that the only information that the Representatives has furnished to the Company expressly for use in the Registration Statement, any preliminary prospectus, the Time of Sale Prospectus, any free writing prospectus that the Company has filed, or is required to file, pursuant to Rule 433(d) of the Securities Act, any Rule 163B Written Communication or the Prospectus (or any amendment or supplement to the foregoing) are the statements set forth in the first sentence of the third and fourth paragraphs under the caption “Underwriting,” the first three sentences of the first paragraph under the section entitled “Commission and Expenses,” and the first sentence of the first paragraph under the section entitled “Stabilization,” each under the caption “Underwriting” in the Preliminary Prospectus Supplement and the Final Prospectus Supplement. The indemnity agreement set forth in this </w:t>
      </w:r>
      <w:hyperlink w:anchor="page28">
        <w:r>
          <w:rPr>
            <w:rFonts w:ascii="Arial" w:cs="Arial" w:eastAsia="Arial" w:hAnsi="Arial"/>
            <w:sz w:val="16"/>
            <w:szCs w:val="16"/>
            <w:u w:val="single" w:color="auto"/>
            <w:color w:val="0000EE"/>
          </w:rPr>
          <w:t>Section 9(b)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shall be in addition to any liabilities that each Underwriter may otherwise have.</w:t>
      </w:r>
    </w:p>
    <w:p>
      <w:pPr>
        <w:spacing w:after="0" w:line="200" w:lineRule="exact"/>
        <w:rPr>
          <w:rFonts w:ascii="Arial" w:cs="Arial" w:eastAsia="Arial" w:hAnsi="Arial"/>
          <w:sz w:val="16"/>
          <w:szCs w:val="16"/>
          <w:color w:val="auto"/>
        </w:rPr>
      </w:pPr>
    </w:p>
    <w:p>
      <w:pPr>
        <w:spacing w:after="0" w:line="357"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8" w:name="page29"/>
    <w:bookmarkEnd w:id="28"/>
    <w:p>
      <w:pPr>
        <w:ind w:left="-20" w:firstLine="656"/>
        <w:spacing w:after="0" w:line="284" w:lineRule="auto"/>
        <w:tabs>
          <w:tab w:leader="none" w:pos="1039"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Notifications and Other Indemnification Procedures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Promptly after receipt by an indemnified party under this</w:t>
      </w:r>
      <w:r>
        <w:rPr>
          <w:rFonts w:ascii="Arial" w:cs="Arial" w:eastAsia="Arial" w:hAnsi="Arial"/>
          <w:sz w:val="16"/>
          <w:szCs w:val="16"/>
          <w:b w:val="1"/>
          <w:bCs w:val="1"/>
          <w:i w:val="1"/>
          <w:iCs w:val="1"/>
          <w:color w:val="auto"/>
        </w:rPr>
        <w:t xml:space="preserve"> </w:t>
      </w:r>
      <w:hyperlink w:anchor="page28">
        <w:r>
          <w:rPr>
            <w:rFonts w:ascii="Arial" w:cs="Arial" w:eastAsia="Arial" w:hAnsi="Arial"/>
            <w:sz w:val="16"/>
            <w:szCs w:val="16"/>
            <w:u w:val="single" w:color="auto"/>
            <w:color w:val="0000EE"/>
          </w:rPr>
          <w:t>Section 9</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color w:val="auto"/>
        </w:rPr>
        <w:t>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commencement of any action, such indemnified party will, if a claim in respect thereof is to be made against an indemnifying party under this </w:t>
      </w:r>
      <w:hyperlink w:anchor="page28">
        <w:r>
          <w:rPr>
            <w:rFonts w:ascii="Arial" w:cs="Arial" w:eastAsia="Arial" w:hAnsi="Arial"/>
            <w:sz w:val="16"/>
            <w:szCs w:val="16"/>
            <w:u w:val="single" w:color="auto"/>
            <w:color w:val="0000EE"/>
          </w:rPr>
          <w:t>Section 9</w:t>
        </w:r>
      </w:hyperlink>
      <w:r>
        <w:rPr>
          <w:rFonts w:ascii="Arial" w:cs="Arial" w:eastAsia="Arial" w:hAnsi="Arial"/>
          <w:sz w:val="16"/>
          <w:szCs w:val="16"/>
          <w:color w:val="auto"/>
        </w:rPr>
        <w:t xml:space="preserve">,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w:t>
      </w:r>
      <w:hyperlink w:anchor="page28">
        <w:r>
          <w:rPr>
            <w:rFonts w:ascii="Arial" w:cs="Arial" w:eastAsia="Arial" w:hAnsi="Arial"/>
            <w:sz w:val="16"/>
            <w:szCs w:val="16"/>
            <w:u w:val="single" w:color="auto"/>
            <w:color w:val="0000EE"/>
          </w:rPr>
          <w:t>Section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(in the case of counsel for the indemnified parties referred to in </w:t>
      </w:r>
      <w:hyperlink w:anchor="page28">
        <w:r>
          <w:rPr>
            <w:rFonts w:ascii="Arial" w:cs="Arial" w:eastAsia="Arial" w:hAnsi="Arial"/>
            <w:sz w:val="16"/>
            <w:szCs w:val="16"/>
            <w:u w:val="single" w:color="auto"/>
            <w:color w:val="0000EE"/>
          </w:rPr>
          <w:t>Section 9</w:t>
        </w:r>
      </w:hyperlink>
      <w:r>
        <w:rPr>
          <w:rFonts w:ascii="Arial" w:cs="Arial" w:eastAsia="Arial" w:hAnsi="Arial"/>
          <w:sz w:val="16"/>
          <w:szCs w:val="16"/>
          <w:color w:val="auto"/>
        </w:rPr>
        <w:t xml:space="preserve">(a) above) or by the Company (in the case of counsel for the indemnified parties referred to in </w:t>
      </w:r>
      <w:hyperlink w:anchor="page28">
        <w:r>
          <w:rPr>
            <w:rFonts w:ascii="Arial" w:cs="Arial" w:eastAsia="Arial" w:hAnsi="Arial"/>
            <w:sz w:val="16"/>
            <w:szCs w:val="16"/>
            <w:u w:val="single" w:color="auto"/>
            <w:color w:val="0000EE"/>
          </w:rPr>
          <w:t>Section 9</w:t>
        </w:r>
      </w:hyperlink>
      <w:r>
        <w:rPr>
          <w:rFonts w:ascii="Arial" w:cs="Arial" w:eastAsia="Arial" w:hAnsi="Arial"/>
          <w:sz w:val="16"/>
          <w:szCs w:val="16"/>
          <w:color w:val="auto"/>
        </w:rPr>
        <w:t>(b)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36" w:lineRule="exact"/>
        <w:rPr>
          <w:rFonts w:ascii="Arial" w:cs="Arial" w:eastAsia="Arial" w:hAnsi="Arial"/>
          <w:sz w:val="16"/>
          <w:szCs w:val="16"/>
          <w:color w:val="auto"/>
        </w:rPr>
      </w:pPr>
    </w:p>
    <w:p>
      <w:pPr>
        <w:ind w:left="-20" w:right="20" w:firstLine="656"/>
        <w:spacing w:after="0" w:line="287" w:lineRule="auto"/>
        <w:tabs>
          <w:tab w:leader="none" w:pos="1058"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Settlements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indemnifying party under this</w:t>
      </w:r>
      <w:r>
        <w:rPr>
          <w:rFonts w:ascii="Arial" w:cs="Arial" w:eastAsia="Arial" w:hAnsi="Arial"/>
          <w:sz w:val="16"/>
          <w:szCs w:val="16"/>
          <w:b w:val="1"/>
          <w:bCs w:val="1"/>
          <w:i w:val="1"/>
          <w:iCs w:val="1"/>
          <w:color w:val="auto"/>
        </w:rPr>
        <w:t xml:space="preserve"> </w:t>
      </w:r>
      <w:hyperlink w:anchor="page28">
        <w:r>
          <w:rPr>
            <w:rFonts w:ascii="Arial" w:cs="Arial" w:eastAsia="Arial" w:hAnsi="Arial"/>
            <w:sz w:val="16"/>
            <w:szCs w:val="16"/>
            <w:u w:val="single" w:color="auto"/>
            <w:color w:val="0000EE"/>
          </w:rPr>
          <w:t>Section 9</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color w:val="auto"/>
        </w:rPr>
        <w:t>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liable for any settlement of any proceeding effected without its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200" w:lineRule="exact"/>
        <w:rPr>
          <w:rFonts w:ascii="Arial" w:cs="Arial" w:eastAsia="Arial" w:hAnsi="Arial"/>
          <w:sz w:val="16"/>
          <w:szCs w:val="16"/>
          <w:color w:val="auto"/>
        </w:rPr>
      </w:pPr>
    </w:p>
    <w:p>
      <w:pPr>
        <w:spacing w:after="0" w:line="34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4" w:right="359" w:bottom="1440" w:gutter="0" w:footer="0" w:header="0"/>
        </w:sectPr>
      </w:pPr>
    </w:p>
    <w:bookmarkStart w:id="29" w:name="page30"/>
    <w:bookmarkEnd w:id="29"/>
    <w:p>
      <w:pPr>
        <w:ind w:firstLine="1296"/>
        <w:spacing w:after="0" w:line="285" w:lineRule="auto"/>
        <w:rPr>
          <w:rFonts w:ascii="Arial" w:cs="Arial" w:eastAsia="Arial" w:hAnsi="Arial"/>
          <w:sz w:val="16"/>
          <w:szCs w:val="16"/>
          <w:b w:val="1"/>
          <w:bCs w:val="1"/>
          <w:color w:val="auto"/>
        </w:rPr>
      </w:pPr>
      <w:r>
        <w:rPr>
          <w:rFonts w:ascii="Arial" w:cs="Arial" w:eastAsia="Arial" w:hAnsi="Arial"/>
          <w:sz w:val="16"/>
          <w:szCs w:val="16"/>
          <w:b w:val="1"/>
          <w:bCs w:val="1"/>
          <w:color w:val="auto"/>
        </w:rPr>
        <w:t>Section 10. Contribution</w:t>
      </w:r>
      <w:r>
        <w:rPr>
          <w:rFonts w:ascii="Arial" w:cs="Arial" w:eastAsia="Arial" w:hAnsi="Arial"/>
          <w:sz w:val="16"/>
          <w:szCs w:val="16"/>
          <w:color w:val="auto"/>
        </w:rPr>
        <w:t>. If the indemnification provided for in</w:t>
      </w:r>
      <w:r>
        <w:rPr>
          <w:rFonts w:ascii="Arial" w:cs="Arial" w:eastAsia="Arial" w:hAnsi="Arial"/>
          <w:sz w:val="16"/>
          <w:szCs w:val="16"/>
          <w:b w:val="1"/>
          <w:bCs w:val="1"/>
          <w:color w:val="auto"/>
        </w:rPr>
        <w:t xml:space="preserve"> </w:t>
      </w:r>
      <w:hyperlink w:anchor="page28">
        <w:r>
          <w:rPr>
            <w:rFonts w:ascii="Arial" w:cs="Arial" w:eastAsia="Arial" w:hAnsi="Arial"/>
            <w:sz w:val="16"/>
            <w:szCs w:val="16"/>
            <w:u w:val="single" w:color="auto"/>
            <w:color w:val="0000EE"/>
          </w:rPr>
          <w:t>Section 9</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color w:val="auto"/>
        </w:rPr>
        <w:t>is</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reason held to be unavailable to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Securities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Securities pursuant to this Agreement shall be deemed to be in the same respective proportions as the total proceeds from the offering of the Securities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17" w:lineRule="exact"/>
        <w:rPr>
          <w:sz w:val="20"/>
          <w:szCs w:val="20"/>
          <w:color w:val="auto"/>
        </w:rPr>
      </w:pPr>
    </w:p>
    <w:p>
      <w:pPr>
        <w:ind w:right="20" w:firstLine="648"/>
        <w:spacing w:after="0" w:line="294" w:lineRule="auto"/>
        <w:rPr>
          <w:rFonts w:ascii="Arial" w:cs="Arial" w:eastAsia="Arial" w:hAnsi="Arial"/>
          <w:sz w:val="16"/>
          <w:szCs w:val="16"/>
          <w:color w:val="auto"/>
        </w:rPr>
      </w:pPr>
      <w:r>
        <w:rPr>
          <w:rFonts w:ascii="Arial" w:cs="Arial" w:eastAsia="Arial" w:hAnsi="Arial"/>
          <w:sz w:val="16"/>
          <w:szCs w:val="16"/>
          <w:color w:val="auto"/>
        </w:rPr>
        <w:t xml:space="preserve">The amount paid or payable by a party as a result of the losses, claims, damages, liabilities and expenses referred to above shall be deemed to include, subject to the limitations set forth in </w:t>
      </w:r>
      <w:hyperlink w:anchor="page29">
        <w:r>
          <w:rPr>
            <w:rFonts w:ascii="Arial" w:cs="Arial" w:eastAsia="Arial" w:hAnsi="Arial"/>
            <w:sz w:val="16"/>
            <w:szCs w:val="16"/>
            <w:u w:val="single" w:color="auto"/>
            <w:color w:val="0000EE"/>
          </w:rPr>
          <w:t>Section 9(c)</w:t>
        </w:r>
      </w:hyperlink>
      <w:r>
        <w:rPr>
          <w:rFonts w:ascii="Arial" w:cs="Arial" w:eastAsia="Arial" w:hAnsi="Arial"/>
          <w:sz w:val="16"/>
          <w:szCs w:val="16"/>
          <w:color w:val="auto"/>
        </w:rPr>
        <w:t xml:space="preserve">, any legal or other reasonable and documented fees or expenses incurred by such party in connection with investigating or defending any action or claim. The provisions set forth in </w:t>
      </w:r>
      <w:hyperlink w:anchor="page29">
        <w:r>
          <w:rPr>
            <w:rFonts w:ascii="Arial" w:cs="Arial" w:eastAsia="Arial" w:hAnsi="Arial"/>
            <w:sz w:val="16"/>
            <w:szCs w:val="16"/>
            <w:u w:val="single" w:color="auto"/>
            <w:color w:val="0000EE"/>
          </w:rPr>
          <w:t>Section 9(c)</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with respect to notice of commencement of any action shall apply if a claim for contribution is to be made under this </w:t>
      </w:r>
      <w:hyperlink w:anchor="page30">
        <w:r>
          <w:rPr>
            <w:rFonts w:ascii="Arial" w:cs="Arial" w:eastAsia="Arial" w:hAnsi="Arial"/>
            <w:sz w:val="16"/>
            <w:szCs w:val="16"/>
            <w:u w:val="single" w:color="auto"/>
            <w:color w:val="0000EE"/>
          </w:rPr>
          <w:t>Section 10</w:t>
        </w:r>
      </w:hyperlink>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additional notice shall be required with respect to any action for which notice has been given under </w:t>
      </w:r>
      <w:hyperlink w:anchor="page29">
        <w:r>
          <w:rPr>
            <w:rFonts w:ascii="Arial" w:cs="Arial" w:eastAsia="Arial" w:hAnsi="Arial"/>
            <w:sz w:val="16"/>
            <w:szCs w:val="16"/>
            <w:u w:val="single" w:color="auto"/>
            <w:color w:val="0000EE"/>
          </w:rPr>
          <w:t>Section 9(c)</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purposes of indemnification.</w:t>
      </w:r>
    </w:p>
    <w:p>
      <w:pPr>
        <w:spacing w:after="0" w:line="102" w:lineRule="exact"/>
        <w:rPr>
          <w:rFonts w:ascii="Arial" w:cs="Arial" w:eastAsia="Arial" w:hAnsi="Arial"/>
          <w:sz w:val="16"/>
          <w:szCs w:val="16"/>
          <w:color w:val="auto"/>
        </w:rPr>
      </w:pPr>
    </w:p>
    <w:p>
      <w:pPr>
        <w:jc w:val="both"/>
        <w:ind w:right="200" w:firstLine="6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Company and the Underwriters agree that it would not be just and equitable if contribution pursuant to this </w:t>
      </w:r>
      <w:hyperlink w:anchor="page30">
        <w:r>
          <w:rPr>
            <w:rFonts w:ascii="Arial" w:cs="Arial" w:eastAsia="Arial" w:hAnsi="Arial"/>
            <w:sz w:val="18"/>
            <w:szCs w:val="18"/>
            <w:u w:val="single" w:color="auto"/>
            <w:color w:val="0000EE"/>
          </w:rPr>
          <w:t>Section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were determined by pro rata allocation (even if the Underwriters were treated as one entity for such purpose) or by any other method of allocation which does not take account of the equitable considerations referred to in this </w:t>
      </w:r>
      <w:hyperlink w:anchor="page30">
        <w:r>
          <w:rPr>
            <w:rFonts w:ascii="Arial" w:cs="Arial" w:eastAsia="Arial" w:hAnsi="Arial"/>
            <w:sz w:val="18"/>
            <w:szCs w:val="18"/>
            <w:u w:val="single" w:color="auto"/>
            <w:color w:val="0000EE"/>
          </w:rPr>
          <w:t>Section 10</w:t>
        </w:r>
      </w:hyperlink>
      <w:r>
        <w:rPr>
          <w:rFonts w:ascii="Arial" w:cs="Arial" w:eastAsia="Arial" w:hAnsi="Arial"/>
          <w:sz w:val="18"/>
          <w:szCs w:val="18"/>
          <w:color w:val="auto"/>
        </w:rPr>
        <w:t>.</w:t>
      </w:r>
    </w:p>
    <w:p>
      <w:pPr>
        <w:spacing w:after="0" w:line="126" w:lineRule="exact"/>
        <w:rPr>
          <w:sz w:val="20"/>
          <w:szCs w:val="20"/>
          <w:color w:val="auto"/>
        </w:rPr>
      </w:pPr>
    </w:p>
    <w:p>
      <w:pPr>
        <w:ind w:firstLine="648"/>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Notwithstanding the provisions of this </w:t>
      </w:r>
      <w:hyperlink w:anchor="page30">
        <w:r>
          <w:rPr>
            <w:rFonts w:ascii="Arial" w:cs="Arial" w:eastAsia="Arial" w:hAnsi="Arial"/>
            <w:sz w:val="16"/>
            <w:szCs w:val="16"/>
            <w:u w:val="single" w:color="auto"/>
            <w:color w:val="0000EE"/>
          </w:rPr>
          <w:t>Section 10</w:t>
        </w:r>
      </w:hyperlink>
      <w:r>
        <w:rPr>
          <w:rFonts w:ascii="Arial" w:cs="Arial" w:eastAsia="Arial" w:hAnsi="Arial"/>
          <w:sz w:val="16"/>
          <w:szCs w:val="16"/>
          <w:color w:val="auto"/>
        </w:rPr>
        <w:t xml:space="preserve">, no Underwriter shall be required to contribute any amount in excess of the underwriting discounts and commissions received by such Underwriter in connection with the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w:t>
      </w:r>
      <w:hyperlink w:anchor="page30">
        <w:r>
          <w:rPr>
            <w:rFonts w:ascii="Arial" w:cs="Arial" w:eastAsia="Arial" w:hAnsi="Arial"/>
            <w:sz w:val="16"/>
            <w:szCs w:val="16"/>
            <w:u w:val="single" w:color="auto"/>
            <w:color w:val="0000EE"/>
          </w:rPr>
          <w:t>Section 10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are several, and not joint, in proportion to their respective underwriting commitments as set forth opposite their respective names on </w:t>
      </w:r>
      <w:hyperlink w:anchor="page36">
        <w:r>
          <w:rPr>
            <w:rFonts w:ascii="Arial" w:cs="Arial" w:eastAsia="Arial" w:hAnsi="Arial"/>
            <w:sz w:val="16"/>
            <w:szCs w:val="16"/>
            <w:u w:val="single" w:color="auto"/>
            <w:color w:val="0000EE"/>
          </w:rPr>
          <w:t>Schedule A</w:t>
        </w:r>
      </w:hyperlink>
      <w:r>
        <w:rPr>
          <w:rFonts w:ascii="Arial" w:cs="Arial" w:eastAsia="Arial" w:hAnsi="Arial"/>
          <w:sz w:val="16"/>
          <w:szCs w:val="16"/>
          <w:color w:val="auto"/>
        </w:rPr>
        <w:t xml:space="preserve">. For purposes of this </w:t>
      </w:r>
      <w:hyperlink w:anchor="page30">
        <w:r>
          <w:rPr>
            <w:rFonts w:ascii="Arial" w:cs="Arial" w:eastAsia="Arial" w:hAnsi="Arial"/>
            <w:sz w:val="16"/>
            <w:szCs w:val="16"/>
            <w:u w:val="single" w:color="auto"/>
            <w:color w:val="0000EE"/>
          </w:rPr>
          <w:t>Section 10</w:t>
        </w:r>
      </w:hyperlink>
      <w:r>
        <w:rPr>
          <w:rFonts w:ascii="Arial" w:cs="Arial" w:eastAsia="Arial" w:hAnsi="Arial"/>
          <w:sz w:val="16"/>
          <w:szCs w:val="16"/>
          <w:color w:val="auto"/>
        </w:rPr>
        <w:t>, each affiliate, director, officer, employee and agent of an Underwriter and each person, if any, who controls an Underwriter within the meaning of the Securities Act or the Exchange Act shall have the same rights to contribution as such Underwriter, and each director, officer or employee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200" w:lineRule="exact"/>
        <w:rPr>
          <w:rFonts w:ascii="Arial" w:cs="Arial" w:eastAsia="Arial" w:hAnsi="Arial"/>
          <w:sz w:val="16"/>
          <w:szCs w:val="16"/>
          <w:color w:val="auto"/>
        </w:rPr>
      </w:pPr>
    </w:p>
    <w:p>
      <w:pPr>
        <w:spacing w:after="0" w:line="337"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0" w:name="page31"/>
    <w:bookmarkEnd w:id="30"/>
    <w:p>
      <w:pPr>
        <w:ind w:firstLine="1296"/>
        <w:spacing w:after="0" w:line="306" w:lineRule="auto"/>
        <w:rPr>
          <w:rFonts w:ascii="Arial" w:cs="Arial" w:eastAsia="Arial" w:hAnsi="Arial"/>
          <w:sz w:val="15"/>
          <w:szCs w:val="15"/>
          <w:color w:val="auto"/>
        </w:rPr>
      </w:pPr>
      <w:r>
        <w:rPr>
          <w:rFonts w:ascii="Arial" w:cs="Arial" w:eastAsia="Arial" w:hAnsi="Arial"/>
          <w:sz w:val="15"/>
          <w:szCs w:val="15"/>
          <w:b w:val="1"/>
          <w:bCs w:val="1"/>
          <w:color w:val="auto"/>
        </w:rPr>
        <w:t>Section 11. Default of One or More of the Several Underwriters</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If, on the Closing Date any one or more of the several Underwriters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shall fail or refuse to purchase Securities that it or they have agreed to purchase hereunder on such date, and the aggregate number of Securities which such defaulting Underwriter or Underwriters agreed but failed or refused to purchase does not exceed 10% of the aggregate number of the Securities to be purchased on such date, the Representatives may make arrangements satisfactory to the Company for the purchase of such Securities by other persons, including any of the Underwriters, but if no such arrangements are made by such date, the other Underwriters shall be obligated, severally and not jointly, in the proportions that the number of Securities set forth opposite their respective names on </w:t>
      </w:r>
      <w:hyperlink w:anchor="page36">
        <w:r>
          <w:rPr>
            <w:rFonts w:ascii="Arial" w:cs="Arial" w:eastAsia="Arial" w:hAnsi="Arial"/>
            <w:sz w:val="15"/>
            <w:szCs w:val="15"/>
            <w:u w:val="single" w:color="auto"/>
            <w:color w:val="0000EE"/>
          </w:rPr>
          <w:t>Schedule A</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bears to the aggregate number of Securities set forth opposite the names of all such non-defaulting Underwriters, or in such other proportions as may be specified by the Representatives with the consent of the non-defaulting Underwriters, to purchase the Securities which such defaulting Underwriter or Underwriters agreed but failed or refused to purchase on such date. If, on the Closing Date any one or more of the Underwriters shall fail or refuse to purchase Securities and the aggregate number of Securities with respect to which such default occurs exceeds 10% of the aggregate number of Securities to be purchased on such date, and arrangements satisfactory to the Representatives and the Company for the purchase of such Securities are not made within 48 hours after such default, this Agreement shall terminate without liability of any party to any other party except that the provisions of </w:t>
      </w:r>
      <w:hyperlink w:anchor="page25">
        <w:r>
          <w:rPr>
            <w:rFonts w:ascii="Arial" w:cs="Arial" w:eastAsia="Arial" w:hAnsi="Arial"/>
            <w:sz w:val="15"/>
            <w:szCs w:val="15"/>
            <w:u w:val="single" w:color="auto"/>
            <w:color w:val="0000EE"/>
          </w:rPr>
          <w:t>Section 4</w:t>
        </w:r>
      </w:hyperlink>
      <w:r>
        <w:rPr>
          <w:rFonts w:ascii="Arial" w:cs="Arial" w:eastAsia="Arial" w:hAnsi="Arial"/>
          <w:sz w:val="15"/>
          <w:szCs w:val="15"/>
          <w:color w:val="auto"/>
        </w:rPr>
        <w:t xml:space="preserve">, </w:t>
      </w:r>
      <w:hyperlink w:anchor="page27">
        <w:r>
          <w:rPr>
            <w:rFonts w:ascii="Arial" w:cs="Arial" w:eastAsia="Arial" w:hAnsi="Arial"/>
            <w:sz w:val="15"/>
            <w:szCs w:val="15"/>
            <w:u w:val="single" w:color="auto"/>
            <w:color w:val="0000EE"/>
          </w:rPr>
          <w:t>Section 7</w:t>
        </w:r>
      </w:hyperlink>
      <w:r>
        <w:rPr>
          <w:rFonts w:ascii="Arial" w:cs="Arial" w:eastAsia="Arial" w:hAnsi="Arial"/>
          <w:sz w:val="15"/>
          <w:szCs w:val="15"/>
          <w:color w:val="auto"/>
        </w:rPr>
        <w:t xml:space="preserve">, </w:t>
      </w:r>
      <w:hyperlink w:anchor="page28">
        <w:r>
          <w:rPr>
            <w:rFonts w:ascii="Arial" w:cs="Arial" w:eastAsia="Arial" w:hAnsi="Arial"/>
            <w:sz w:val="15"/>
            <w:szCs w:val="15"/>
            <w:u w:val="single" w:color="auto"/>
            <w:color w:val="0000EE"/>
          </w:rPr>
          <w:t>Section 9</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w:anchor="page30">
        <w:r>
          <w:rPr>
            <w:rFonts w:ascii="Arial" w:cs="Arial" w:eastAsia="Arial" w:hAnsi="Arial"/>
            <w:sz w:val="15"/>
            <w:szCs w:val="15"/>
            <w:u w:val="single" w:color="auto"/>
            <w:color w:val="0000EE"/>
          </w:rPr>
          <w:t>Section 10</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shall at all times be effective and shall survive such termination. In any such case either the Representatives or the Company shall have the right to postpone the Closing Date, as the case may be, but in no event for longer than seven days in order that the required changes, if any, to the Registration Statement and the Prospectus or any other documents or arrangements may be effected.</w:t>
      </w:r>
    </w:p>
    <w:p>
      <w:pPr>
        <w:spacing w:after="0" w:line="94" w:lineRule="exact"/>
        <w:rPr>
          <w:rFonts w:ascii="Arial" w:cs="Arial" w:eastAsia="Arial" w:hAnsi="Arial"/>
          <w:sz w:val="15"/>
          <w:szCs w:val="15"/>
          <w:color w:val="auto"/>
        </w:rPr>
      </w:pPr>
    </w:p>
    <w:p>
      <w:pPr>
        <w:ind w:right="20" w:firstLine="648"/>
        <w:spacing w:after="0" w:line="262" w:lineRule="auto"/>
        <w:rPr>
          <w:rFonts w:ascii="Arial" w:cs="Arial" w:eastAsia="Arial" w:hAnsi="Arial"/>
          <w:sz w:val="18"/>
          <w:szCs w:val="18"/>
          <w:color w:val="0000EE"/>
        </w:rPr>
      </w:pPr>
      <w:hyperlink w:anchor="page31">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xml:space="preserve">” shall be deemed to include any person substituted for a defaulting Underwriter under this </w:t>
        </w:r>
        <w:r>
          <w:rPr>
            <w:rFonts w:ascii="Arial" w:cs="Arial" w:eastAsia="Arial" w:hAnsi="Arial"/>
            <w:sz w:val="18"/>
            <w:szCs w:val="18"/>
            <w:u w:val="single" w:color="auto"/>
            <w:color w:val="0000EE"/>
          </w:rPr>
          <w:t>Section</w:t>
        </w:r>
      </w:hyperlink>
      <w:r>
        <w:rPr>
          <w:rFonts w:ascii="Arial" w:cs="Arial" w:eastAsia="Arial" w:hAnsi="Arial"/>
          <w:sz w:val="18"/>
          <w:szCs w:val="18"/>
          <w:color w:val="auto"/>
        </w:rPr>
        <w:t xml:space="preserve"> </w:t>
      </w:r>
      <w:hyperlink w:anchor="page31">
        <w:r>
          <w:rPr>
            <w:rFonts w:ascii="Arial" w:cs="Arial" w:eastAsia="Arial" w:hAnsi="Arial"/>
            <w:sz w:val="18"/>
            <w:szCs w:val="18"/>
            <w:u w:val="single" w:color="auto"/>
            <w:color w:val="0000EE"/>
          </w:rPr>
          <w:t>11</w:t>
        </w:r>
        <w:r>
          <w:rPr>
            <w:rFonts w:ascii="Arial" w:cs="Arial" w:eastAsia="Arial" w:hAnsi="Arial"/>
            <w:sz w:val="18"/>
            <w:szCs w:val="18"/>
            <w:color w:val="000000"/>
          </w:rPr>
          <w:t>. Any action taken under this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Section 11</w:t>
        </w:r>
        <w:r>
          <w:rPr>
            <w:rFonts w:ascii="Arial" w:cs="Arial" w:eastAsia="Arial" w:hAnsi="Arial"/>
            <w:sz w:val="18"/>
            <w:szCs w:val="18"/>
            <w:color w:val="0000EE"/>
          </w:rPr>
          <w:t xml:space="preserve"> </w:t>
        </w:r>
        <w:r>
          <w:rPr>
            <w:rFonts w:ascii="Arial" w:cs="Arial" w:eastAsia="Arial" w:hAnsi="Arial"/>
            <w:sz w:val="18"/>
            <w:szCs w:val="18"/>
            <w:color w:val="000000"/>
          </w:rPr>
          <w:t>shall not relieve any defaulting Underwriter from liability in respect of any default of such Underwriter under this</w:t>
        </w:r>
      </w:hyperlink>
      <w:r>
        <w:rPr>
          <w:rFonts w:ascii="Arial" w:cs="Arial" w:eastAsia="Arial" w:hAnsi="Arial"/>
          <w:sz w:val="18"/>
          <w:szCs w:val="18"/>
          <w:color w:val="0000EE"/>
        </w:rPr>
        <w:t xml:space="preserve"> </w:t>
      </w:r>
      <w:r>
        <w:rPr>
          <w:rFonts w:ascii="Arial" w:cs="Arial" w:eastAsia="Arial" w:hAnsi="Arial"/>
          <w:sz w:val="18"/>
          <w:szCs w:val="18"/>
          <w:color w:val="000000"/>
        </w:rPr>
        <w:t>Agreement.</w:t>
      </w:r>
    </w:p>
    <w:p>
      <w:pPr>
        <w:spacing w:after="0" w:line="146" w:lineRule="exact"/>
        <w:rPr>
          <w:sz w:val="20"/>
          <w:szCs w:val="20"/>
          <w:color w:val="auto"/>
        </w:rPr>
      </w:pPr>
    </w:p>
    <w:p>
      <w:pPr>
        <w:ind w:right="20" w:firstLine="1296"/>
        <w:spacing w:after="0" w:line="286" w:lineRule="auto"/>
        <w:rPr>
          <w:rFonts w:ascii="Arial" w:cs="Arial" w:eastAsia="Arial" w:hAnsi="Arial"/>
          <w:sz w:val="16"/>
          <w:szCs w:val="16"/>
          <w:i w:val="1"/>
          <w:iCs w:val="1"/>
          <w:color w:val="auto"/>
        </w:rPr>
      </w:pPr>
      <w:r>
        <w:rPr>
          <w:rFonts w:ascii="Arial" w:cs="Arial" w:eastAsia="Arial" w:hAnsi="Arial"/>
          <w:sz w:val="16"/>
          <w:szCs w:val="16"/>
          <w:b w:val="1"/>
          <w:bCs w:val="1"/>
          <w:color w:val="auto"/>
        </w:rPr>
        <w:t>Section 12. Termination of this Agreement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Securities by the Underwriters on the Closing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may be terminated by Jefferies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of federal, New York or California authorities; (iii) there shall have occurred any outbreak or escalation of national or international hostilities or any crisis or calamity, or any substantial change in the United States or international financial markets, or any substantial change or development involving a prospective substantial change in United States’ or international political, financial or economic conditions, as in the judgment of Jefferies is material and adverse and makes it impracticable to market the Securities in the manner and on the terms described in the Time of Sale Prospectus or the Prospectus or to enforce contracts for the sale of securities; (iv) in the judgment of Jefferies there shall have occurred any Material Adverse Change; or (v) the Company shall have sustained a loss by strike, fire, flood, earthquake, accident or other calamity of such character as in the judgment of Jefferies may interfere materially with the conduct of the business and operations of the Company regardless of whether or not such loss shall have been insured. Any termination pursuant to this </w:t>
      </w:r>
      <w:hyperlink w:anchor="page31">
        <w:r>
          <w:rPr>
            <w:rFonts w:ascii="Arial" w:cs="Arial" w:eastAsia="Arial" w:hAnsi="Arial"/>
            <w:sz w:val="16"/>
            <w:szCs w:val="16"/>
            <w:u w:val="single" w:color="auto"/>
            <w:color w:val="0000EE"/>
          </w:rPr>
          <w:t>Section 12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shall be without liability on the part of (a) the Company to any Underwriter, except that the Company shall be obligated to reimburse the expenses of the Representatives and the Underwriters pursuant to </w:t>
      </w:r>
      <w:hyperlink w:anchor="page25">
        <w:r>
          <w:rPr>
            <w:rFonts w:ascii="Arial" w:cs="Arial" w:eastAsia="Arial" w:hAnsi="Arial"/>
            <w:sz w:val="16"/>
            <w:szCs w:val="16"/>
            <w:u w:val="single" w:color="auto"/>
            <w:color w:val="0000EE"/>
          </w:rPr>
          <w:t>Section 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or </w:t>
      </w:r>
      <w:hyperlink w:anchor="page27">
        <w:r>
          <w:rPr>
            <w:rFonts w:ascii="Arial" w:cs="Arial" w:eastAsia="Arial" w:hAnsi="Arial"/>
            <w:sz w:val="16"/>
            <w:szCs w:val="16"/>
            <w:u w:val="single" w:color="auto"/>
            <w:color w:val="0000EE"/>
          </w:rPr>
          <w:t>Section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hereof or (b) any Underwriter to the Company;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provisions of</w:t>
      </w:r>
      <w:r>
        <w:rPr>
          <w:rFonts w:ascii="Arial" w:cs="Arial" w:eastAsia="Arial" w:hAnsi="Arial"/>
          <w:sz w:val="16"/>
          <w:szCs w:val="16"/>
          <w:i w:val="1"/>
          <w:iCs w:val="1"/>
          <w:color w:val="auto"/>
        </w:rPr>
        <w:t xml:space="preserve"> </w:t>
      </w:r>
      <w:hyperlink w:anchor="page28">
        <w:r>
          <w:rPr>
            <w:rFonts w:ascii="Arial" w:cs="Arial" w:eastAsia="Arial" w:hAnsi="Arial"/>
            <w:sz w:val="16"/>
            <w:szCs w:val="16"/>
            <w:u w:val="single" w:color="auto"/>
            <w:color w:val="0000EE"/>
          </w:rPr>
          <w:t>Section 9</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color w:val="auto"/>
        </w:rPr>
        <w:t>and</w:t>
      </w:r>
      <w:r>
        <w:rPr>
          <w:rFonts w:ascii="Arial" w:cs="Arial" w:eastAsia="Arial" w:hAnsi="Arial"/>
          <w:sz w:val="16"/>
          <w:szCs w:val="16"/>
          <w:i w:val="1"/>
          <w:iCs w:val="1"/>
          <w:color w:val="auto"/>
        </w:rPr>
        <w:t xml:space="preserve"> </w:t>
      </w:r>
      <w:hyperlink w:anchor="page30">
        <w:r>
          <w:rPr>
            <w:rFonts w:ascii="Arial" w:cs="Arial" w:eastAsia="Arial" w:hAnsi="Arial"/>
            <w:sz w:val="16"/>
            <w:szCs w:val="16"/>
            <w:u w:val="single" w:color="auto"/>
            <w:color w:val="0000EE"/>
          </w:rPr>
          <w:t>Section 10</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color w:val="auto"/>
        </w:rPr>
        <w:t>shall</w:t>
      </w:r>
      <w:r>
        <w:rPr>
          <w:rFonts w:ascii="Arial" w:cs="Arial" w:eastAsia="Arial" w:hAnsi="Arial"/>
          <w:sz w:val="16"/>
          <w:szCs w:val="16"/>
          <w:i w:val="1"/>
          <w:iCs w:val="1"/>
          <w:color w:val="auto"/>
        </w:rPr>
        <w:t xml:space="preserve"> </w:t>
      </w:r>
      <w:r>
        <w:rPr>
          <w:rFonts w:ascii="Arial" w:cs="Arial" w:eastAsia="Arial" w:hAnsi="Arial"/>
          <w:sz w:val="16"/>
          <w:szCs w:val="16"/>
          <w:color w:val="auto"/>
        </w:rPr>
        <w:t>at all times be effective and shall survive such termination.</w:t>
      </w:r>
    </w:p>
    <w:p>
      <w:pPr>
        <w:spacing w:after="0" w:line="130" w:lineRule="exact"/>
        <w:rPr>
          <w:rFonts w:ascii="Arial" w:cs="Arial" w:eastAsia="Arial" w:hAnsi="Arial"/>
          <w:sz w:val="16"/>
          <w:szCs w:val="16"/>
          <w:color w:val="auto"/>
        </w:rPr>
      </w:pPr>
    </w:p>
    <w:p>
      <w:pPr>
        <w:ind w:right="20" w:firstLine="1296"/>
        <w:spacing w:after="0" w:line="287" w:lineRule="auto"/>
        <w:rPr>
          <w:sz w:val="20"/>
          <w:szCs w:val="20"/>
          <w:color w:val="auto"/>
        </w:rPr>
      </w:pPr>
      <w:r>
        <w:rPr>
          <w:rFonts w:ascii="Arial" w:cs="Arial" w:eastAsia="Arial" w:hAnsi="Arial"/>
          <w:sz w:val="16"/>
          <w:szCs w:val="16"/>
          <w:b w:val="1"/>
          <w:bCs w:val="1"/>
          <w:color w:val="auto"/>
        </w:rPr>
        <w:t xml:space="preserve">Section 13. No Advisory or Fiduciary Relationship. </w:t>
      </w:r>
      <w:r>
        <w:rPr>
          <w:rFonts w:ascii="Arial" w:cs="Arial" w:eastAsia="Arial" w:hAnsi="Arial"/>
          <w:sz w:val="16"/>
          <w:szCs w:val="16"/>
          <w:color w:val="auto"/>
        </w:rPr>
        <w:t>The Company acknowledges and agrees that (a) the purchase and sale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200" w:lineRule="exact"/>
        <w:rPr>
          <w:rFonts w:ascii="Arial" w:cs="Arial" w:eastAsia="Arial" w:hAnsi="Arial"/>
          <w:sz w:val="16"/>
          <w:szCs w:val="16"/>
          <w:color w:val="auto"/>
        </w:rPr>
      </w:pPr>
    </w:p>
    <w:p>
      <w:pPr>
        <w:spacing w:after="0" w:line="342"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1" w:name="page32"/>
    <w:bookmarkEnd w:id="31"/>
    <w:p>
      <w:pPr>
        <w:ind w:right="60" w:firstLine="1296"/>
        <w:spacing w:after="0" w:line="256" w:lineRule="auto"/>
        <w:rPr>
          <w:sz w:val="20"/>
          <w:szCs w:val="20"/>
          <w:color w:val="auto"/>
        </w:rPr>
      </w:pPr>
      <w:r>
        <w:rPr>
          <w:rFonts w:ascii="Arial" w:cs="Arial" w:eastAsia="Arial" w:hAnsi="Arial"/>
          <w:sz w:val="18"/>
          <w:szCs w:val="18"/>
          <w:b w:val="1"/>
          <w:bCs w:val="1"/>
          <w:color w:val="auto"/>
        </w:rPr>
        <w:t>Section 14. Representations and Indemnities to Survive Delivery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indemnities, agreements, representations,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Securities sold hereunder and any termination of this Agreement.</w:t>
      </w:r>
    </w:p>
    <w:p>
      <w:pPr>
        <w:spacing w:after="0" w:line="152" w:lineRule="exact"/>
        <w:rPr>
          <w:sz w:val="20"/>
          <w:szCs w:val="20"/>
          <w:color w:val="auto"/>
        </w:rPr>
      </w:pPr>
    </w:p>
    <w:p>
      <w:pPr>
        <w:ind w:firstLine="1296"/>
        <w:spacing w:after="0" w:line="275" w:lineRule="auto"/>
        <w:rPr>
          <w:sz w:val="20"/>
          <w:szCs w:val="20"/>
          <w:color w:val="auto"/>
        </w:rPr>
      </w:pPr>
      <w:r>
        <w:rPr>
          <w:rFonts w:ascii="Arial" w:cs="Arial" w:eastAsia="Arial" w:hAnsi="Arial"/>
          <w:sz w:val="18"/>
          <w:szCs w:val="18"/>
          <w:b w:val="1"/>
          <w:bCs w:val="1"/>
          <w:color w:val="auto"/>
        </w:rPr>
        <w:t>Section 15. Notices</w:t>
      </w:r>
      <w:r>
        <w:rPr>
          <w:rFonts w:ascii="Arial" w:cs="Arial" w:eastAsia="Arial" w:hAnsi="Arial"/>
          <w:sz w:val="18"/>
          <w:szCs w:val="18"/>
          <w:color w:val="auto"/>
        </w:rPr>
        <w:t>. All communications hereunder shall be in writing and shall be mailed, hand delivered or telecopied and confirmed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as follows:</w:t>
      </w:r>
    </w:p>
    <w:p>
      <w:pPr>
        <w:sectPr>
          <w:pgSz w:w="11900" w:h="16838" w:orient="portrait"/>
          <w:cols w:equalWidth="0" w:num="1">
            <w:col w:w="11180"/>
          </w:cols>
          <w:pgMar w:left="320" w:top="584" w:right="3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If to the Representatives: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Jefferies LLC</w:t>
      </w:r>
    </w:p>
    <w:p>
      <w:pPr>
        <w:spacing w:after="0" w:line="36" w:lineRule="exact"/>
        <w:rPr>
          <w:sz w:val="20"/>
          <w:szCs w:val="20"/>
          <w:color w:val="auto"/>
        </w:rPr>
      </w:pPr>
    </w:p>
    <w:p>
      <w:pPr>
        <w:sectPr>
          <w:pgSz w:w="11900" w:h="16838" w:orient="portrait"/>
          <w:cols w:equalWidth="0" w:num="2">
            <w:col w:w="2860" w:space="720"/>
            <w:col w:w="7600"/>
          </w:cols>
          <w:pgMar w:left="320" w:top="584" w:right="399" w:bottom="1440" w:gutter="0" w:footer="0" w:header="0"/>
          <w:type w:val="continuous"/>
        </w:sectPr>
      </w:pPr>
    </w:p>
    <w:p>
      <w:pPr>
        <w:ind w:left="3580"/>
        <w:spacing w:after="0"/>
        <w:rPr>
          <w:sz w:val="20"/>
          <w:szCs w:val="20"/>
          <w:color w:val="auto"/>
        </w:rPr>
      </w:pPr>
      <w:r>
        <w:rPr>
          <w:rFonts w:ascii="Arial" w:cs="Arial" w:eastAsia="Arial" w:hAnsi="Arial"/>
          <w:sz w:val="22"/>
          <w:szCs w:val="22"/>
          <w:color w:val="auto"/>
        </w:rPr>
        <w:t>520 Madison Avenue</w:t>
      </w:r>
    </w:p>
    <w:p>
      <w:pPr>
        <w:ind w:left="3580"/>
        <w:spacing w:after="0"/>
        <w:rPr>
          <w:sz w:val="20"/>
          <w:szCs w:val="20"/>
          <w:color w:val="auto"/>
        </w:rPr>
      </w:pPr>
      <w:r>
        <w:rPr>
          <w:rFonts w:ascii="Arial" w:cs="Arial" w:eastAsia="Arial" w:hAnsi="Arial"/>
          <w:sz w:val="18"/>
          <w:szCs w:val="18"/>
          <w:color w:val="auto"/>
        </w:rPr>
        <w:t>New York, New York 10022</w:t>
      </w:r>
    </w:p>
    <w:p>
      <w:pPr>
        <w:spacing w:after="0" w:line="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Facsimile: (646) 619-4437</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William Blair &amp; Company, L.L.C.</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Facsimile: (312) 551-4646</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Attention: Equity Capital Markets and separately, General</w:t>
      </w:r>
    </w:p>
    <w:p>
      <w:pPr>
        <w:spacing w:after="0" w:line="4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Counsel</w:t>
      </w:r>
    </w:p>
    <w:p>
      <w:pPr>
        <w:sectPr>
          <w:pgSz w:w="11900" w:h="16838" w:orient="portrait"/>
          <w:cols w:equalWidth="0" w:num="1">
            <w:col w:w="11180"/>
          </w:cols>
          <w:pgMar w:left="320" w:top="584" w:right="399" w:bottom="1440" w:gutter="0" w:footer="0" w:header="0"/>
          <w:type w:val="continuous"/>
        </w:sectPr>
      </w:pPr>
    </w:p>
    <w:p>
      <w:pPr>
        <w:spacing w:after="0" w:line="2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Eric Blanchard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Joshua Kaufman</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Daniel I. Goldberg</w:t>
      </w:r>
    </w:p>
    <w:p>
      <w:pPr>
        <w:spacing w:after="0" w:line="200" w:lineRule="exact"/>
        <w:rPr>
          <w:sz w:val="20"/>
          <w:szCs w:val="20"/>
          <w:color w:val="auto"/>
        </w:rPr>
      </w:pPr>
    </w:p>
    <w:p>
      <w:pPr>
        <w:sectPr>
          <w:pgSz w:w="11900" w:h="16838" w:orient="portrait"/>
          <w:cols w:equalWidth="0" w:num="2">
            <w:col w:w="2860" w:space="720"/>
            <w:col w:w="7600"/>
          </w:cols>
          <w:pgMar w:left="320" w:top="584" w:right="399" w:bottom="1440" w:gutter="0" w:footer="0" w:header="0"/>
          <w:type w:val="continuous"/>
        </w:sectPr>
      </w:pPr>
    </w:p>
    <w:p>
      <w:pPr>
        <w:spacing w:after="0" w:line="4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(888)-482-2602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Shawn Singh, Chief Executive Officer</w:t>
      </w:r>
    </w:p>
    <w:p>
      <w:pPr>
        <w:spacing w:after="0" w:line="200" w:lineRule="exact"/>
        <w:rPr>
          <w:sz w:val="20"/>
          <w:szCs w:val="20"/>
          <w:color w:val="auto"/>
        </w:rPr>
      </w:pPr>
    </w:p>
    <w:p>
      <w:pPr>
        <w:sectPr>
          <w:pgSz w:w="11900" w:h="16838" w:orient="portrait"/>
          <w:cols w:equalWidth="0" w:num="2">
            <w:col w:w="2860" w:space="720"/>
            <w:col w:w="7600"/>
          </w:cols>
          <w:pgMar w:left="320" w:top="584" w:right="399" w:bottom="1440" w:gutter="0" w:footer="0" w:header="0"/>
          <w:type w:val="continuous"/>
        </w:sectPr>
      </w:pPr>
    </w:p>
    <w:p>
      <w:pPr>
        <w:spacing w:after="0" w:line="4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Nathan Ajiashvili</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Christopher Lueking</w:t>
      </w:r>
    </w:p>
    <w:p>
      <w:pPr>
        <w:spacing w:after="0" w:line="200" w:lineRule="exact"/>
        <w:rPr>
          <w:sz w:val="20"/>
          <w:szCs w:val="20"/>
          <w:color w:val="auto"/>
        </w:rPr>
      </w:pPr>
    </w:p>
    <w:p>
      <w:pPr>
        <w:sectPr>
          <w:pgSz w:w="11900" w:h="16838" w:orient="portrait"/>
          <w:cols w:equalWidth="0" w:num="2">
            <w:col w:w="2860" w:space="720"/>
            <w:col w:w="7600"/>
          </w:cols>
          <w:pgMar w:left="320" w:top="584" w:right="39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179" w:lineRule="exact"/>
        <w:rPr>
          <w:sz w:val="20"/>
          <w:szCs w:val="20"/>
          <w:color w:val="auto"/>
        </w:rPr>
      </w:pPr>
    </w:p>
    <w:p>
      <w:pPr>
        <w:ind w:right="80" w:firstLine="1296"/>
        <w:spacing w:after="0" w:line="301" w:lineRule="auto"/>
        <w:rPr>
          <w:rFonts w:ascii="Arial" w:cs="Arial" w:eastAsia="Arial" w:hAnsi="Arial"/>
          <w:sz w:val="16"/>
          <w:szCs w:val="16"/>
          <w:color w:val="0000EE"/>
        </w:rPr>
      </w:pPr>
      <w:r>
        <w:rPr>
          <w:rFonts w:ascii="Arial" w:cs="Arial" w:eastAsia="Arial" w:hAnsi="Arial"/>
          <w:sz w:val="16"/>
          <w:szCs w:val="16"/>
          <w:b w:val="1"/>
          <w:bCs w:val="1"/>
          <w:color w:val="auto"/>
        </w:rPr>
        <w:t>Section 16. Successors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inure to the benefit of and be binding upon the parties hereto, including any substitute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Underwriters pursuant to </w:t>
      </w:r>
      <w:hyperlink w:anchor="page31">
        <w:r>
          <w:rPr>
            <w:rFonts w:ascii="Arial" w:cs="Arial" w:eastAsia="Arial" w:hAnsi="Arial"/>
            <w:sz w:val="16"/>
            <w:szCs w:val="16"/>
            <w:u w:val="single" w:color="auto"/>
            <w:color w:val="0000EE"/>
          </w:rPr>
          <w:t>Section 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hereof, and to the benefit of the affiliates, directors, officers, employees, agents and controlling persons referred to in </w:t>
      </w:r>
      <w:hyperlink w:anchor="page28">
        <w:r>
          <w:rPr>
            <w:rFonts w:ascii="Arial" w:cs="Arial" w:eastAsia="Arial" w:hAnsi="Arial"/>
            <w:sz w:val="16"/>
            <w:szCs w:val="16"/>
            <w:u w:val="single" w:color="auto"/>
            <w:color w:val="0000EE"/>
          </w:rPr>
          <w:t>Section 9</w:t>
        </w:r>
        <w:r>
          <w:rPr>
            <w:rFonts w:ascii="Arial" w:cs="Arial" w:eastAsia="Arial" w:hAnsi="Arial"/>
            <w:sz w:val="16"/>
            <w:szCs w:val="16"/>
            <w:color w:val="0000EE"/>
          </w:rPr>
          <w:t xml:space="preserve"> </w:t>
        </w:r>
      </w:hyperlink>
      <w:r>
        <w:rPr>
          <w:rFonts w:ascii="Arial" w:cs="Arial" w:eastAsia="Arial" w:hAnsi="Arial"/>
          <w:sz w:val="16"/>
          <w:szCs w:val="16"/>
          <w:color w:val="000000"/>
        </w:rPr>
        <w:t>and</w:t>
      </w:r>
      <w:r>
        <w:rPr>
          <w:rFonts w:ascii="Arial" w:cs="Arial" w:eastAsia="Arial" w:hAnsi="Arial"/>
          <w:sz w:val="16"/>
          <w:szCs w:val="16"/>
          <w:color w:val="0000EE"/>
        </w:rPr>
        <w:t xml:space="preserve"> </w:t>
      </w:r>
      <w:hyperlink w:anchor="page30">
        <w:r>
          <w:rPr>
            <w:rFonts w:ascii="Arial" w:cs="Arial" w:eastAsia="Arial" w:hAnsi="Arial"/>
            <w:sz w:val="16"/>
            <w:szCs w:val="16"/>
            <w:u w:val="single" w:color="auto"/>
            <w:color w:val="0000EE"/>
          </w:rPr>
          <w:t>Section 10</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and in each case their respective successors, and no other person will have any right or obligation hereunder. The term “</w:t>
      </w:r>
      <w:r>
        <w:rPr>
          <w:rFonts w:ascii="Arial" w:cs="Arial" w:eastAsia="Arial" w:hAnsi="Arial"/>
          <w:sz w:val="16"/>
          <w:szCs w:val="16"/>
          <w:b w:val="1"/>
          <w:bCs w:val="1"/>
          <w:color w:val="000000"/>
        </w:rPr>
        <w:t>successors</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shall not include any purchaser of the Securities as such from any of the Underwriters merely by reason of such purchase.</w:t>
      </w:r>
    </w:p>
    <w:p>
      <w:pPr>
        <w:spacing w:after="0" w:line="117" w:lineRule="exact"/>
        <w:rPr>
          <w:rFonts w:ascii="Arial" w:cs="Arial" w:eastAsia="Arial" w:hAnsi="Arial"/>
          <w:sz w:val="16"/>
          <w:szCs w:val="16"/>
          <w:color w:val="auto"/>
        </w:rPr>
      </w:pPr>
    </w:p>
    <w:p>
      <w:pPr>
        <w:ind w:right="100" w:firstLine="1296"/>
        <w:spacing w:after="0" w:line="258" w:lineRule="auto"/>
        <w:rPr>
          <w:sz w:val="20"/>
          <w:szCs w:val="20"/>
          <w:color w:val="auto"/>
        </w:rPr>
      </w:pPr>
      <w:r>
        <w:rPr>
          <w:rFonts w:ascii="Arial" w:cs="Arial" w:eastAsia="Arial" w:hAnsi="Arial"/>
          <w:sz w:val="18"/>
          <w:szCs w:val="18"/>
          <w:b w:val="1"/>
          <w:bCs w:val="1"/>
          <w:i w:val="1"/>
          <w:iCs w:val="1"/>
          <w:color w:val="auto"/>
        </w:rPr>
        <w:t xml:space="preserve">Section 17. </w:t>
      </w:r>
      <w:r>
        <w:rPr>
          <w:rFonts w:ascii="Arial" w:cs="Arial" w:eastAsia="Arial" w:hAnsi="Arial"/>
          <w:sz w:val="18"/>
          <w:szCs w:val="18"/>
          <w:b w:val="1"/>
          <w:bCs w:val="1"/>
          <w:color w:val="auto"/>
        </w:rPr>
        <w:t>Partial Unenforceability</w:t>
      </w:r>
      <w:r>
        <w:rPr>
          <w:rFonts w:ascii="Arial" w:cs="Arial" w:eastAsia="Arial" w:hAnsi="Arial"/>
          <w:sz w:val="18"/>
          <w:szCs w:val="18"/>
          <w:color w:val="auto"/>
        </w:rPr>
        <w:t>. The invalidity or unenforceability of any section, paragraph or provision of this Agreement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200" w:lineRule="exact"/>
        <w:rPr>
          <w:rFonts w:ascii="Arial" w:cs="Arial" w:eastAsia="Arial" w:hAnsi="Arial"/>
          <w:sz w:val="16"/>
          <w:szCs w:val="16"/>
          <w:color w:val="auto"/>
        </w:rPr>
      </w:pPr>
    </w:p>
    <w:p>
      <w:pPr>
        <w:spacing w:after="0" w:line="360"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type w:val="continuous"/>
        </w:sectPr>
      </w:pPr>
    </w:p>
    <w:bookmarkStart w:id="32" w:name="page33"/>
    <w:bookmarkEnd w:id="32"/>
    <w:p>
      <w:pPr>
        <w:ind w:left="1300"/>
        <w:spacing w:after="0"/>
        <w:tabs>
          <w:tab w:leader="none" w:pos="230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5"/>
          <w:szCs w:val="15"/>
          <w:b w:val="1"/>
          <w:bCs w:val="1"/>
          <w:color w:val="auto"/>
        </w:rPr>
        <w:t>Recognition of the U.S. Special Resolution Regimes.</w:t>
      </w:r>
    </w:p>
    <w:p>
      <w:pPr>
        <w:spacing w:after="0" w:line="191" w:lineRule="exact"/>
        <w:rPr>
          <w:sz w:val="20"/>
          <w:szCs w:val="20"/>
          <w:color w:val="auto"/>
        </w:rPr>
      </w:pPr>
    </w:p>
    <w:p>
      <w:pPr>
        <w:jc w:val="both"/>
        <w:ind w:right="40" w:firstLine="656"/>
        <w:spacing w:after="0" w:line="256" w:lineRule="auto"/>
        <w:tabs>
          <w:tab w:leader="none" w:pos="1069"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56" w:lineRule="exact"/>
        <w:rPr>
          <w:rFonts w:ascii="Arial" w:cs="Arial" w:eastAsia="Arial" w:hAnsi="Arial"/>
          <w:sz w:val="18"/>
          <w:szCs w:val="18"/>
          <w:b w:val="1"/>
          <w:bCs w:val="1"/>
          <w:color w:val="auto"/>
        </w:rPr>
      </w:pPr>
    </w:p>
    <w:p>
      <w:pPr>
        <w:ind w:right="140" w:firstLine="656"/>
        <w:spacing w:after="0" w:line="256" w:lineRule="auto"/>
        <w:tabs>
          <w:tab w:leader="none" w:pos="1078"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2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purposes of this Agreement, (A) “</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 § 1841(k); (B) “</w:t>
      </w:r>
      <w:r>
        <w:rPr>
          <w:rFonts w:ascii="Arial" w:cs="Arial" w:eastAsia="Arial" w:hAnsi="Arial"/>
          <w:sz w:val="16"/>
          <w:szCs w:val="16"/>
          <w:b w:val="1"/>
          <w:bCs w:val="1"/>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Arial" w:cs="Arial" w:eastAsia="Arial" w:hAnsi="Arial"/>
          <w:sz w:val="16"/>
          <w:szCs w:val="16"/>
          <w:b w:val="1"/>
          <w:bCs w:val="1"/>
          <w:color w:val="auto"/>
        </w:rPr>
        <w:t>Default Right</w:t>
      </w:r>
      <w:r>
        <w:rPr>
          <w:rFonts w:ascii="Arial" w:cs="Arial" w:eastAsia="Arial" w:hAnsi="Arial"/>
          <w:sz w:val="16"/>
          <w:szCs w:val="16"/>
          <w:color w:val="auto"/>
        </w:rPr>
        <w:t>” has the meaning assigned to that term in, and shall be interpreted in accordance with, 12 C.F.R. §§ 252.81, 47.2 or 382.1, as applicable; and (D) “</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26" w:lineRule="exact"/>
        <w:rPr>
          <w:sz w:val="20"/>
          <w:szCs w:val="20"/>
          <w:color w:val="auto"/>
        </w:rPr>
      </w:pPr>
    </w:p>
    <w:p>
      <w:pPr>
        <w:ind w:right="40" w:firstLine="1296"/>
        <w:spacing w:after="0" w:line="288" w:lineRule="auto"/>
        <w:rPr>
          <w:sz w:val="20"/>
          <w:szCs w:val="20"/>
          <w:color w:val="auto"/>
        </w:rPr>
      </w:pPr>
      <w:r>
        <w:rPr>
          <w:rFonts w:ascii="Arial" w:cs="Arial" w:eastAsia="Arial" w:hAnsi="Arial"/>
          <w:sz w:val="16"/>
          <w:szCs w:val="16"/>
          <w:b w:val="1"/>
          <w:bCs w:val="1"/>
          <w:color w:val="auto"/>
        </w:rPr>
        <w:t>Section 19. Governing Law Provisions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 the internal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28" w:lineRule="exact"/>
        <w:rPr>
          <w:sz w:val="20"/>
          <w:szCs w:val="20"/>
          <w:color w:val="auto"/>
        </w:rPr>
      </w:pPr>
    </w:p>
    <w:p>
      <w:pPr>
        <w:ind w:right="20" w:firstLine="1296"/>
        <w:spacing w:after="0" w:line="293" w:lineRule="auto"/>
        <w:rPr>
          <w:sz w:val="20"/>
          <w:szCs w:val="20"/>
          <w:color w:val="auto"/>
        </w:rPr>
      </w:pPr>
      <w:r>
        <w:rPr>
          <w:rFonts w:ascii="Arial" w:cs="Arial" w:eastAsia="Arial" w:hAnsi="Arial"/>
          <w:sz w:val="16"/>
          <w:szCs w:val="16"/>
          <w:b w:val="1"/>
          <w:bCs w:val="1"/>
          <w:color w:val="auto"/>
        </w:rPr>
        <w:t xml:space="preserve">Section 20. General Provisions. </w:t>
      </w:r>
      <w:r>
        <w:rPr>
          <w:rFonts w:ascii="Arial" w:cs="Arial" w:eastAsia="Arial" w:hAnsi="Arial"/>
          <w:sz w:val="16"/>
          <w:szCs w:val="16"/>
          <w:color w:val="auto"/>
        </w:rPr>
        <w:t>This Agreement constitutes the entire agreement of the parties to this Agreement and supersedes all prior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03" w:lineRule="exact"/>
        <w:rPr>
          <w:sz w:val="20"/>
          <w:szCs w:val="20"/>
          <w:color w:val="auto"/>
        </w:rPr>
      </w:pPr>
    </w:p>
    <w:p>
      <w:pPr>
        <w:ind w:firstLine="648"/>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Each of the parties hereto acknowledges that it is a sophisticated business person who was adequately represented by counsel during negotiations regarding the provisions hereof, including, without limitation, the indemnification provisions of </w:t>
      </w:r>
      <w:hyperlink w:anchor="page28">
        <w:r>
          <w:rPr>
            <w:rFonts w:ascii="Arial" w:cs="Arial" w:eastAsia="Arial" w:hAnsi="Arial"/>
            <w:sz w:val="16"/>
            <w:szCs w:val="16"/>
            <w:u w:val="single" w:color="auto"/>
            <w:color w:val="0000EE"/>
          </w:rPr>
          <w:t>Section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the contribution provisions of </w:t>
      </w:r>
      <w:hyperlink w:anchor="page30">
        <w:r>
          <w:rPr>
            <w:rFonts w:ascii="Arial" w:cs="Arial" w:eastAsia="Arial" w:hAnsi="Arial"/>
            <w:sz w:val="16"/>
            <w:szCs w:val="16"/>
            <w:u w:val="single" w:color="auto"/>
            <w:color w:val="0000EE"/>
          </w:rPr>
          <w:t>Section 10</w:t>
        </w:r>
      </w:hyperlink>
      <w:r>
        <w:rPr>
          <w:rFonts w:ascii="Arial" w:cs="Arial" w:eastAsia="Arial" w:hAnsi="Arial"/>
          <w:sz w:val="16"/>
          <w:szCs w:val="16"/>
          <w:color w:val="auto"/>
        </w:rPr>
        <w:t xml:space="preserve">, and is fully informed regarding said provisions. Each of the parties hereto further acknowledges that the provisions of </w:t>
      </w:r>
      <w:hyperlink w:anchor="page28">
        <w:r>
          <w:rPr>
            <w:rFonts w:ascii="Arial" w:cs="Arial" w:eastAsia="Arial" w:hAnsi="Arial"/>
            <w:sz w:val="16"/>
            <w:szCs w:val="16"/>
            <w:u w:val="single" w:color="auto"/>
            <w:color w:val="0000EE"/>
          </w:rPr>
          <w:t>Section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30">
        <w:r>
          <w:rPr>
            <w:rFonts w:ascii="Arial" w:cs="Arial" w:eastAsia="Arial" w:hAnsi="Arial"/>
            <w:sz w:val="16"/>
            <w:szCs w:val="16"/>
            <w:u w:val="single" w:color="auto"/>
            <w:color w:val="0000EE"/>
          </w:rPr>
          <w:t>Section 10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200" w:lineRule="exact"/>
        <w:rPr>
          <w:rFonts w:ascii="Arial" w:cs="Arial" w:eastAsia="Arial" w:hAnsi="Arial"/>
          <w:sz w:val="16"/>
          <w:szCs w:val="16"/>
          <w:color w:val="auto"/>
        </w:rPr>
      </w:pPr>
    </w:p>
    <w:p>
      <w:pPr>
        <w:spacing w:after="0" w:line="338"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firstLine="648"/>
        <w:spacing w:after="0" w:line="331" w:lineRule="auto"/>
        <w:rPr>
          <w:sz w:val="20"/>
          <w:szCs w:val="20"/>
          <w:color w:val="auto"/>
        </w:rPr>
      </w:pPr>
      <w:r>
        <w:rPr>
          <w:rFonts w:ascii="Arial" w:cs="Arial" w:eastAsia="Arial" w:hAnsi="Arial"/>
          <w:sz w:val="16"/>
          <w:szCs w:val="16"/>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3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63" w:right="8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The foregoing Underwriting Agreement is hereby confirmed and accepted by the Representatives in New York, New York as of the 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BLAIR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 in</w:t>
      </w:r>
    </w:p>
    <w:p>
      <w:pPr>
        <w:spacing w:after="0" w:line="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 attached </w:t>
      </w:r>
      <w:hyperlink w:anchor="page36">
        <w:r>
          <w:rPr>
            <w:rFonts w:ascii="Arial" w:cs="Arial" w:eastAsia="Arial" w:hAnsi="Arial"/>
            <w:sz w:val="18"/>
            <w:szCs w:val="18"/>
            <w:u w:val="single" w:color="auto"/>
            <w:color w:val="auto"/>
          </w:rPr>
          <w:t>Schedule A</w:t>
        </w:r>
      </w:hyperlink>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Matthew Kim</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Matthew Kim</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Managing Director, Joint US Head of Biopharmaceuticals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BLAIR &amp; COMPANY,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 Maletzky</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Steve Maletzky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Partner, Head of Equity Capital Markets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63" w:right="3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8"/>
        </w:trPr>
        <w:tc>
          <w:tcPr>
            <w:tcW w:w="9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w w:val="83"/>
              </w:rPr>
              <w:t>Schedule A</w:t>
            </w:r>
          </w:p>
        </w:tc>
      </w:tr>
      <w:tr>
        <w:trPr>
          <w:trHeight w:val="636"/>
        </w:trPr>
        <w:tc>
          <w:tcPr>
            <w:tcW w:w="9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2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Number of</w:t>
            </w:r>
          </w:p>
        </w:tc>
      </w:tr>
      <w:tr>
        <w:trPr>
          <w:trHeight w:val="216"/>
        </w:trPr>
        <w:tc>
          <w:tcPr>
            <w:tcW w:w="9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2"/>
              </w:rPr>
              <w:t>Shares of</w:t>
            </w: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Shares of</w:t>
            </w:r>
          </w:p>
        </w:tc>
      </w:tr>
      <w:tr>
        <w:trPr>
          <w:trHeight w:val="216"/>
        </w:trPr>
        <w:tc>
          <w:tcPr>
            <w:tcW w:w="9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Common</w:t>
            </w: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Preferred</w:t>
            </w:r>
          </w:p>
        </w:tc>
      </w:tr>
      <w:tr>
        <w:trPr>
          <w:trHeight w:val="216"/>
        </w:trPr>
        <w:tc>
          <w:tcPr>
            <w:tcW w:w="9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1"/>
              </w:rPr>
              <w:t>Stock</w:t>
            </w:r>
          </w:p>
        </w:tc>
      </w:tr>
      <w:tr>
        <w:trPr>
          <w:trHeight w:val="216"/>
        </w:trPr>
        <w:tc>
          <w:tcPr>
            <w:tcW w:w="910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3"/>
              </w:rPr>
              <w:t>to be</w:t>
            </w: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to be</w:t>
            </w:r>
          </w:p>
        </w:tc>
      </w:tr>
      <w:tr>
        <w:trPr>
          <w:trHeight w:val="229"/>
        </w:trPr>
        <w:tc>
          <w:tcPr>
            <w:tcW w:w="9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r>
      <w:tr>
        <w:trPr>
          <w:trHeight w:val="217"/>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40,950,000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shd w:val="clear" w:color="auto" w:fill="CCEEFF"/>
          </w:tcPr>
          <w:p>
            <w:pPr>
              <w:spacing w:after="0"/>
              <w:rPr>
                <w:sz w:val="18"/>
                <w:szCs w:val="18"/>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William Blair &amp; Company, L.L.C.</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22,050,000</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19"/>
                <w:szCs w:val="19"/>
                <w:color w:val="auto"/>
              </w:rPr>
            </w:pPr>
          </w:p>
        </w:tc>
      </w:tr>
      <w:tr>
        <w:trPr>
          <w:trHeight w:val="257"/>
        </w:trPr>
        <w:tc>
          <w:tcPr>
            <w:tcW w:w="9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63,000,000</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Schedule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Free Writing Prospectuses Included in the Time of Sale Prospectus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Term Sheet for the Preferred Stock, dated December 18, 2020.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Schedule C</w:t>
      </w:r>
    </w:p>
    <w:p>
      <w:pPr>
        <w:spacing w:after="0" w:line="374"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u w:val="single" w:color="auto"/>
          <w:color w:val="auto"/>
        </w:rPr>
        <w:t>Permitted Rule 163B Communications</w:t>
      </w:r>
    </w:p>
    <w:p>
      <w:pPr>
        <w:spacing w:after="0" w:line="19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[None]</w:t>
      </w:r>
    </w:p>
    <w:p>
      <w:pPr>
        <w:spacing w:after="0" w:line="3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Schedule D</w:t>
      </w:r>
    </w:p>
    <w:p>
      <w:pPr>
        <w:spacing w:after="0" w:line="158" w:lineRule="exact"/>
        <w:rPr>
          <w:sz w:val="20"/>
          <w:szCs w:val="20"/>
          <w:color w:val="auto"/>
        </w:rPr>
      </w:pPr>
    </w:p>
    <w:p>
      <w:pPr>
        <w:ind w:left="4540"/>
        <w:spacing w:after="0"/>
        <w:rPr>
          <w:sz w:val="20"/>
          <w:szCs w:val="20"/>
          <w:color w:val="auto"/>
        </w:rPr>
      </w:pPr>
      <w:r>
        <w:rPr>
          <w:rFonts w:ascii="Arial" w:cs="Arial" w:eastAsia="Arial" w:hAnsi="Arial"/>
          <w:sz w:val="18"/>
          <w:szCs w:val="18"/>
          <w:b w:val="1"/>
          <w:bCs w:val="1"/>
          <w:u w:val="single" w:color="auto"/>
          <w:color w:val="auto"/>
        </w:rPr>
        <w:t>Subsidiaries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 d/b/a VistaStem, a California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Artemis Neuroscience, Inc., a Maryland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VistaStem Canada, Inc., a corporation organized under the laws of Ontario,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___________,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Representative of the Several Underwriters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VistaGen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15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undersigned is an owner of shares of common stock, par value $0.001 per share, of the Company (“</w:t>
      </w:r>
      <w:r>
        <w:rPr>
          <w:rFonts w:ascii="Arial" w:cs="Arial" w:eastAsia="Arial" w:hAnsi="Arial"/>
          <w:sz w:val="16"/>
          <w:szCs w:val="16"/>
          <w:b w:val="1"/>
          <w:bCs w:val="1"/>
          <w:color w:val="auto"/>
        </w:rPr>
        <w:t>Common Stock</w:t>
      </w:r>
      <w:r>
        <w:rPr>
          <w:rFonts w:ascii="Arial" w:cs="Arial" w:eastAsia="Arial" w:hAnsi="Arial"/>
          <w:sz w:val="16"/>
          <w:szCs w:val="16"/>
          <w:color w:val="auto"/>
        </w:rPr>
        <w:t>”) or of securities convertible into or exchangeable or exercisable for Common Stock. The Company proposes to conduct a public offering (the “</w:t>
      </w:r>
      <w:r>
        <w:rPr>
          <w:rFonts w:ascii="Arial" w:cs="Arial" w:eastAsia="Arial" w:hAnsi="Arial"/>
          <w:sz w:val="16"/>
          <w:szCs w:val="16"/>
          <w:b w:val="1"/>
          <w:bCs w:val="1"/>
          <w:color w:val="auto"/>
        </w:rPr>
        <w:t>Offering</w:t>
      </w:r>
      <w:r>
        <w:rPr>
          <w:rFonts w:ascii="Arial" w:cs="Arial" w:eastAsia="Arial" w:hAnsi="Arial"/>
          <w:sz w:val="16"/>
          <w:szCs w:val="16"/>
          <w:color w:val="auto"/>
        </w:rPr>
        <w:t>”) of units consisting of shares of its Common Stock and shares of its Series D Convertible Preferred Stock (the “</w:t>
      </w:r>
      <w:r>
        <w:rPr>
          <w:rFonts w:ascii="Arial" w:cs="Arial" w:eastAsia="Arial" w:hAnsi="Arial"/>
          <w:sz w:val="16"/>
          <w:szCs w:val="16"/>
          <w:b w:val="1"/>
          <w:bCs w:val="1"/>
          <w:color w:val="auto"/>
        </w:rPr>
        <w:t>Preferred Stock</w:t>
      </w:r>
      <w:r>
        <w:rPr>
          <w:rFonts w:ascii="Arial" w:cs="Arial" w:eastAsia="Arial" w:hAnsi="Arial"/>
          <w:sz w:val="16"/>
          <w:szCs w:val="16"/>
          <w:color w:val="auto"/>
        </w:rPr>
        <w:t>” and, together with the Common Stock, the “</w:t>
      </w:r>
      <w:r>
        <w:rPr>
          <w:rFonts w:ascii="Arial" w:cs="Arial" w:eastAsia="Arial" w:hAnsi="Arial"/>
          <w:sz w:val="16"/>
          <w:szCs w:val="16"/>
          <w:b w:val="1"/>
          <w:bCs w:val="1"/>
          <w:color w:val="auto"/>
        </w:rPr>
        <w:t>Shares</w:t>
      </w:r>
      <w:r>
        <w:rPr>
          <w:rFonts w:ascii="Arial" w:cs="Arial" w:eastAsia="Arial" w:hAnsi="Arial"/>
          <w:sz w:val="16"/>
          <w:szCs w:val="16"/>
          <w:color w:val="auto"/>
        </w:rPr>
        <w:t>”) for which Jefferies LLC (“</w:t>
      </w:r>
      <w:r>
        <w:rPr>
          <w:rFonts w:ascii="Arial" w:cs="Arial" w:eastAsia="Arial" w:hAnsi="Arial"/>
          <w:sz w:val="16"/>
          <w:szCs w:val="16"/>
          <w:b w:val="1"/>
          <w:bCs w:val="1"/>
          <w:color w:val="auto"/>
        </w:rPr>
        <w:t>Jefferies</w:t>
      </w:r>
      <w:r>
        <w:rPr>
          <w:rFonts w:ascii="Arial" w:cs="Arial" w:eastAsia="Arial" w:hAnsi="Arial"/>
          <w:sz w:val="16"/>
          <w:szCs w:val="16"/>
          <w:color w:val="auto"/>
        </w:rPr>
        <w:t>”) will act as the representative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Arial" w:cs="Arial" w:eastAsia="Arial" w:hAnsi="Arial"/>
          <w:sz w:val="16"/>
          <w:szCs w:val="16"/>
          <w:b w:val="1"/>
          <w:bCs w:val="1"/>
          <w:color w:val="auto"/>
        </w:rPr>
        <w:t>Underwriting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and other underwriting arrangements with the Company with respect to the Offering.</w:t>
      </w:r>
    </w:p>
    <w:p>
      <w:pPr>
        <w:spacing w:after="0" w:line="105"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Annex A sets forth definitions for capitalized terms used in this letter agreement that are not defined in the body of this agreement. Those definitions are a part of this agreement.</w:t>
      </w:r>
    </w:p>
    <w:p>
      <w:pPr>
        <w:spacing w:after="0" w:line="11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consideration of the foregoing, and for other good and valuable consideration, the receipt and sufficiency of which are hereby acknowledged, the undersigned hereby agrees that, during the Lock-up Period, the undersigned will not (and if the undersigned is a natural person, will cause any Family Member not to), without the prior written consent of Jefferies, which may withhold its consent in its sole discretion:</w:t>
      </w:r>
    </w:p>
    <w:p>
      <w:pPr>
        <w:spacing w:after="0" w:line="93" w:lineRule="exact"/>
        <w:rPr>
          <w:sz w:val="20"/>
          <w:szCs w:val="20"/>
          <w:color w:val="auto"/>
        </w:rPr>
      </w:pPr>
    </w:p>
    <w:p>
      <w:pPr>
        <w:ind w:left="980" w:hanging="324"/>
        <w:spacing w:after="0" w:line="268"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157"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126"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right="80"/>
        <w:spacing w:after="0" w:line="288" w:lineRule="auto"/>
        <w:rPr>
          <w:sz w:val="20"/>
          <w:szCs w:val="20"/>
          <w:color w:val="auto"/>
        </w:rPr>
      </w:pPr>
      <w:r>
        <w:rPr>
          <w:rFonts w:ascii="Arial" w:cs="Arial" w:eastAsia="Arial" w:hAnsi="Arial"/>
          <w:sz w:val="16"/>
          <w:szCs w:val="16"/>
          <w:color w:val="auto"/>
        </w:rPr>
        <w:t xml:space="preserve">Notwithstanding the foregoing, the undersigned may transfer the Shares: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(ii) to any trust for the direct or indirect benefit of the undersigned or a Family Member of the undersigned; (iii) if the undersigned is a corporation, partnership, limited liability company, trust or other business entity, (a) to another corporation, partnership, limited liability company, trust or other business entity that is a direct or indirect affiliate (as defined in Rule 405 promulgated under the Securities Act of 1933, as amended) of the undersigned or (b) in distributions of Shares or any security convertible into or exercisable for Shares to limited partners, limited liability company members or stockholders of the undersigned; (iv) if the undersigned is a trust, to the beneficiary of such trust; or (v) by testate succession or intestate succession;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the case of clauses (i)-(v), that (x) such transfer shall not involve a disposition for value, (y) any such transferee executes and delivers to the Representative a lock-up agreement in the form of this lock-up agreement and (z) no public disclosure nor any filing by any party under Section 16(a) of the Exchange Act, shall be required or shall be made voluntarily in connection with such transfer.</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the foregoing restrictions shall not apply to the establishment of any contract, instruction or plan (a “</w:t>
      </w:r>
      <w:r>
        <w:rPr>
          <w:rFonts w:ascii="Arial" w:cs="Arial" w:eastAsia="Arial" w:hAnsi="Arial"/>
          <w:sz w:val="18"/>
          <w:szCs w:val="18"/>
          <w:b w:val="1"/>
          <w:bCs w:val="1"/>
          <w:color w:val="auto"/>
        </w:rPr>
        <w:t>Plan</w:t>
      </w:r>
      <w:r>
        <w:rPr>
          <w:rFonts w:ascii="Arial" w:cs="Arial" w:eastAsia="Arial" w:hAnsi="Arial"/>
          <w:sz w:val="18"/>
          <w:szCs w:val="18"/>
          <w:color w:val="auto"/>
        </w:rPr>
        <w:t xml:space="preserve">”) that satisfies all of the requirements of Rule 10b5-1(c)(1)(i)(B)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that no sales of the undersigned’s Shares shall be made pursuant to such a Plan prior to the expiration of the Lock-up Period, and such a Plan may only be established if no public announcement of the establishment or existence thereof and no filing with the SEC or other regulatory authority in respect thereof or transactions thereunder or contemplated thereby, by the undersigned, the Company or any other person, shall be required, and no such announcement or filing is made voluntarily, by the undersigned, the Company or any other person, prior to the expiration of the Lock-up Period.</w:t>
      </w:r>
    </w:p>
    <w:p>
      <w:pPr>
        <w:spacing w:after="0" w:line="131"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73" w:lineRule="exact"/>
        <w:rPr>
          <w:sz w:val="20"/>
          <w:szCs w:val="20"/>
          <w:color w:val="auto"/>
        </w:rPr>
      </w:pPr>
    </w:p>
    <w:p>
      <w:pPr>
        <w:ind w:right="340"/>
        <w:spacing w:after="0" w:line="331" w:lineRule="auto"/>
        <w:rPr>
          <w:sz w:val="20"/>
          <w:szCs w:val="20"/>
          <w:color w:val="auto"/>
        </w:rPr>
      </w:pPr>
      <w:r>
        <w:rPr>
          <w:rFonts w:ascii="Arial" w:cs="Arial" w:eastAsia="Arial" w:hAnsi="Arial"/>
          <w:sz w:val="16"/>
          <w:szCs w:val="16"/>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7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18" w:lineRule="exact"/>
        <w:rPr>
          <w:sz w:val="20"/>
          <w:szCs w:val="20"/>
          <w:color w:val="auto"/>
        </w:rPr>
      </w:pPr>
    </w:p>
    <w:p>
      <w:pPr>
        <w:ind w:right="500"/>
        <w:spacing w:after="0" w:line="369" w:lineRule="auto"/>
        <w:rPr>
          <w:sz w:val="20"/>
          <w:szCs w:val="20"/>
          <w:color w:val="auto"/>
        </w:rPr>
      </w:pPr>
      <w:r>
        <w:rPr>
          <w:rFonts w:ascii="Arial" w:cs="Arial" w:eastAsia="Arial" w:hAnsi="Arial"/>
          <w:sz w:val="15"/>
          <w:szCs w:val="15"/>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Lock-up Agreement shall automatically terminate and be of no further force and effect if (i) Jefferies advises the Company, or the Company advises Jefferies, in writing, prior to the execution of the Underwriting Agreement, that they have determined not to proceed with the public offering of Shares, (ii) the Company files an application to withdraw the Registration Statement, (iii) the Underwriting Agreement is executed but is terminated (other than the provisions thereof that survive termination) prior to payment for and delivery of the Shares to be sold thereunder; or (iv) February 12, 2021 if the offering is not completed by such date.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color w:val="auto"/>
        </w:rPr>
        <w:t>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Person Signing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(Indicate capacity of person signing if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signing as custodian or trustee, or on behalf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 an entity)</w:t>
      </w:r>
    </w:p>
    <w:p>
      <w:pPr>
        <w:spacing w:after="0" w:line="200" w:lineRule="exact"/>
        <w:rPr>
          <w:sz w:val="20"/>
          <w:szCs w:val="20"/>
          <w:color w:val="auto"/>
        </w:rPr>
      </w:pPr>
    </w:p>
    <w:p>
      <w:pPr>
        <w:spacing w:after="0" w:line="38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8"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Certain Defined Terms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Lock-up Agreement to which this Annex A is attached and of which it is made a part:</w:t>
      </w:r>
    </w:p>
    <w:p>
      <w:pPr>
        <w:spacing w:after="0" w:line="152"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157"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8"/>
          <w:szCs w:val="18"/>
          <w:b w:val="1"/>
          <w:bCs w:val="1"/>
          <w:color w:val="auto"/>
        </w:rPr>
        <w:t>Immediate family member</w:t>
      </w:r>
      <w:r>
        <w:rPr>
          <w:rFonts w:ascii="Arial" w:cs="Arial" w:eastAsia="Arial" w:hAnsi="Arial"/>
          <w:sz w:val="18"/>
          <w:szCs w:val="18"/>
          <w:color w:val="auto"/>
        </w:rPr>
        <w:t>” as used above shall have the meaning set forth in Rule 16a-1(e) under the Exchange Act.</w:t>
      </w:r>
    </w:p>
    <w:p>
      <w:pPr>
        <w:spacing w:after="0" w:line="124" w:lineRule="exact"/>
        <w:rPr>
          <w:rFonts w:ascii="Arial" w:cs="Arial" w:eastAsia="Arial" w:hAnsi="Arial"/>
          <w:sz w:val="18"/>
          <w:szCs w:val="18"/>
          <w:color w:val="auto"/>
        </w:rPr>
      </w:pPr>
    </w:p>
    <w:p>
      <w:pPr>
        <w:jc w:val="both"/>
        <w:ind w:left="980" w:hanging="324"/>
        <w:spacing w:after="0" w:line="310"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Lock-up Period</w:t>
      </w:r>
      <w:r>
        <w:rPr>
          <w:rFonts w:ascii="Arial" w:cs="Arial" w:eastAsia="Arial" w:hAnsi="Arial"/>
          <w:sz w:val="16"/>
          <w:szCs w:val="16"/>
          <w:color w:val="auto"/>
        </w:rPr>
        <w:t>” shall mean the later of (i) 90 days from the date of the final prospectus supplement or (ii) the earlier of (x) the date on which the Company’s stockholders approve an increase in the authorized shares of Common Stock of the Company in an amount sufficient to permit the conversion of the Preferred Stock and (y) 120 days from the date of the final prospectus supplement.</w:t>
      </w:r>
    </w:p>
    <w:p>
      <w:pPr>
        <w:spacing w:after="0" w:line="151" w:lineRule="exact"/>
        <w:rPr>
          <w:rFonts w:ascii="Arial" w:cs="Arial" w:eastAsia="Arial" w:hAnsi="Arial"/>
          <w:sz w:val="16"/>
          <w:szCs w:val="16"/>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157" w:lineRule="exact"/>
        <w:rPr>
          <w:rFonts w:ascii="Arial" w:cs="Arial" w:eastAsia="Arial" w:hAnsi="Arial"/>
          <w:sz w:val="18"/>
          <w:szCs w:val="18"/>
          <w:color w:val="auto"/>
        </w:rPr>
      </w:pPr>
    </w:p>
    <w:p>
      <w:pPr>
        <w:ind w:left="980" w:hanging="324"/>
        <w:spacing w:after="0" w:line="339"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60" w:lineRule="exact"/>
        <w:rPr>
          <w:rFonts w:ascii="Arial" w:cs="Arial" w:eastAsia="Arial" w:hAnsi="Arial"/>
          <w:sz w:val="16"/>
          <w:szCs w:val="16"/>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16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sell, offer to sell, contract to sell or lend,</w:t>
      </w:r>
    </w:p>
    <w:p>
      <w:pPr>
        <w:spacing w:after="0" w:line="15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effect any short sale or establish or increase a Put Equivalent Position or liquidate or decrease any Call Equivalent Position</w:t>
      </w:r>
    </w:p>
    <w:p>
      <w:pPr>
        <w:spacing w:after="0" w:line="15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pledge, hypothecate or grant any security interest in, or</w:t>
      </w:r>
    </w:p>
    <w:p>
      <w:pPr>
        <w:spacing w:after="0" w:line="15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 any other way transfer or dispose of,</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each case whether effected directly or indirectly.</w:t>
      </w:r>
    </w:p>
    <w:p>
      <w:pPr>
        <w:spacing w:after="0" w:line="152" w:lineRule="exact"/>
        <w:rPr>
          <w:sz w:val="20"/>
          <w:szCs w:val="20"/>
          <w:color w:val="auto"/>
        </w:rPr>
      </w:pPr>
    </w:p>
    <w:p>
      <w:pPr>
        <w:ind w:left="980" w:hanging="324"/>
        <w:spacing w:after="0" w:line="339"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Swap</w:t>
      </w:r>
      <w:r>
        <w:rPr>
          <w:rFonts w:ascii="Arial" w:cs="Arial" w:eastAsia="Arial" w:hAnsi="Arial"/>
          <w:sz w:val="16"/>
          <w:szCs w:val="16"/>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not defined in this Annex A shall have the meanings given to them in the body of this lock-up agreement.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B</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Directors and Executive Officers</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Signing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-17780</wp:posOffset>
            </wp:positionV>
            <wp:extent cx="19761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7612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Ann M. Cunningham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Jerry B. Gin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S. Saxe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Ralph Snodgrass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J. Underdown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 Smith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Louis Monti</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THE RELATIVE RIGHTS AND PREFERENCES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 CONVERTIBLE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Shawn Singh, does hereby certify that:</w:t>
      </w:r>
    </w:p>
    <w:p>
      <w:pPr>
        <w:spacing w:after="0" w:line="252" w:lineRule="exact"/>
        <w:rPr>
          <w:sz w:val="20"/>
          <w:szCs w:val="20"/>
          <w:color w:val="auto"/>
        </w:rPr>
      </w:pPr>
    </w:p>
    <w:p>
      <w:pPr>
        <w:ind w:left="1660" w:hanging="356"/>
        <w:spacing w:after="0"/>
        <w:tabs>
          <w:tab w:leader="none" w:pos="1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 is the Chief Executive Officer of VistaGen Therapeutics, Inc., a Nevada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ind w:left="660" w:right="400" w:firstLine="644"/>
        <w:spacing w:after="0" w:line="319" w:lineRule="auto"/>
        <w:tabs>
          <w:tab w:leader="none" w:pos="1656"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 pursuant to Article V of its Restated and Amended Articles of Incorporation (the “</w:t>
      </w:r>
      <w:r>
        <w:rPr>
          <w:rFonts w:ascii="Arial" w:cs="Arial" w:eastAsia="Arial" w:hAnsi="Arial"/>
          <w:sz w:val="15"/>
          <w:szCs w:val="15"/>
          <w:b w:val="1"/>
          <w:bCs w:val="1"/>
          <w:i w:val="1"/>
          <w:iCs w:val="1"/>
          <w:color w:val="auto"/>
        </w:rPr>
        <w:t>Articles of Incorporation</w:t>
      </w:r>
      <w:r>
        <w:rPr>
          <w:rFonts w:ascii="Arial" w:cs="Arial" w:eastAsia="Arial" w:hAnsi="Arial"/>
          <w:sz w:val="15"/>
          <w:szCs w:val="15"/>
          <w:color w:val="auto"/>
        </w:rPr>
        <w:t>”) is authorized to issue 10,000,000 shares of preferred stock, par value $0.001 per share, of which 7,500,000 shares have been previously designated.</w:t>
      </w:r>
    </w:p>
    <w:p>
      <w:pPr>
        <w:ind w:left="660" w:right="760" w:firstLine="644"/>
        <w:spacing w:after="0" w:line="299" w:lineRule="auto"/>
        <w:tabs>
          <w:tab w:leader="none" w:pos="165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following resolution was duly adopted by the board of directors of the Company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or by a duly authorized committee thereof, in accordance with the provisions of Section 78.195 of the Nevada Revised Statutes.</w:t>
      </w:r>
    </w:p>
    <w:p>
      <w:pPr>
        <w:ind w:left="660" w:right="660" w:firstLine="644"/>
        <w:spacing w:after="0" w:line="268" w:lineRule="auto"/>
        <w:tabs>
          <w:tab w:leader="none" w:pos="16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Pursuant to the authority conferred upon the Board of Directors of the Company by the Articles of Incorporation, the following resolution creating a series of Series D Convertible Preferred Stock, was duly adopted on December 17, 2020:</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Articles of Incorporation provide for the Preferred Stock issuable from time to time in one or more series;</w:t>
      </w:r>
    </w:p>
    <w:p>
      <w:pPr>
        <w:spacing w:after="0" w:line="225"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is authorized to fix the dividend rights, dividend rate, voting rights, conversion rights, rights and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and liquidation preference of any wholly unissued series of Preferred Stock and the number of shares constituting any series and the designation thereof, or any of them; and</w:t>
      </w:r>
    </w:p>
    <w:p>
      <w:pPr>
        <w:spacing w:after="0" w:line="186"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the desire of the Board of Directors, pursuant to its authority as aforesaid, to fix the rights, preferences, restrictions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relating to a new series of the Preferred Stock, which consist of 2,000,000 shares of Preferred Stock, which the Company has the authority to issue, as follows.</w:t>
      </w:r>
    </w:p>
    <w:p>
      <w:pPr>
        <w:spacing w:after="0" w:line="186" w:lineRule="exact"/>
        <w:rPr>
          <w:sz w:val="20"/>
          <w:szCs w:val="20"/>
          <w:color w:val="auto"/>
        </w:rPr>
      </w:pPr>
    </w:p>
    <w:p>
      <w:pPr>
        <w:jc w:val="both"/>
        <w:ind w:right="100" w:firstLine="648"/>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Board of Directors does hereby provide for the issuance of a series of Preferred Stock for cash or exchange of other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or property and does hereby fix and determine the rights, preferences, restrictions and other matters relating to such series of Preferred Stock as follows; and</w:t>
      </w:r>
    </w:p>
    <w:p>
      <w:pPr>
        <w:spacing w:after="0" w:line="186"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pursuant to the authority expressly set forth in the Articles of Incorporation, the issuance of a series of Preferred Stock designated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Series D Convertible Preferred Stock, par value $0.001 per share, of the Company is hereby authorized and the designation, number of shares, powers, preferences, rights, qualifications limitations and restrictions thereof (in addition to any provisions set forth in the Articles of Incorporation that are applicable to the Preferred Stock of all classes and series) are hereby fixed, and the Certificate of Designation of Relative Rights and Preferences of the Series D Convertible Preferred Stock (this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 is hereby approved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ind w:left="1280" w:hanging="624"/>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Designation, Amount and Par Value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4"/>
        <w:spacing w:after="0" w:line="298" w:lineRule="auto"/>
        <w:tabs>
          <w:tab w:leader="none" w:pos="197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designation of such series of the Preferred Stock shall be the Series D Convertible Preferred Stock, par value $0.001 per share (the “</w:t>
      </w:r>
      <w:r>
        <w:rPr>
          <w:rFonts w:ascii="Arial" w:cs="Arial" w:eastAsia="Arial" w:hAnsi="Arial"/>
          <w:sz w:val="16"/>
          <w:szCs w:val="16"/>
          <w:b w:val="1"/>
          <w:bCs w:val="1"/>
          <w:i w:val="1"/>
          <w:iCs w:val="1"/>
          <w:color w:val="auto"/>
        </w:rPr>
        <w:t>Series D Preferred</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The maximum number of shares of Series D Preferred shall be 2,000,000 shares. The Series D Preferred shall be issued in book-entry form, or if requested by any holder, such holder’s shares may be issued in certificated form. To the extent that any shares of Series D Preferred Stock are issued in book-entry form, references herein to “certificates” shall refer to the book-entry notation relating to such shares.</w:t>
      </w:r>
    </w:p>
    <w:p>
      <w:pPr>
        <w:spacing w:after="0" w:line="166" w:lineRule="exact"/>
        <w:rPr>
          <w:rFonts w:ascii="Arial" w:cs="Arial" w:eastAsia="Arial" w:hAnsi="Arial"/>
          <w:sz w:val="16"/>
          <w:szCs w:val="16"/>
          <w:color w:val="auto"/>
        </w:rPr>
      </w:pPr>
    </w:p>
    <w:p>
      <w:pPr>
        <w:ind w:right="20" w:firstLine="1304"/>
        <w:spacing w:after="0" w:line="288" w:lineRule="auto"/>
        <w:tabs>
          <w:tab w:leader="none" w:pos="1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 shall register shares of the Series D Preferred upon records to be maintained by the Company for that purpose (the “</w:t>
      </w:r>
      <w:r>
        <w:rPr>
          <w:rFonts w:ascii="Arial" w:cs="Arial" w:eastAsia="Arial" w:hAnsi="Arial"/>
          <w:sz w:val="16"/>
          <w:szCs w:val="16"/>
          <w:b w:val="1"/>
          <w:bCs w:val="1"/>
          <w:i w:val="1"/>
          <w:iCs w:val="1"/>
          <w:color w:val="auto"/>
        </w:rPr>
        <w:t>Series D Preferred Stock Register</w:t>
      </w:r>
      <w:r>
        <w:rPr>
          <w:rFonts w:ascii="Arial" w:cs="Arial" w:eastAsia="Arial" w:hAnsi="Arial"/>
          <w:sz w:val="16"/>
          <w:szCs w:val="16"/>
          <w:color w:val="auto"/>
        </w:rPr>
        <w:t>”), in the name of the holders thereof from time to time. The Company may deem and treat the registered holder of shares of Series D Preferred as the absolute owner thereof for the purpose of any conversion thereof and for all other purposes. The Company shall register the transfer of any shares of Series D Preferred in the Series D Preferred Stock Register, upon surrender of the certificates evidencing such shares to be transferred, duly endorsed by the holder thereof, to the Company at its address specified herein. Upon any such registration or transfer, a new certificate evidencing the shares of Series D Preferred so transferred shall be issued to the transferee and a new certificate evidencing the remaining portion of the shares not so transferred, if any, shall be issued to the transferring holder, in each case, within three business days. The provisions of this Certificate of Designation are intended to be for the benefit of all holders from time to time and shall be enforceable by any such holder.</w:t>
      </w:r>
    </w:p>
    <w:p>
      <w:pPr>
        <w:spacing w:after="0" w:line="204" w:lineRule="exact"/>
        <w:rPr>
          <w:rFonts w:ascii="Arial" w:cs="Arial" w:eastAsia="Arial" w:hAnsi="Arial"/>
          <w:sz w:val="16"/>
          <w:szCs w:val="16"/>
          <w:color w:val="auto"/>
        </w:rPr>
      </w:pPr>
    </w:p>
    <w:p>
      <w:pPr>
        <w:ind w:left="1280" w:hanging="624"/>
        <w:spacing w:after="0"/>
        <w:tabs>
          <w:tab w:leader="none" w:pos="128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Whenever the Board of Directors declares a dividend on the common stock of the Company, par value $0.001 per share (the</w:t>
      </w:r>
    </w:p>
    <w:p>
      <w:pPr>
        <w:spacing w:after="0" w:line="3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each holder of record of a share of Series D Preferred, or any fraction of a share of Series D Preferred, on the date set by the Board of Directors to determine the owners of the Common Stock of record entitled to receive such dividend (the “</w:t>
      </w: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shall be entitled to receive out of any assets at the time legally available therefore, an amount equal to such dividend declared on one share of Common Stock multiplied by the number of shares of Common Stock into which such share, or such fraction of a share, of Series D Preferred could be converted on the Record Date.</w:t>
      </w:r>
    </w:p>
    <w:p>
      <w:pPr>
        <w:spacing w:after="0" w:line="169" w:lineRule="exact"/>
        <w:rPr>
          <w:sz w:val="20"/>
          <w:szCs w:val="20"/>
          <w:color w:val="auto"/>
        </w:rPr>
      </w:pPr>
    </w:p>
    <w:p>
      <w:pPr>
        <w:ind w:left="1280" w:hanging="62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100" w:firstLine="1304"/>
        <w:spacing w:after="0" w:line="259" w:lineRule="auto"/>
        <w:tabs>
          <w:tab w:leader="none" w:pos="1973"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Class Voting Rights</w:t>
      </w:r>
      <w:r>
        <w:rPr>
          <w:rFonts w:ascii="Arial" w:cs="Arial" w:eastAsia="Arial" w:hAnsi="Arial"/>
          <w:sz w:val="18"/>
          <w:szCs w:val="18"/>
          <w:color w:val="auto"/>
        </w:rPr>
        <w:t>. So long as any shares of the Series D Preferred remain outstanding, the Company shall not, without the affirmative vote or consent of the holders of majority of the shares of the Series D Preferred then-outstanding, given in person or by proxy, either in writing or at a meeting, in which the holders of the Series D Preferred vote separately as a class:</w:t>
      </w:r>
    </w:p>
    <w:p>
      <w:pPr>
        <w:spacing w:after="0" w:line="193" w:lineRule="exact"/>
        <w:rPr>
          <w:rFonts w:ascii="Arial" w:cs="Arial" w:eastAsia="Arial" w:hAnsi="Arial"/>
          <w:sz w:val="18"/>
          <w:szCs w:val="18"/>
          <w:color w:val="auto"/>
        </w:rPr>
      </w:pPr>
    </w:p>
    <w:p>
      <w:pPr>
        <w:jc w:val="both"/>
        <w:ind w:firstLine="1952"/>
        <w:spacing w:after="0" w:line="259" w:lineRule="auto"/>
        <w:tabs>
          <w:tab w:leader="none" w:pos="2592" w:val="left"/>
        </w:tabs>
        <w:numPr>
          <w:ilvl w:val="2"/>
          <w:numId w:val="36"/>
        </w:numPr>
        <w:rPr>
          <w:rFonts w:ascii="Arial" w:cs="Arial" w:eastAsia="Arial" w:hAnsi="Arial"/>
          <w:sz w:val="18"/>
          <w:szCs w:val="18"/>
          <w:color w:val="auto"/>
        </w:rPr>
      </w:pPr>
      <w:r>
        <w:rPr>
          <w:rFonts w:ascii="Arial" w:cs="Arial" w:eastAsia="Arial" w:hAnsi="Arial"/>
          <w:sz w:val="18"/>
          <w:szCs w:val="18"/>
          <w:color w:val="auto"/>
        </w:rPr>
        <w:t>amend, alter, modify or repeal (whether by merger, consolidation or otherwise) this Certificate of Designation, the Articles of Incorporation or the bylaws in any manner that adversely affects the rights, preferences, privileges or the restrictions provided for the benefit of, the Series D Preferred;</w:t>
      </w:r>
    </w:p>
    <w:p>
      <w:pPr>
        <w:spacing w:after="0" w:line="193" w:lineRule="exact"/>
        <w:rPr>
          <w:rFonts w:ascii="Arial" w:cs="Arial" w:eastAsia="Arial" w:hAnsi="Arial"/>
          <w:sz w:val="18"/>
          <w:szCs w:val="18"/>
          <w:color w:val="auto"/>
        </w:rPr>
      </w:pPr>
    </w:p>
    <w:p>
      <w:pPr>
        <w:ind w:left="2640" w:hanging="688"/>
        <w:spacing w:after="0"/>
        <w:tabs>
          <w:tab w:leader="none" w:pos="2640" w:val="left"/>
        </w:tabs>
        <w:numPr>
          <w:ilvl w:val="2"/>
          <w:numId w:val="36"/>
        </w:numPr>
        <w:rPr>
          <w:rFonts w:ascii="Arial" w:cs="Arial" w:eastAsia="Arial" w:hAnsi="Arial"/>
          <w:sz w:val="16"/>
          <w:szCs w:val="16"/>
          <w:color w:val="auto"/>
        </w:rPr>
      </w:pPr>
      <w:r>
        <w:rPr>
          <w:rFonts w:ascii="Arial" w:cs="Arial" w:eastAsia="Arial" w:hAnsi="Arial"/>
          <w:sz w:val="16"/>
          <w:szCs w:val="16"/>
          <w:color w:val="auto"/>
        </w:rPr>
        <w:t>issue further shares of Series D Preferred or increase or decrease (other than by conversion) the number of authorized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 of Series D Preferred; or</w:t>
      </w:r>
    </w:p>
    <w:p>
      <w:pPr>
        <w:spacing w:after="0" w:line="218" w:lineRule="exact"/>
        <w:rPr>
          <w:rFonts w:ascii="Arial" w:cs="Arial" w:eastAsia="Arial" w:hAnsi="Arial"/>
          <w:sz w:val="16"/>
          <w:szCs w:val="16"/>
          <w:color w:val="auto"/>
        </w:rPr>
      </w:pPr>
    </w:p>
    <w:p>
      <w:pPr>
        <w:ind w:right="200" w:firstLine="1952"/>
        <w:spacing w:after="0" w:line="268" w:lineRule="auto"/>
        <w:tabs>
          <w:tab w:leader="none" w:pos="2690" w:val="left"/>
        </w:tabs>
        <w:numPr>
          <w:ilvl w:val="2"/>
          <w:numId w:val="36"/>
        </w:numPr>
        <w:rPr>
          <w:rFonts w:ascii="Arial" w:cs="Arial" w:eastAsia="Arial" w:hAnsi="Arial"/>
          <w:sz w:val="18"/>
          <w:szCs w:val="18"/>
          <w:color w:val="auto"/>
        </w:rPr>
      </w:pPr>
      <w:r>
        <w:rPr>
          <w:rFonts w:ascii="Arial" w:cs="Arial" w:eastAsia="Arial" w:hAnsi="Arial"/>
          <w:sz w:val="18"/>
          <w:szCs w:val="18"/>
          <w:color w:val="auto"/>
        </w:rPr>
        <w:t>enter into any agreement to do any of the foregoing that is not expressly made conditional on obtaining the affirmative vote or written consent of the majority of then-outstanding Series D Preferred.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46" w:name="page47"/>
    <w:bookmarkEnd w:id="46"/>
    <w:p>
      <w:pPr>
        <w:ind w:left="-100" w:right="620" w:firstLine="1304"/>
        <w:spacing w:after="0" w:line="268" w:lineRule="auto"/>
        <w:tabs>
          <w:tab w:leader="none" w:pos="1883"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General Voting Rights</w:t>
      </w:r>
      <w:r>
        <w:rPr>
          <w:rFonts w:ascii="Arial" w:cs="Arial" w:eastAsia="Arial" w:hAnsi="Arial"/>
          <w:sz w:val="18"/>
          <w:szCs w:val="18"/>
          <w:color w:val="auto"/>
        </w:rPr>
        <w:t>. In addition to the class voting rights set forth in Section 3(a), the Series D Preferred shall have the following general voting rights.</w:t>
      </w:r>
    </w:p>
    <w:p>
      <w:pPr>
        <w:spacing w:after="0" w:line="185" w:lineRule="exact"/>
        <w:rPr>
          <w:rFonts w:ascii="Arial" w:cs="Arial" w:eastAsia="Arial" w:hAnsi="Arial"/>
          <w:sz w:val="18"/>
          <w:szCs w:val="18"/>
          <w:color w:val="auto"/>
        </w:rPr>
      </w:pPr>
    </w:p>
    <w:p>
      <w:pPr>
        <w:ind w:left="-100" w:right="60" w:firstLine="1952"/>
        <w:spacing w:after="0" w:line="268" w:lineRule="auto"/>
        <w:tabs>
          <w:tab w:leader="none" w:pos="2492" w:val="left"/>
        </w:tabs>
        <w:numPr>
          <w:ilvl w:val="2"/>
          <w:numId w:val="37"/>
        </w:numPr>
        <w:rPr>
          <w:rFonts w:ascii="Arial" w:cs="Arial" w:eastAsia="Arial" w:hAnsi="Arial"/>
          <w:sz w:val="18"/>
          <w:szCs w:val="18"/>
          <w:color w:val="auto"/>
        </w:rPr>
      </w:pPr>
      <w:r>
        <w:rPr>
          <w:rFonts w:ascii="Arial" w:cs="Arial" w:eastAsia="Arial" w:hAnsi="Arial"/>
          <w:sz w:val="18"/>
          <w:szCs w:val="18"/>
          <w:color w:val="auto"/>
        </w:rPr>
        <w:t>Prior to Approval Date (as defined in Section 5(a)), the Series D Preferred will be entitled to one vote per share of Series D Preferred and vote as a single class with the shares of our Common Stock.</w:t>
      </w:r>
    </w:p>
    <w:p>
      <w:pPr>
        <w:spacing w:after="0" w:line="185" w:lineRule="exact"/>
        <w:rPr>
          <w:rFonts w:ascii="Arial" w:cs="Arial" w:eastAsia="Arial" w:hAnsi="Arial"/>
          <w:sz w:val="18"/>
          <w:szCs w:val="18"/>
          <w:color w:val="auto"/>
        </w:rPr>
      </w:pPr>
    </w:p>
    <w:p>
      <w:pPr>
        <w:ind w:left="-100" w:right="460" w:firstLine="1952"/>
        <w:spacing w:after="0" w:line="268" w:lineRule="auto"/>
        <w:tabs>
          <w:tab w:leader="none" w:pos="2541" w:val="left"/>
        </w:tabs>
        <w:numPr>
          <w:ilvl w:val="2"/>
          <w:numId w:val="37"/>
        </w:numPr>
        <w:rPr>
          <w:rFonts w:ascii="Arial" w:cs="Arial" w:eastAsia="Arial" w:hAnsi="Arial"/>
          <w:sz w:val="18"/>
          <w:szCs w:val="18"/>
          <w:color w:val="auto"/>
        </w:rPr>
      </w:pPr>
      <w:r>
        <w:rPr>
          <w:rFonts w:ascii="Arial" w:cs="Arial" w:eastAsia="Arial" w:hAnsi="Arial"/>
          <w:sz w:val="18"/>
          <w:szCs w:val="18"/>
          <w:color w:val="auto"/>
        </w:rPr>
        <w:t>On and after the Approval Date, the Series D Preferred shall have no voting rights except to the extent provided in Section 3(a), in the Articles of Incorporation or as otherwise required by applicable law.</w:t>
      </w:r>
    </w:p>
    <w:p>
      <w:pPr>
        <w:spacing w:after="0" w:line="212" w:lineRule="exact"/>
        <w:rPr>
          <w:rFonts w:ascii="Arial" w:cs="Arial" w:eastAsia="Arial" w:hAnsi="Arial"/>
          <w:sz w:val="18"/>
          <w:szCs w:val="18"/>
          <w:color w:val="auto"/>
        </w:rPr>
      </w:pPr>
    </w:p>
    <w:p>
      <w:pPr>
        <w:ind w:left="1180" w:hanging="62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Rank; Liquidation Preference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0" w:firstLine="1304"/>
        <w:spacing w:after="0" w:line="288" w:lineRule="auto"/>
        <w:tabs>
          <w:tab w:leader="none" w:pos="187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Series D Preferred shall rank (i) senior all of the common stock, par value $0.001 per share, of the Company (the “</w:t>
      </w:r>
      <w:r>
        <w:rPr>
          <w:rFonts w:ascii="Arial" w:cs="Arial" w:eastAsia="Arial" w:hAnsi="Arial"/>
          <w:sz w:val="16"/>
          <w:szCs w:val="16"/>
          <w:b w:val="1"/>
          <w:bCs w:val="1"/>
          <w:i w:val="1"/>
          <w:i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(ii) senior to all other classes and series of equity securities of the Company that by their terms do not rank senior to the Series D Preferred (“</w:t>
      </w:r>
      <w:r>
        <w:rPr>
          <w:rFonts w:ascii="Arial" w:cs="Arial" w:eastAsia="Arial" w:hAnsi="Arial"/>
          <w:sz w:val="16"/>
          <w:szCs w:val="16"/>
          <w:b w:val="1"/>
          <w:bCs w:val="1"/>
          <w:i w:val="1"/>
          <w:iCs w:val="1"/>
          <w:color w:val="auto"/>
        </w:rPr>
        <w:t>Junior Stock</w:t>
      </w:r>
      <w:r>
        <w:rPr>
          <w:rFonts w:ascii="Arial" w:cs="Arial" w:eastAsia="Arial" w:hAnsi="Arial"/>
          <w:sz w:val="16"/>
          <w:szCs w:val="16"/>
          <w:color w:val="auto"/>
        </w:rPr>
        <w:t>”); (iii) on parity with all shares of the Company’s Series A Convertible Preferred Stock, Series B Convertible Preferred Stock and Series C Convertible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(iv) on parity with any class or series of capital stock of the Company hereafter created specifically ranking by its terms on parity with the Series D Preferred (together with the Corporation’s Series A Convertible Preferred Stock, Series B Convertible Preferred Stock and Series C Convertible Preferred Stock, the “</w:t>
      </w:r>
      <w:r>
        <w:rPr>
          <w:rFonts w:ascii="Arial" w:cs="Arial" w:eastAsia="Arial" w:hAnsi="Arial"/>
          <w:sz w:val="16"/>
          <w:szCs w:val="16"/>
          <w:b w:val="1"/>
          <w:bCs w:val="1"/>
          <w:i w:val="1"/>
          <w:iCs w:val="1"/>
          <w:color w:val="auto"/>
        </w:rPr>
        <w:t>Parity Stock</w:t>
      </w:r>
      <w:r>
        <w:rPr>
          <w:rFonts w:ascii="Arial" w:cs="Arial" w:eastAsia="Arial" w:hAnsi="Arial"/>
          <w:sz w:val="16"/>
          <w:szCs w:val="16"/>
          <w:color w:val="auto"/>
        </w:rPr>
        <w:t>”); and (v) junior to any class or series of capital stock of the Company hereafter created specifically ranking by its terms senior to any Series D Preferred Stock (“</w:t>
      </w:r>
      <w:r>
        <w:rPr>
          <w:rFonts w:ascii="Arial" w:cs="Arial" w:eastAsia="Arial" w:hAnsi="Arial"/>
          <w:sz w:val="16"/>
          <w:szCs w:val="16"/>
          <w:b w:val="1"/>
          <w:bCs w:val="1"/>
          <w:i w:val="1"/>
          <w:iCs w:val="1"/>
          <w:color w:val="auto"/>
        </w:rPr>
        <w:t>Senior Stock</w:t>
      </w:r>
      <w:r>
        <w:rPr>
          <w:rFonts w:ascii="Arial" w:cs="Arial" w:eastAsia="Arial" w:hAnsi="Arial"/>
          <w:sz w:val="16"/>
          <w:szCs w:val="16"/>
          <w:color w:val="auto"/>
        </w:rPr>
        <w:t>”), in each case, as to distributions of assets upon liquidation, dissolution or winding up of the Company, whether voluntarily or involuntarily and/or as to the right to receive dividends.</w:t>
      </w:r>
    </w:p>
    <w:p>
      <w:pPr>
        <w:spacing w:after="0" w:line="204" w:lineRule="exact"/>
        <w:rPr>
          <w:rFonts w:ascii="Arial" w:cs="Arial" w:eastAsia="Arial" w:hAnsi="Arial"/>
          <w:sz w:val="16"/>
          <w:szCs w:val="16"/>
          <w:color w:val="auto"/>
        </w:rPr>
      </w:pPr>
    </w:p>
    <w:p>
      <w:pPr>
        <w:ind w:left="-100" w:right="20" w:firstLine="1304"/>
        <w:spacing w:after="0" w:line="289" w:lineRule="auto"/>
        <w:tabs>
          <w:tab w:leader="none" w:pos="1995" w:val="left"/>
        </w:tabs>
        <w:numPr>
          <w:ilvl w:val="1"/>
          <w:numId w:val="38"/>
        </w:numPr>
        <w:rPr>
          <w:rFonts w:ascii="Arial" w:cs="Arial" w:eastAsia="Arial" w:hAnsi="Arial"/>
          <w:sz w:val="16"/>
          <w:szCs w:val="16"/>
          <w:color w:val="auto"/>
        </w:rPr>
      </w:pPr>
      <w:r>
        <w:rPr>
          <w:rFonts w:ascii="Arial" w:cs="Arial" w:eastAsia="Arial" w:hAnsi="Arial"/>
          <w:sz w:val="16"/>
          <w:szCs w:val="16"/>
          <w:color w:val="auto"/>
        </w:rPr>
        <w:t>Prior to the Approval Date, in the event of the liquidation, dissolution or winding up of the affairs of the Company, whether voluntary or involuntary, after payment or provision for payment of the debts and other liabilities of the Company, and subject to the prior and superior rights of any Senior Stock, each holder of shares of Series D Preferred is entitled to receive, in preference to any distributions of any of the assets or surplus funds of the Company to the holders of the Common Stock and any of our securities that are Junior Stock and pari passu with any distribution to the holders of any Parity Stock, an amount equal to $0.001 per share of Series D Preferred, plus an additional amount equal to any dividends declared but unpaid on such shares, before any payments shall be made or any assets distributed to holders of the Common Stock or any of our securities that Junior Stock. If, upon any such liquidation, dissolution or winding up of the Company, the assets of the Company shall be insufficient to pay the holders of shares of the Series D Preferred Stock the amount required under the preceding sentence, then all remaining assets of the Company shall be distributed ratably to holders of the shares of the Series D Preferred Stock and any Parity Stock. After such preferential payment, each holder of shares of Series D Preferred shall be entitled to participate pari passu with the holders of the Common Stock (on an as-converted basis, without regard to the limitations set forth in Section 7) and any Parity Stock, in the remaining distribution of the net assets of the Company available for distribution. On or after the Approval Date, the Series D Preferred shall have no liquidation preference.</w:t>
      </w:r>
    </w:p>
    <w:p>
      <w:pPr>
        <w:spacing w:after="0" w:line="176" w:lineRule="exact"/>
        <w:rPr>
          <w:rFonts w:ascii="Arial" w:cs="Arial" w:eastAsia="Arial" w:hAnsi="Arial"/>
          <w:sz w:val="16"/>
          <w:szCs w:val="16"/>
          <w:color w:val="auto"/>
        </w:rPr>
      </w:pPr>
    </w:p>
    <w:p>
      <w:pPr>
        <w:ind w:left="-100" w:right="20" w:firstLine="1304"/>
        <w:spacing w:after="0" w:line="256" w:lineRule="auto"/>
        <w:tabs>
          <w:tab w:leader="none" w:pos="187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Written notice of any voluntary or involuntary liquidation, dissolution or winding up of the affairs of the Company, stating a payment date and the place where the distributable amounts shall be payable, shall be given by mail, postage prepaid, no less than forty-five (45) days prior to the payment date stated therein, to the holders of record of the Series D Preferred at their respective addresses as the same shall appear on the books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563" w:right="439" w:bottom="1440" w:gutter="0" w:footer="0" w:header="0"/>
        </w:sectPr>
      </w:pPr>
    </w:p>
    <w:bookmarkStart w:id="47" w:name="page48"/>
    <w:bookmarkEnd w:id="47"/>
    <w:p>
      <w:pPr>
        <w:ind w:left="1240" w:hanging="624"/>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0" w:right="20" w:firstLine="1304"/>
        <w:spacing w:after="0" w:line="287" w:lineRule="auto"/>
        <w:tabs>
          <w:tab w:leader="none" w:pos="1933"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Right to Convert</w:t>
      </w:r>
      <w:r>
        <w:rPr>
          <w:rFonts w:ascii="Arial" w:cs="Arial" w:eastAsia="Arial" w:hAnsi="Arial"/>
          <w:sz w:val="16"/>
          <w:szCs w:val="16"/>
          <w:color w:val="auto"/>
        </w:rPr>
        <w:t>. At any time on or after the issuance date of the Series D Preferred (the “</w:t>
      </w:r>
      <w:r>
        <w:rPr>
          <w:rFonts w:ascii="Arial" w:cs="Arial" w:eastAsia="Arial" w:hAnsi="Arial"/>
          <w:sz w:val="16"/>
          <w:szCs w:val="16"/>
          <w:b w:val="1"/>
          <w:bCs w:val="1"/>
          <w:i w:val="1"/>
          <w:iCs w:val="1"/>
          <w:color w:val="auto"/>
        </w:rPr>
        <w:t>Issuance Date</w:t>
      </w:r>
      <w:r>
        <w:rPr>
          <w:rFonts w:ascii="Arial" w:cs="Arial" w:eastAsia="Arial" w:hAnsi="Arial"/>
          <w:sz w:val="16"/>
          <w:szCs w:val="16"/>
          <w:color w:val="auto"/>
        </w:rPr>
        <w:t>”), the holder of any such shares of Series D Preferred may, at such holder’s option, subject to the limitations set forth in Section 7, elect to convert (a “</w:t>
      </w:r>
      <w:r>
        <w:rPr>
          <w:rFonts w:ascii="Arial" w:cs="Arial" w:eastAsia="Arial" w:hAnsi="Arial"/>
          <w:sz w:val="16"/>
          <w:szCs w:val="16"/>
          <w:b w:val="1"/>
          <w:bCs w:val="1"/>
          <w:i w:val="1"/>
          <w:iCs w:val="1"/>
          <w:color w:val="auto"/>
        </w:rPr>
        <w:t>Voluntary Conversion</w:t>
      </w:r>
      <w:r>
        <w:rPr>
          <w:rFonts w:ascii="Arial" w:cs="Arial" w:eastAsia="Arial" w:hAnsi="Arial"/>
          <w:sz w:val="16"/>
          <w:szCs w:val="16"/>
          <w:color w:val="auto"/>
        </w:rPr>
        <w:t>”) all or any portion of such holder’s shares of Series D Preferred into a number of fully paid and nonassessable shares of Common Stock at a conversion rate of twenty-three (23) shares of Common Stock for each whole share of Series D Preferred (subject to adjustments set forth in Section 7(e), the “</w:t>
      </w:r>
      <w:r>
        <w:rPr>
          <w:rFonts w:ascii="Arial" w:cs="Arial" w:eastAsia="Arial" w:hAnsi="Arial"/>
          <w:sz w:val="16"/>
          <w:szCs w:val="16"/>
          <w:b w:val="1"/>
          <w:bCs w:val="1"/>
          <w:i w:val="1"/>
          <w:iCs w:val="1"/>
          <w:color w:val="auto"/>
        </w:rPr>
        <w:t>Conversion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Rate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shares of Series D Preferred shall be convertible into shares of Common Stock prior to the date on which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approve an amendment to the Company’s Articles of Incorporation to authorize the issuance of additional shares of Common Stock sufficient to satisfy the conversion in full of each share of Series D Preferred authorized by this Certificate of Designation into shares of Common Stock at the Conversion Rate and such amendment to the Articles of Incorporation becomes effective (the “</w:t>
      </w:r>
      <w:r>
        <w:rPr>
          <w:rFonts w:ascii="Arial" w:cs="Arial" w:eastAsia="Arial" w:hAnsi="Arial"/>
          <w:sz w:val="16"/>
          <w:szCs w:val="16"/>
          <w:b w:val="1"/>
          <w:bCs w:val="1"/>
          <w:i w:val="1"/>
          <w:iCs w:val="1"/>
          <w:color w:val="auto"/>
        </w:rPr>
        <w:t>Approval Date</w:t>
      </w:r>
      <w:r>
        <w:rPr>
          <w:rFonts w:ascii="Arial" w:cs="Arial" w:eastAsia="Arial" w:hAnsi="Arial"/>
          <w:sz w:val="16"/>
          <w:szCs w:val="16"/>
          <w:color w:val="auto"/>
        </w:rPr>
        <w:t>”). The Company shall keep written records of the conversion of the shares of Series D Preferred converted by each holder. A holder shall be required to deliver the original certificates representing the shares of Series D Preferred upon any conversion of the Series D Preferred as provided in Section 5(b).</w:t>
      </w:r>
    </w:p>
    <w:p>
      <w:pPr>
        <w:spacing w:after="0" w:line="202" w:lineRule="exact"/>
        <w:rPr>
          <w:rFonts w:ascii="Arial" w:cs="Arial" w:eastAsia="Arial" w:hAnsi="Arial"/>
          <w:sz w:val="16"/>
          <w:szCs w:val="16"/>
          <w:color w:val="auto"/>
        </w:rPr>
      </w:pPr>
    </w:p>
    <w:p>
      <w:pPr>
        <w:ind w:left="1960" w:hanging="696"/>
        <w:spacing w:after="0"/>
        <w:tabs>
          <w:tab w:leader="none" w:pos="196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Mechanics of Voluntary Conversion</w:t>
      </w:r>
      <w:r>
        <w:rPr>
          <w:rFonts w:ascii="Arial" w:cs="Arial" w:eastAsia="Arial" w:hAnsi="Arial"/>
          <w:sz w:val="16"/>
          <w:szCs w:val="16"/>
          <w:color w:val="auto"/>
        </w:rPr>
        <w:t>. The Voluntary Conversion of Series D Preferred shall be conducted in the following manner:</w:t>
      </w:r>
    </w:p>
    <w:p>
      <w:pPr>
        <w:spacing w:after="0" w:line="275" w:lineRule="exact"/>
        <w:rPr>
          <w:rFonts w:ascii="Arial" w:cs="Arial" w:eastAsia="Arial" w:hAnsi="Arial"/>
          <w:sz w:val="16"/>
          <w:szCs w:val="16"/>
          <w:color w:val="auto"/>
        </w:rPr>
      </w:pPr>
    </w:p>
    <w:p>
      <w:pPr>
        <w:ind w:left="-40" w:right="40" w:firstLine="1952"/>
        <w:spacing w:after="0" w:line="290" w:lineRule="auto"/>
        <w:tabs>
          <w:tab w:leader="none" w:pos="2552"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Holder’s Delivery Requirements</w:t>
      </w:r>
      <w:r>
        <w:rPr>
          <w:rFonts w:ascii="Arial" w:cs="Arial" w:eastAsia="Arial" w:hAnsi="Arial"/>
          <w:sz w:val="16"/>
          <w:szCs w:val="16"/>
          <w:color w:val="auto"/>
        </w:rPr>
        <w:t>. To convert Series D Preferred into shares of Common Stock on any date (a “</w:t>
      </w:r>
      <w:r>
        <w:rPr>
          <w:rFonts w:ascii="Arial" w:cs="Arial" w:eastAsia="Arial" w:hAnsi="Arial"/>
          <w:sz w:val="16"/>
          <w:szCs w:val="16"/>
          <w:b w:val="1"/>
          <w:bCs w:val="1"/>
          <w:i w:val="1"/>
          <w:iCs w:val="1"/>
          <w:color w:val="auto"/>
        </w:rPr>
        <w:t>Voluntary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Conversion Date</w:t>
      </w:r>
      <w:r>
        <w:rPr>
          <w:rFonts w:ascii="Arial" w:cs="Arial" w:eastAsia="Arial" w:hAnsi="Arial"/>
          <w:sz w:val="16"/>
          <w:szCs w:val="16"/>
          <w:color w:val="auto"/>
        </w:rPr>
        <w:t>”), the holder thereof shall (A) transmit by electronic mail, facsimile, or otherwise deliver, for receipt on or prior to 5:00 p.m., New York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 such date, a copy of a fully executed notice of conversion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Conversion Notice</w:t>
      </w:r>
      <w:r>
        <w:rPr>
          <w:rFonts w:ascii="Arial" w:cs="Arial" w:eastAsia="Arial" w:hAnsi="Arial"/>
          <w:sz w:val="16"/>
          <w:szCs w:val="16"/>
          <w:color w:val="auto"/>
        </w:rPr>
        <w:t>”)o the Company, and (B) with respect to the conversion of shares of Series D Preferred held by any holder, such holder shall surrender to a common carrier for delivery to the Company as soon as practicable following such Voluntary Conversion Date, but in no event later than five (5) business days after such date, the original certificates representing the shares of Series D Preferred being converted (or an indemnification undertaking with respect to such shares in the case of their loss, theft or destruction) (the “</w:t>
      </w:r>
      <w:r>
        <w:rPr>
          <w:rFonts w:ascii="Arial" w:cs="Arial" w:eastAsia="Arial" w:hAnsi="Arial"/>
          <w:sz w:val="16"/>
          <w:szCs w:val="16"/>
          <w:b w:val="1"/>
          <w:bCs w:val="1"/>
          <w:i w:val="1"/>
          <w:iCs w:val="1"/>
          <w:color w:val="auto"/>
        </w:rPr>
        <w:t>Preferred Stock Certificates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40" w:right="20" w:firstLine="1952"/>
        <w:spacing w:after="0" w:line="291" w:lineRule="auto"/>
        <w:tabs>
          <w:tab w:leader="none" w:pos="2601"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Company’s Response</w:t>
      </w:r>
      <w:r>
        <w:rPr>
          <w:rFonts w:ascii="Arial" w:cs="Arial" w:eastAsia="Arial" w:hAnsi="Arial"/>
          <w:sz w:val="16"/>
          <w:szCs w:val="16"/>
          <w:color w:val="auto"/>
        </w:rPr>
        <w:t>. Upon receipt by the Company of a copy of a Conversion Notice, the Company shall immediately send, via electronic mail or facsimile, a confirmation of receipt of such Conversion Notice to such holder and the Company or its designated transfer agent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as applicable, shall, within five (5) business days following the date of receipt by the Company of the certificate representing the shares of Series D Preferred being converted, (x) issue and deliver to the holder the number of shares of Common Stock to which the holder shall be entitled, and (y) if the certificate so surrendered represents more shares of Series D Preferred than those being converted, issue and deliver to the holder a new certificate for such number of shares of Series D Preferred represented by the surrendered certificate which were not converted.</w:t>
      </w:r>
    </w:p>
    <w:p>
      <w:pPr>
        <w:spacing w:after="0" w:line="200" w:lineRule="exact"/>
        <w:rPr>
          <w:rFonts w:ascii="Arial" w:cs="Arial" w:eastAsia="Arial" w:hAnsi="Arial"/>
          <w:sz w:val="16"/>
          <w:szCs w:val="16"/>
          <w:color w:val="auto"/>
        </w:rPr>
      </w:pPr>
    </w:p>
    <w:p>
      <w:pPr>
        <w:ind w:left="-40" w:right="60" w:firstLine="1952"/>
        <w:spacing w:after="0" w:line="331" w:lineRule="auto"/>
        <w:tabs>
          <w:tab w:leader="none" w:pos="2650"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the Series D Preferred shall be treated for all purposes as the record holder or holders of such shares of Common Stock on the Voluntary Conversion Date.</w:t>
      </w:r>
    </w:p>
    <w:p>
      <w:pPr>
        <w:spacing w:after="0" w:line="167" w:lineRule="exact"/>
        <w:rPr>
          <w:rFonts w:ascii="Arial" w:cs="Arial" w:eastAsia="Arial" w:hAnsi="Arial"/>
          <w:sz w:val="16"/>
          <w:szCs w:val="16"/>
          <w:color w:val="auto"/>
        </w:rPr>
      </w:pPr>
    </w:p>
    <w:p>
      <w:pPr>
        <w:ind w:left="-40" w:firstLine="1952"/>
        <w:spacing w:after="0" w:line="288" w:lineRule="auto"/>
        <w:tabs>
          <w:tab w:leader="none" w:pos="2640"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Convert</w:t>
      </w:r>
      <w:r>
        <w:rPr>
          <w:rFonts w:ascii="Arial" w:cs="Arial" w:eastAsia="Arial" w:hAnsi="Arial"/>
          <w:sz w:val="16"/>
          <w:szCs w:val="16"/>
          <w:color w:val="auto"/>
        </w:rPr>
        <w:t>. If within five (5) business days of the Company’s receipt of the Conversion Notice (the “</w:t>
      </w:r>
      <w:r>
        <w:rPr>
          <w:rFonts w:ascii="Arial" w:cs="Arial" w:eastAsia="Arial" w:hAnsi="Arial"/>
          <w:sz w:val="16"/>
          <w:szCs w:val="16"/>
          <w:b w:val="1"/>
          <w:bCs w:val="1"/>
          <w:i w:val="1"/>
          <w:iCs w:val="1"/>
          <w:color w:val="auto"/>
        </w:rPr>
        <w:t>Share Delivery Period</w:t>
      </w:r>
      <w:r>
        <w:rPr>
          <w:rFonts w:ascii="Arial" w:cs="Arial" w:eastAsia="Arial" w:hAnsi="Arial"/>
          <w:sz w:val="16"/>
          <w:szCs w:val="16"/>
          <w:color w:val="auto"/>
        </w:rPr>
        <w:t>”) the Company shall fail to issue and deliver to a holder the number of shares of Common Stock to which such holder is entitled upon such holder’s conversion of the Series D Preferred (a “</w:t>
      </w:r>
      <w:r>
        <w:rPr>
          <w:rFonts w:ascii="Arial" w:cs="Arial" w:eastAsia="Arial" w:hAnsi="Arial"/>
          <w:sz w:val="16"/>
          <w:szCs w:val="16"/>
          <w:b w:val="1"/>
          <w:bCs w:val="1"/>
          <w:i w:val="1"/>
          <w:iCs w:val="1"/>
          <w:color w:val="auto"/>
        </w:rPr>
        <w:t>Conversion Failure</w:t>
      </w:r>
      <w:r>
        <w:rPr>
          <w:rFonts w:ascii="Arial" w:cs="Arial" w:eastAsia="Arial" w:hAnsi="Arial"/>
          <w:sz w:val="16"/>
          <w:szCs w:val="16"/>
          <w:color w:val="auto"/>
        </w:rPr>
        <w:t>”), in addition to all other available remedies which such holder may pursue hereunder, the Company shall pay additional damages to such holder on each business day after such fifth (5th) business day that such conversion is not timely effected in an amount equal to 0.5% of the product of (A) the sum of the number of shares of Common Stock not issued to the holder on a timely basis pursuant to Section 5(b)(ii) and to which such holder is entitled and (B) the closing bid price of the Common Stock on the last possible date which the Company could have issued such Common Stock to such holder without violating Section 5(b)(ii). If the Company fails to pay the additional damages set forth in this Section 5(b)(iv) within five (5) business days of the date incurred, then such payment shall bear interest at the rate of 2% per month (pro rated for partial months) until such payments are made.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563" w:right="379" w:bottom="1440" w:gutter="0" w:footer="0" w:header="0"/>
        </w:sectPr>
      </w:pPr>
    </w:p>
    <w:bookmarkStart w:id="48" w:name="page49"/>
    <w:bookmarkEnd w:id="48"/>
    <w:p>
      <w:pPr>
        <w:ind w:left="1920" w:hanging="676"/>
        <w:spacing w:after="0"/>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Adjustments of Conversion Rate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0" w:right="120" w:firstLine="1952"/>
        <w:spacing w:after="0" w:line="298" w:lineRule="auto"/>
        <w:tabs>
          <w:tab w:leader="none" w:pos="2532"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Adjustments for Stock Splits and Combinations</w:t>
      </w:r>
      <w:r>
        <w:rPr>
          <w:rFonts w:ascii="Arial" w:cs="Arial" w:eastAsia="Arial" w:hAnsi="Arial"/>
          <w:sz w:val="16"/>
          <w:szCs w:val="16"/>
          <w:color w:val="auto"/>
        </w:rPr>
        <w:t>. If the Company shall at any time or from time to time after the Issuance Date, effect a stock split of the outstanding Common Stock, the Conversion Rate shall be proportionately increased. If the Company shall at any time or from time to time after the Issuance Date, combine the outstanding shares of Common Stock, the Conversion Rate shall be proportionately decreased. Any adjustments under this Section 5(c)(i) shall be effective at the close of business on the date the stock split or combination occurs.</w:t>
      </w:r>
    </w:p>
    <w:p>
      <w:pPr>
        <w:spacing w:after="0" w:line="193" w:lineRule="exact"/>
        <w:rPr>
          <w:rFonts w:ascii="Arial" w:cs="Arial" w:eastAsia="Arial" w:hAnsi="Arial"/>
          <w:sz w:val="16"/>
          <w:szCs w:val="16"/>
          <w:color w:val="auto"/>
        </w:rPr>
      </w:pPr>
    </w:p>
    <w:p>
      <w:pPr>
        <w:ind w:left="-60" w:right="60" w:firstLine="1952"/>
        <w:spacing w:after="0" w:line="323" w:lineRule="auto"/>
        <w:tabs>
          <w:tab w:leader="none" w:pos="2581" w:val="left"/>
        </w:tabs>
        <w:numPr>
          <w:ilvl w:val="1"/>
          <w:numId w:val="40"/>
        </w:numPr>
        <w:rPr>
          <w:rFonts w:ascii="Arial" w:cs="Arial" w:eastAsia="Arial" w:hAnsi="Arial"/>
          <w:sz w:val="15"/>
          <w:szCs w:val="15"/>
          <w:color w:val="auto"/>
        </w:rPr>
      </w:pPr>
      <w:r>
        <w:rPr>
          <w:rFonts w:ascii="Arial" w:cs="Arial" w:eastAsia="Arial" w:hAnsi="Arial"/>
          <w:sz w:val="15"/>
          <w:szCs w:val="15"/>
          <w:u w:val="single" w:color="auto"/>
          <w:color w:val="auto"/>
        </w:rPr>
        <w:t>Adjustments for Certain Dividends and Distributions</w:t>
      </w:r>
      <w:r>
        <w:rPr>
          <w:rFonts w:ascii="Arial" w:cs="Arial" w:eastAsia="Arial" w:hAnsi="Arial"/>
          <w:sz w:val="15"/>
          <w:szCs w:val="15"/>
          <w:color w:val="auto"/>
        </w:rPr>
        <w:t>. If the Company shall at any time or from time to time after the Issuance Date, make or issue or set a record date for the determination of holders of Common Stock entitled to receive a dividend or other distribution payable in shares of Common Stock, then, and in each event, the Conversion Rate shall be increased as of the time of such issuance or, in the event such record date shall have been fixed, as of the close of business on such record date, by multiplying, as applicable, the Conversion Rate then in effect by a fraction:</w:t>
      </w:r>
    </w:p>
    <w:p>
      <w:pPr>
        <w:spacing w:after="0" w:line="178" w:lineRule="exact"/>
        <w:rPr>
          <w:rFonts w:ascii="Arial" w:cs="Arial" w:eastAsia="Arial" w:hAnsi="Arial"/>
          <w:sz w:val="15"/>
          <w:szCs w:val="15"/>
          <w:color w:val="auto"/>
        </w:rPr>
      </w:pPr>
    </w:p>
    <w:p>
      <w:pPr>
        <w:ind w:left="-60" w:right="840" w:firstLine="2600"/>
        <w:spacing w:after="0" w:line="268" w:lineRule="auto"/>
        <w:tabs>
          <w:tab w:leader="none" w:pos="3219"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after such issuance on the close of business on such record date; and</w:t>
      </w:r>
    </w:p>
    <w:p>
      <w:pPr>
        <w:spacing w:after="0" w:line="212" w:lineRule="exact"/>
        <w:rPr>
          <w:rFonts w:ascii="Arial" w:cs="Arial" w:eastAsia="Arial" w:hAnsi="Arial"/>
          <w:sz w:val="18"/>
          <w:szCs w:val="18"/>
          <w:color w:val="auto"/>
        </w:rPr>
      </w:pPr>
    </w:p>
    <w:p>
      <w:pPr>
        <w:ind w:left="-60" w:right="680" w:firstLine="2600"/>
        <w:spacing w:after="0" w:line="268" w:lineRule="auto"/>
        <w:tabs>
          <w:tab w:leader="none" w:pos="3219"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on the close of business on such record date.</w:t>
      </w:r>
    </w:p>
    <w:p>
      <w:pPr>
        <w:spacing w:after="0" w:line="212" w:lineRule="exact"/>
        <w:rPr>
          <w:rFonts w:ascii="Arial" w:cs="Arial" w:eastAsia="Arial" w:hAnsi="Arial"/>
          <w:sz w:val="18"/>
          <w:szCs w:val="18"/>
          <w:color w:val="auto"/>
        </w:rPr>
      </w:pPr>
    </w:p>
    <w:p>
      <w:pPr>
        <w:ind w:left="-60" w:right="60" w:firstLine="1952"/>
        <w:spacing w:after="0" w:line="288" w:lineRule="auto"/>
        <w:tabs>
          <w:tab w:leader="none" w:pos="263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Adjustment for Other Dividends and Distributions</w:t>
      </w:r>
      <w:r>
        <w:rPr>
          <w:rFonts w:ascii="Arial" w:cs="Arial" w:eastAsia="Arial" w:hAnsi="Arial"/>
          <w:sz w:val="16"/>
          <w:szCs w:val="16"/>
          <w:color w:val="auto"/>
        </w:rPr>
        <w:t>. If the Company shall, at any time or from time to time after the Issuance Date, make or issue or set a record date for the determination of holders of Common Stock entitled to receive a dividend or other distribution payable in securities of the Company other than shares of Common Stock, then, and in each event, an appropriate revision to the applicable Conversion Rate shall be made and provision shall be made (by adjustments of the Conversion Rate or otherwise) so that the holders of Series D Preferred shall receive upon conversions thereof, in addition to the number of shares of Common Stock receivable thereon, the number of securities of the Company which they would have received had their Series D Preferred been converted into Common Stock on the date of such event and had thereafter, during the period from the date of such event to and including the Conversion Date, retained such securities (together with any distributions payable thereon during such period), giving application to all adjustments called for during such period under this Section 5(c)(iii) with respect to the rights of the holders of the Series D Preferred.</w:t>
      </w:r>
    </w:p>
    <w:p>
      <w:pPr>
        <w:spacing w:after="0" w:line="204" w:lineRule="exact"/>
        <w:rPr>
          <w:rFonts w:ascii="Arial" w:cs="Arial" w:eastAsia="Arial" w:hAnsi="Arial"/>
          <w:sz w:val="16"/>
          <w:szCs w:val="16"/>
          <w:color w:val="auto"/>
        </w:rPr>
      </w:pPr>
    </w:p>
    <w:p>
      <w:pPr>
        <w:ind w:left="-60" w:firstLine="1952"/>
        <w:spacing w:after="0" w:line="288" w:lineRule="auto"/>
        <w:tabs>
          <w:tab w:leader="none" w:pos="262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Adjustments for Reclassification, Exchange or Substitution</w:t>
      </w:r>
      <w:r>
        <w:rPr>
          <w:rFonts w:ascii="Arial" w:cs="Arial" w:eastAsia="Arial" w:hAnsi="Arial"/>
          <w:sz w:val="16"/>
          <w:szCs w:val="16"/>
          <w:color w:val="auto"/>
        </w:rPr>
        <w:t>. If the Common Stock issuable upon conversion of the Series D Preferred at any time or from time to time after the Issuance Date shall be changed to the same or different number of shares of any class or classes of stock, whether by reclassification, exchange, substitution or otherwise (other than by way of a stock split or combination of shares or stock dividends provided for in Sections 5(c)(i), (ii) and (iii), or a reorganization, merger, consolidation, or sale of assets provided for in Section 5(c)(v)), then, and in each event, an appropriate revision to the Conversion Rate shall be made and provisions shall be made so that the holder of each share of Series D Preferred shall have the right thereafter to convert such share of Series D Preferred into the kind and amount of shares of stock and other securities receivable upon reclassification, exchange, substitution or other change, by holders of the number of shares of Common Stock into which such share of Series D Preferred might have been converted immediately prior to such reclassification, exchange, substitution or other change, all subject to further adjustment as provided herein.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563" w:right="379" w:bottom="1440" w:gutter="0" w:footer="0" w:header="0"/>
        </w:sectPr>
      </w:pPr>
    </w:p>
    <w:bookmarkStart w:id="49" w:name="page50"/>
    <w:bookmarkEnd w:id="49"/>
    <w:p>
      <w:pPr>
        <w:ind w:left="-40" w:right="100" w:firstLine="1952"/>
        <w:spacing w:after="0" w:line="288" w:lineRule="auto"/>
        <w:tabs>
          <w:tab w:leader="none" w:pos="2591"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Adjustments for Reorganization, Merger, Consolidation or Sales of Assets</w:t>
      </w:r>
      <w:r>
        <w:rPr>
          <w:rFonts w:ascii="Arial" w:cs="Arial" w:eastAsia="Arial" w:hAnsi="Arial"/>
          <w:sz w:val="16"/>
          <w:szCs w:val="16"/>
          <w:color w:val="auto"/>
        </w:rPr>
        <w:t xml:space="preserve">. If at any time or from time to time after the Issuance Date there shall be a capital reorganization of the Company (other than by way of a stock split or combination of shares or stock dividends or distributions provided for in Section 5(c)(i), (ii) and (iii), or a reclassification, exchange or substitution of shares provided for in Section 5(c)(iv)), or a merger or consolidation of the Company with or into another corporation, or the sale of all or substantially all of the Company’s properties or assets to any other person (an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Organic Change</w:t>
      </w:r>
      <w:r>
        <w:rPr>
          <w:rFonts w:ascii="Arial" w:cs="Arial" w:eastAsia="Arial" w:hAnsi="Arial"/>
          <w:sz w:val="16"/>
          <w:szCs w:val="16"/>
          <w:b w:val="1"/>
          <w:bCs w:val="1"/>
          <w:color w:val="auto"/>
        </w:rPr>
        <w:t>"),</w:t>
      </w:r>
      <w:r>
        <w:rPr>
          <w:rFonts w:ascii="Arial" w:cs="Arial" w:eastAsia="Arial" w:hAnsi="Arial"/>
          <w:sz w:val="16"/>
          <w:szCs w:val="16"/>
          <w:color w:val="auto"/>
        </w:rPr>
        <w:t xml:space="preserve"> then as a part of such Organic Change an appropriate revision to the Conversion Rate shall be made and provision shall be made so that the holder of each share of Series D Preferred shall have the right thereafter to convert such share of Series D Preferred into the kind and amount of shares of stock and other securities or property of the Company or any successor corporation resulting from the Organic Change which the holder of such share of Series D Preferred would have received if such share of Series D Preferred had been converted prior to such Organic Change.</w:t>
      </w:r>
    </w:p>
    <w:p>
      <w:pPr>
        <w:spacing w:after="0" w:line="204" w:lineRule="exact"/>
        <w:rPr>
          <w:rFonts w:ascii="Arial" w:cs="Arial" w:eastAsia="Arial" w:hAnsi="Arial"/>
          <w:sz w:val="16"/>
          <w:szCs w:val="16"/>
          <w:color w:val="auto"/>
        </w:rPr>
      </w:pPr>
    </w:p>
    <w:p>
      <w:pPr>
        <w:jc w:val="both"/>
        <w:ind w:left="-40" w:right="40" w:firstLine="1952"/>
        <w:spacing w:after="0" w:line="259" w:lineRule="auto"/>
        <w:tabs>
          <w:tab w:leader="none" w:pos="264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In case the Company shall take record of the holders of its Common Stock or any other Preferred Stock for the purpose of entitling them to subscribe for or purchase Common Stock or Convertible Securities, then the date of the issue or sale of the shares of Common Stock shall be deemed to be such record date.</w:t>
      </w:r>
    </w:p>
    <w:p>
      <w:pPr>
        <w:spacing w:after="0" w:line="220" w:lineRule="exact"/>
        <w:rPr>
          <w:rFonts w:ascii="Arial" w:cs="Arial" w:eastAsia="Arial" w:hAnsi="Arial"/>
          <w:sz w:val="18"/>
          <w:szCs w:val="18"/>
          <w:color w:val="auto"/>
        </w:rPr>
      </w:pPr>
    </w:p>
    <w:p>
      <w:pPr>
        <w:ind w:left="-40" w:right="60" w:firstLine="1304"/>
        <w:spacing w:after="0" w:line="290" w:lineRule="auto"/>
        <w:tabs>
          <w:tab w:leader="none" w:pos="1914"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 Impairment</w:t>
      </w:r>
      <w:r>
        <w:rPr>
          <w:rFonts w:ascii="Arial" w:cs="Arial" w:eastAsia="Arial" w:hAnsi="Arial"/>
          <w:sz w:val="16"/>
          <w:szCs w:val="16"/>
          <w:color w:val="auto"/>
        </w:rPr>
        <w:t>. The Company shall not, by amendment of its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5 and in the taking of all such action as may be necessary or appropriate in order to protect the conversion rights of the holders of the Series D Preferred against impairment. In the event a holder shall elect to convert any shares of Series D Preferred as provided herein, the Company cannot refuse conversion based on any claim that such holder or any person associated or affiliated with such holder has been engaged in any violation of law, unless an injunction from a court, on notice, restraining and/or adjoining conversion of all or of such shares of Series D Preferred shall have been issued.</w:t>
      </w:r>
    </w:p>
    <w:p>
      <w:pPr>
        <w:spacing w:after="0" w:line="198" w:lineRule="exact"/>
        <w:rPr>
          <w:rFonts w:ascii="Arial" w:cs="Arial" w:eastAsia="Arial" w:hAnsi="Arial"/>
          <w:sz w:val="16"/>
          <w:szCs w:val="16"/>
          <w:color w:val="auto"/>
        </w:rPr>
      </w:pPr>
    </w:p>
    <w:p>
      <w:pPr>
        <w:ind w:left="-40" w:firstLine="1304"/>
        <w:spacing w:after="0" w:line="288" w:lineRule="auto"/>
        <w:tabs>
          <w:tab w:leader="none" w:pos="194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Certificates as to Adjustments</w:t>
      </w:r>
      <w:r>
        <w:rPr>
          <w:rFonts w:ascii="Arial" w:cs="Arial" w:eastAsia="Arial" w:hAnsi="Arial"/>
          <w:sz w:val="16"/>
          <w:szCs w:val="16"/>
          <w:color w:val="auto"/>
        </w:rPr>
        <w:t>. Upon occurrence of each adjustment or readjustment of the Conversion Rate or number of shares of Common Stock issuable upon conversion of the Series D Preferred pursuant to this Section 5, the Company at its expense shall promptly compute such adjustment or readjustment in accordance with the terms hereof and furnish to each holder of such Series D Preferred a certificate setting forth such adjustment and readjustment, showing in detail the facts upon which such adjustment or readjustment is based. The Company shall, upon written request of the holder of such affected Series D Preferred, at any time, furnish or cause to be furnished to such holder a like certificate setting forth such adjustments and readjustments, the Conversion Rate in effect at the time, and the number of shares of Common Stock and the amount, if any, of other securities or property which at the time would be received upon the conversion of a share of such Series D Preferred. Notwithstanding the foregoing, the Company shall not be obligated to deliver a certificate unless such certificate would reflect an increase or decrease of at least one percent of such adjusted amount.</w:t>
      </w:r>
    </w:p>
    <w:p>
      <w:pPr>
        <w:spacing w:after="0" w:line="204" w:lineRule="exact"/>
        <w:rPr>
          <w:rFonts w:ascii="Arial" w:cs="Arial" w:eastAsia="Arial" w:hAnsi="Arial"/>
          <w:sz w:val="16"/>
          <w:szCs w:val="16"/>
          <w:color w:val="auto"/>
        </w:rPr>
      </w:pPr>
    </w:p>
    <w:p>
      <w:pPr>
        <w:jc w:val="both"/>
        <w:ind w:left="-40" w:right="100" w:firstLine="1304"/>
        <w:spacing w:after="0" w:line="335" w:lineRule="auto"/>
        <w:tabs>
          <w:tab w:leader="none" w:pos="1943"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Issue Taxes</w:t>
      </w:r>
      <w:r>
        <w:rPr>
          <w:rFonts w:ascii="Arial" w:cs="Arial" w:eastAsia="Arial" w:hAnsi="Arial"/>
          <w:sz w:val="15"/>
          <w:szCs w:val="15"/>
          <w:color w:val="auto"/>
        </w:rPr>
        <w:t xml:space="preserve">. The Company shall pay any and all issue and other taxes, excluding federal, state or local income taxes, that may be payable in respect of any issue or delivery of shares of Common Stock on conversion of shares of Series D Preferred pursuant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obligated to pay any transfer taxes resulting from any transfer requested by any holder in connection with any such conversion.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563" w:right="379" w:bottom="1440" w:gutter="0" w:footer="0" w:header="0"/>
        </w:sectPr>
      </w:pPr>
    </w:p>
    <w:bookmarkStart w:id="50" w:name="page51"/>
    <w:bookmarkEnd w:id="50"/>
    <w:p>
      <w:pPr>
        <w:ind w:left="-20" w:right="60" w:firstLine="1304"/>
        <w:spacing w:after="0" w:line="287" w:lineRule="auto"/>
        <w:tabs>
          <w:tab w:leader="none" w:pos="1924"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given if delivered personally, by facsimile, electronic mail or three (3) business days following (A) being mailed by certified or registered mail, postage prepaid, return-receipt requested, or (B) delivered to an express mail delivery service such as Federal Express, with written receipt by the addressee required, in either case addressed to the holder of record at its address appearing on the books of the Company. The Company will give written notice to each holder of Series D Preferred at least twenty (20) days prior to the date on which the Company closes its books or takes a record (z) with respect to any dividend or distribution upon the Common Stock, (y) with respect to any pro rata subscription offer to holders of Common Stock or (x) for determining rights to vote with respect to any Organic Change, dissolution, liquidation or winding-up and in no event shall such notice be provided to such holder prior to such information being made known to the public. The Company will also give written notice to each holder of Series D Preferred at least twenty (20) days prior to the date on which any Organic Change, dissolution, liquidation or winding-up will take place and in no event shall such notice be provided to such holder prior to such information being made known to the public.</w:t>
      </w:r>
    </w:p>
    <w:p>
      <w:pPr>
        <w:spacing w:after="0" w:line="202" w:lineRule="exact"/>
        <w:rPr>
          <w:rFonts w:ascii="Arial" w:cs="Arial" w:eastAsia="Arial" w:hAnsi="Arial"/>
          <w:sz w:val="16"/>
          <w:szCs w:val="16"/>
          <w:color w:val="auto"/>
        </w:rPr>
      </w:pPr>
    </w:p>
    <w:p>
      <w:pPr>
        <w:ind w:left="-20" w:right="20" w:firstLine="1304"/>
        <w:spacing w:after="0" w:line="256" w:lineRule="auto"/>
        <w:tabs>
          <w:tab w:leader="none" w:pos="192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Series D Preferred. In lieu of any fractional shares to which the holder would otherwise be entitled, the Company, at its option, shall (A) pay cash equal to the product of such fraction multiplied by the average of the closing bid prices of the Common Stock for the five (5) consecutive trading immediately preceding the Voluntary Conversion Date, or (B) issue one whole share of Common Stock to the holder.</w:t>
      </w:r>
    </w:p>
    <w:p>
      <w:pPr>
        <w:spacing w:after="0" w:line="223" w:lineRule="exact"/>
        <w:rPr>
          <w:rFonts w:ascii="Arial" w:cs="Arial" w:eastAsia="Arial" w:hAnsi="Arial"/>
          <w:sz w:val="18"/>
          <w:szCs w:val="18"/>
          <w:color w:val="auto"/>
        </w:rPr>
      </w:pPr>
    </w:p>
    <w:p>
      <w:pPr>
        <w:ind w:left="-20" w:right="160" w:firstLine="1304"/>
        <w:spacing w:after="0" w:line="256" w:lineRule="auto"/>
        <w:tabs>
          <w:tab w:leader="none" w:pos="196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Following the Approval Date, the Company shall, so long as any shares of Series D Preferred are outstanding, reserve and keep available out of its authorized and unissued Common Stock, solely for the purpose of effecting the conversion of the Series D Preferred, such number of shares of Common Stock as shall from time to time be sufficient to effect the conversion of all of the Series D Preferred then outstanding (without giving effect to the limitations set forth in Section 7).</w:t>
      </w:r>
    </w:p>
    <w:p>
      <w:pPr>
        <w:spacing w:after="0" w:line="224" w:lineRule="exact"/>
        <w:rPr>
          <w:sz w:val="20"/>
          <w:szCs w:val="20"/>
          <w:color w:val="auto"/>
        </w:rPr>
      </w:pPr>
    </w:p>
    <w:p>
      <w:pPr>
        <w:ind w:left="-20" w:right="140" w:firstLine="1304"/>
        <w:spacing w:after="0" w:line="256" w:lineRule="auto"/>
        <w:tabs>
          <w:tab w:leader="none" w:pos="196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Retirement of Series D Preferred</w:t>
      </w:r>
      <w:r>
        <w:rPr>
          <w:rFonts w:ascii="Arial" w:cs="Arial" w:eastAsia="Arial" w:hAnsi="Arial"/>
          <w:sz w:val="18"/>
          <w:szCs w:val="18"/>
          <w:color w:val="auto"/>
        </w:rPr>
        <w:t>. Conversion of Series D Preferred shall be deemed to have been effected on the applicable Voluntary Conversion Date. The Company shall keep written records of the conversion of the shares of Series D Preferred converted by each holder. A holder shall be required to deliver the original certificates representing the shares of Series D Preferred upon any conversion of the Series D Preferred represented by such certificates.</w:t>
      </w:r>
    </w:p>
    <w:p>
      <w:pPr>
        <w:spacing w:after="0" w:line="224" w:lineRule="exact"/>
        <w:rPr>
          <w:sz w:val="20"/>
          <w:szCs w:val="20"/>
          <w:color w:val="auto"/>
        </w:rPr>
      </w:pPr>
    </w:p>
    <w:p>
      <w:pPr>
        <w:ind w:left="-20" w:firstLine="1304"/>
        <w:spacing w:after="0" w:line="298" w:lineRule="auto"/>
        <w:tabs>
          <w:tab w:leader="none" w:pos="2012"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Regulatory Compliance</w:t>
      </w:r>
      <w:r>
        <w:rPr>
          <w:rFonts w:ascii="Arial" w:cs="Arial" w:eastAsia="Arial" w:hAnsi="Arial"/>
          <w:sz w:val="16"/>
          <w:szCs w:val="16"/>
          <w:color w:val="auto"/>
        </w:rPr>
        <w:t>. If any shares of Common Stock to be reserved for the purpose of conversion of Series D Preferred require registration or listing with or approval of any governmental authority, stock exchange or other regulatory body under any federal or state law or regulation or otherwise before such shares may be validly issued or delivered upon conversion, the Company shall, at its sole cost and expense, in good faith and as expeditiously as possible, endeavor to secure such registration, listing or approval, as the case may be.</w:t>
      </w:r>
    </w:p>
    <w:p>
      <w:pPr>
        <w:spacing w:after="0" w:line="193" w:lineRule="exact"/>
        <w:rPr>
          <w:rFonts w:ascii="Arial" w:cs="Arial" w:eastAsia="Arial" w:hAnsi="Arial"/>
          <w:sz w:val="16"/>
          <w:szCs w:val="16"/>
          <w:color w:val="auto"/>
        </w:rPr>
      </w:pPr>
    </w:p>
    <w:p>
      <w:pPr>
        <w:ind w:left="-20" w:right="40" w:firstLine="656"/>
        <w:spacing w:after="0" w:line="294" w:lineRule="auto"/>
        <w:tabs>
          <w:tab w:leader="none" w:pos="124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 Preemptive or Redemption Rights</w:t>
      </w:r>
      <w:r>
        <w:rPr>
          <w:rFonts w:ascii="Arial" w:cs="Arial" w:eastAsia="Arial" w:hAnsi="Arial"/>
          <w:sz w:val="16"/>
          <w:szCs w:val="16"/>
          <w:color w:val="auto"/>
        </w:rPr>
        <w:t>. No holder of the Series D Preferred shall be entitled to rights to subscribe for, purchase or receive any part of any new or additional shares of any class, whether now or hereafter authorized, or of bonds or debentures, or other evidences of indebtedness convertible into or exchangeable for shares of any class, but all such new or additional shares of any class, or any bond, debentures or other evidences of indebtedness convertible into or exchangeable for shares, may be issued and disposed of by the Board of Directors on such terms and for such consideration (to the extent permitted by law), and to such person or persons as the Board of Directors in their absolute discretion may deem advisable.</w:t>
      </w:r>
    </w:p>
    <w:p>
      <w:pPr>
        <w:spacing w:after="0" w:line="196" w:lineRule="exact"/>
        <w:rPr>
          <w:rFonts w:ascii="Arial" w:cs="Arial" w:eastAsia="Arial" w:hAnsi="Arial"/>
          <w:sz w:val="16"/>
          <w:szCs w:val="16"/>
          <w:color w:val="auto"/>
        </w:rPr>
      </w:pPr>
    </w:p>
    <w:p>
      <w:pPr>
        <w:ind w:left="-20" w:right="300" w:firstLine="656"/>
        <w:spacing w:after="0" w:line="253" w:lineRule="auto"/>
        <w:tabs>
          <w:tab w:leader="none" w:pos="124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Conversion Restriction</w:t>
      </w:r>
      <w:r>
        <w:rPr>
          <w:rFonts w:ascii="Arial" w:cs="Arial" w:eastAsia="Arial" w:hAnsi="Arial"/>
          <w:sz w:val="18"/>
          <w:szCs w:val="18"/>
          <w:color w:val="auto"/>
        </w:rPr>
        <w:t>. Notwithstanding anything to the contrary set forth in Section 5, at no time may a holder of shares of Series D Preferred convert shares of the Series D Preferred if the number of shares of Common Stock to be issued pursuant to such conversion would exceed, when aggregated with all other shares of Common Stock owned by such holder at such time, the number of shares of Common Stock which would result in such holder beneficially owning (as determined in accordance with Section 13(d) of the Securities Exchange Act of 1934, as amended, and the rules thereunder) more than 9.99% of all of the Common Stock outstanding at such time (the “</w:t>
      </w:r>
      <w:r>
        <w:rPr>
          <w:rFonts w:ascii="Arial" w:cs="Arial" w:eastAsia="Arial" w:hAnsi="Arial"/>
          <w:sz w:val="18"/>
          <w:szCs w:val="18"/>
          <w:b w:val="1"/>
          <w:bCs w:val="1"/>
          <w:i w:val="1"/>
          <w:iCs w:val="1"/>
          <w:color w:val="auto"/>
        </w:rPr>
        <w:t>Ownership Limitation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a holder of Series D Preferred providing the Company with sixty-one (61) days’ notice (pursuant to Section 5(i)) the Ownership Limitation may be increased up to 19.99% with respect to such holder.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63" w:right="339" w:bottom="1440" w:gutter="0" w:footer="0" w:header="0"/>
        </w:sectPr>
      </w:pPr>
    </w:p>
    <w:bookmarkStart w:id="51" w:name="page52"/>
    <w:bookmarkEnd w:id="51"/>
    <w:p>
      <w:pPr>
        <w:ind w:left="1280" w:hanging="624"/>
        <w:spacing w:after="0"/>
        <w:tabs>
          <w:tab w:leader="none" w:pos="12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Inability to Fully Convert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0" w:firstLine="1304"/>
        <w:spacing w:after="0" w:line="288" w:lineRule="auto"/>
        <w:tabs>
          <w:tab w:leader="none" w:pos="1973"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Holder’s Option if Company Cannot Fully Convert</w:t>
      </w:r>
      <w:r>
        <w:rPr>
          <w:rFonts w:ascii="Arial" w:cs="Arial" w:eastAsia="Arial" w:hAnsi="Arial"/>
          <w:sz w:val="16"/>
          <w:szCs w:val="16"/>
          <w:color w:val="auto"/>
        </w:rPr>
        <w:t>. If, upon the Company’s receipt of a Conversion Notice, the Company cannot issue shares of Common Stock for any reason, including, without limitation, because the Company (x) does not have a sufficient number of shares of Common Stock authorized and available, (y) pursuant to Section 7 or (z) is otherwise prohibited by applicable law or by the rules or regulations of any stock exchange, interdealer quotation system or other self-regulatory organization with jurisdiction over the Company or its securities, from issuing all of the Common Stock which is to be issued to a holder of Series D Preferred pursuant to a Conversion Notice, then the Company shall issue as many shares of Common Stock as it is able to issue in accordance with such holder’s Conversion Notice and with respect to the unconverted Series D Preferred (the “</w:t>
      </w:r>
      <w:r>
        <w:rPr>
          <w:rFonts w:ascii="Arial" w:cs="Arial" w:eastAsia="Arial" w:hAnsi="Arial"/>
          <w:sz w:val="16"/>
          <w:szCs w:val="16"/>
          <w:b w:val="1"/>
          <w:bCs w:val="1"/>
          <w:i w:val="1"/>
          <w:iCs w:val="1"/>
          <w:color w:val="auto"/>
        </w:rPr>
        <w:t>Unconverted Preferred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the holder, solely at such holder’s option, can elect, at any time after receipt of notice from the Company that there is Unconverted Preferred Stock,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void the holder’s Conversion Notice as to the number of shares of Common Stock the Company is unable to issue and retain or have returned, as the case may be, the certificates for the shares of the Unconverted Preferred Stock.</w:t>
      </w:r>
    </w:p>
    <w:p>
      <w:pPr>
        <w:spacing w:after="0" w:line="200"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In the event a Holder shall elect to convert any shares of Series D Preferred as provided herein, the Company cannot refuse conversion based on any claim that such Holder or any person associated or affiliated with such Holder has been engaged in any violation of law, violation of an agreement to which such Holder is a party or for any reason whatsoever, unless, an injunction from a court, on notice, restraining and or enjoining conversion of all or any of such shares of Series D Preferred shall have issued.</w:t>
      </w:r>
    </w:p>
    <w:p>
      <w:pPr>
        <w:spacing w:after="0" w:line="224" w:lineRule="exact"/>
        <w:rPr>
          <w:sz w:val="20"/>
          <w:szCs w:val="20"/>
          <w:color w:val="auto"/>
        </w:rPr>
      </w:pPr>
    </w:p>
    <w:p>
      <w:pPr>
        <w:ind w:right="160" w:firstLine="1304"/>
        <w:spacing w:after="0" w:line="254" w:lineRule="auto"/>
        <w:tabs>
          <w:tab w:leader="none" w:pos="1983"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Mechanics of Fulfilling; Holder’s Election</w:t>
      </w:r>
      <w:r>
        <w:rPr>
          <w:rFonts w:ascii="Arial" w:cs="Arial" w:eastAsia="Arial" w:hAnsi="Arial"/>
          <w:sz w:val="18"/>
          <w:szCs w:val="18"/>
          <w:color w:val="auto"/>
        </w:rPr>
        <w:t>. The Company shall immediately send via facsimile to a holder of Series D Preferred, upon receipt of a facsimile copy of a Conversion Notice from such holder which cannot be fully satisfied as described in Section 8(a), a notice of the Company’s inability to fully satisfy such holder’s Conversion Notice (the “</w:t>
      </w:r>
      <w:r>
        <w:rPr>
          <w:rFonts w:ascii="Arial" w:cs="Arial" w:eastAsia="Arial" w:hAnsi="Arial"/>
          <w:sz w:val="18"/>
          <w:szCs w:val="18"/>
          <w:b w:val="1"/>
          <w:bCs w:val="1"/>
          <w:i w:val="1"/>
          <w:iCs w:val="1"/>
          <w:color w:val="auto"/>
        </w:rPr>
        <w:t>Inability to Fully Convert Notice</w:t>
      </w:r>
      <w:r>
        <w:rPr>
          <w:rFonts w:ascii="Arial" w:cs="Arial" w:eastAsia="Arial" w:hAnsi="Arial"/>
          <w:sz w:val="18"/>
          <w:szCs w:val="18"/>
          <w:color w:val="auto"/>
        </w:rPr>
        <w:t>”). Such Inability to Fully Convert Notice shall indicate (i) the reason why the Company is unable to fully satisfy such holder’s Conversion Notice and (ii) the number of shares of Series D Preferred which cannot be converted.</w:t>
      </w:r>
    </w:p>
    <w:p>
      <w:pPr>
        <w:spacing w:after="0" w:line="227" w:lineRule="exact"/>
        <w:rPr>
          <w:rFonts w:ascii="Arial" w:cs="Arial" w:eastAsia="Arial" w:hAnsi="Arial"/>
          <w:sz w:val="18"/>
          <w:szCs w:val="18"/>
          <w:color w:val="auto"/>
        </w:rPr>
      </w:pPr>
    </w:p>
    <w:p>
      <w:pPr>
        <w:ind w:right="20" w:firstLine="656"/>
        <w:spacing w:after="0" w:line="256" w:lineRule="auto"/>
        <w:tabs>
          <w:tab w:leader="none" w:pos="126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Vote to Change the Terms of or Issue Preferred Stock</w:t>
      </w:r>
      <w:r>
        <w:rPr>
          <w:rFonts w:ascii="Arial" w:cs="Arial" w:eastAsia="Arial" w:hAnsi="Arial"/>
          <w:sz w:val="18"/>
          <w:szCs w:val="18"/>
          <w:color w:val="auto"/>
        </w:rPr>
        <w:t>. The affirmative vote at a meeting duly called for such purpose, or the written consent without a meeting, of the holders of not less than a majority of the then-outstanding shares of Series D Preferred, shall be required for any change to this Certificate of Designation or the Company’s Articles of Incorporation which would amend, alter, change or repeal any of the powers, designations, preferences and rights of the Series D Preferred.</w:t>
      </w:r>
    </w:p>
    <w:p>
      <w:pPr>
        <w:spacing w:after="0" w:line="223" w:lineRule="exact"/>
        <w:rPr>
          <w:rFonts w:ascii="Arial" w:cs="Arial" w:eastAsia="Arial" w:hAnsi="Arial"/>
          <w:sz w:val="18"/>
          <w:szCs w:val="18"/>
          <w:color w:val="auto"/>
        </w:rPr>
      </w:pPr>
    </w:p>
    <w:p>
      <w:pPr>
        <w:ind w:right="20" w:firstLine="656"/>
        <w:spacing w:after="0" w:line="256" w:lineRule="auto"/>
        <w:tabs>
          <w:tab w:leader="none" w:pos="135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Upon receipt by the Company of evidence satisfactory to the Company of the loss, theft, destruction or mutilation of any Preferred Stock Certificates representing the shares of Series D Preferred, and, in the case of loss, theft or destruction, of any indemnification undertaking by the holder to the Company and, in the case of mutilation, upon surrender and cancellation of the Preferred Stock Certificate(s), the Company shall execute and deliver new preferred stock certificate(s) of like tenor and date.</w:t>
      </w:r>
    </w:p>
    <w:p>
      <w:pPr>
        <w:spacing w:after="0" w:line="223" w:lineRule="exact"/>
        <w:rPr>
          <w:rFonts w:ascii="Arial" w:cs="Arial" w:eastAsia="Arial" w:hAnsi="Arial"/>
          <w:sz w:val="18"/>
          <w:szCs w:val="18"/>
          <w:color w:val="auto"/>
        </w:rPr>
      </w:pPr>
    </w:p>
    <w:p>
      <w:pPr>
        <w:ind w:firstLine="656"/>
        <w:spacing w:after="0" w:line="287" w:lineRule="auto"/>
        <w:tabs>
          <w:tab w:leader="none" w:pos="1343"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and nothing herein shall limit a holder’s right to pursue actual damages for any failure by the Company to comply with the terms of this Certificate of Designation. Amounts set forth or provided for herein with respect to conversion and the like (and the computation thereof) shall be the amounts to be received by the holder thereof and shall not, except as expressly provided herein, be subject to any other obligation of the Company (or the performance thereof). The Company acknowledges that a breach by it of its obligations hereunder will cause irreparable harm to the holders of the Series D Preferred and that the remedy at law for any such breach may be inadequate. The Company therefore agrees that, in the event of any such breach or threatened breach, the holders of the Series D Preferred shall be entitled, in addition to all other available remedies, to an injunction restraining any breach, without the necessity of showing economic loss and without any bond or other security being required.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63" w:right="379" w:bottom="1440" w:gutter="0" w:footer="0" w:header="0"/>
        </w:sectPr>
      </w:pPr>
    </w:p>
    <w:bookmarkStart w:id="52" w:name="page53"/>
    <w:bookmarkEnd w:id="52"/>
    <w:p>
      <w:pPr>
        <w:ind w:left="-120" w:firstLine="656"/>
        <w:spacing w:after="0" w:line="268" w:lineRule="auto"/>
        <w:tabs>
          <w:tab w:leader="none" w:pos="123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Specific Shall Not Limit General; Construction</w:t>
      </w:r>
      <w:r>
        <w:rPr>
          <w:rFonts w:ascii="Arial" w:cs="Arial" w:eastAsia="Arial" w:hAnsi="Arial"/>
          <w:sz w:val="18"/>
          <w:szCs w:val="18"/>
          <w:color w:val="auto"/>
        </w:rPr>
        <w:t>. No specific provision contained in this Certificate of Designation shall limit or modify any more general provision contained herein.</w:t>
      </w:r>
    </w:p>
    <w:p>
      <w:pPr>
        <w:spacing w:after="0" w:line="212" w:lineRule="exact"/>
        <w:rPr>
          <w:rFonts w:ascii="Arial" w:cs="Arial" w:eastAsia="Arial" w:hAnsi="Arial"/>
          <w:sz w:val="18"/>
          <w:szCs w:val="18"/>
          <w:color w:val="auto"/>
        </w:rPr>
      </w:pPr>
    </w:p>
    <w:p>
      <w:pPr>
        <w:ind w:left="-120" w:right="240" w:firstLine="656"/>
        <w:spacing w:after="0" w:line="259" w:lineRule="auto"/>
        <w:tabs>
          <w:tab w:leader="none" w:pos="123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 holder of Series D Preferred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563" w:right="4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this Certificate of Designation is executed on Company this 21</w:t>
      </w:r>
      <w:r>
        <w:rPr>
          <w:rFonts w:ascii="Arial" w:cs="Arial" w:eastAsia="Arial" w:hAnsi="Arial"/>
          <w:sz w:val="22"/>
          <w:szCs w:val="22"/>
          <w:color w:val="auto"/>
          <w:vertAlign w:val="superscript"/>
        </w:rPr>
        <w:t>st</w:t>
      </w:r>
      <w:r>
        <w:rPr>
          <w:rFonts w:ascii="Arial" w:cs="Arial" w:eastAsia="Arial" w:hAnsi="Arial"/>
          <w:sz w:val="16"/>
          <w:szCs w:val="16"/>
          <w:b w:val="1"/>
          <w:bCs w:val="1"/>
          <w:color w:val="auto"/>
        </w:rPr>
        <w:t xml:space="preserve"> </w:t>
      </w:r>
      <w:r>
        <w:rPr>
          <w:rFonts w:ascii="Arial" w:cs="Arial" w:eastAsia="Arial" w:hAnsi="Arial"/>
          <w:sz w:val="16"/>
          <w:szCs w:val="16"/>
          <w:color w:val="auto"/>
        </w:rPr>
        <w:t>day of December, 2020.</w:t>
      </w:r>
    </w:p>
    <w:p>
      <w:pPr>
        <w:sectPr>
          <w:pgSz w:w="11900" w:h="16838" w:orient="portrait"/>
          <w:cols w:equalWidth="0" w:num="1">
            <w:col w:w="9479"/>
          </w:cols>
          <w:pgMar w:left="980" w:top="55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VISTAGEN THERAPEUTICS, INC.</w:t>
      </w:r>
    </w:p>
    <w:p>
      <w:pPr>
        <w:spacing w:after="0" w:line="24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Certificate of Designation of Series D Preferred Stock]</w:t>
      </w:r>
    </w:p>
    <w:p>
      <w:pPr>
        <w:spacing w:after="0" w:line="24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557" w:right="1440" w:bottom="1440" w:gutter="0" w:footer="0" w:header="0"/>
          <w:type w:val="continuous"/>
        </w:sectPr>
      </w:pPr>
    </w:p>
    <w:bookmarkStart w:id="54" w:name="page55"/>
    <w:bookmarkEnd w:id="54"/>
    <w:p>
      <w:pPr>
        <w:jc w:val="center"/>
        <w:ind w:right="-79"/>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VISTAGEN THERAPEUTICS, INC. CONVERSION NOTICE</w:t>
      </w:r>
    </w:p>
    <w:p>
      <w:pPr>
        <w:spacing w:after="0" w:line="24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Reference is made to the Certificate of Designation of the Relative Rights and Preferences of the Series D Convertible Preferred Stock of VistaGen Therapeutics, Inc. (the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 In accordance with and pursuant to the Certificate of Designation, the undersigned hereby elects to convert the number of shares of Series D Preferred, par value $0.001 per share (the “</w:t>
      </w:r>
      <w:r>
        <w:rPr>
          <w:rFonts w:ascii="Arial" w:cs="Arial" w:eastAsia="Arial" w:hAnsi="Arial"/>
          <w:sz w:val="16"/>
          <w:szCs w:val="16"/>
          <w:b w:val="1"/>
          <w:bCs w:val="1"/>
          <w:i w:val="1"/>
          <w:iCs w:val="1"/>
          <w:color w:val="auto"/>
        </w:rPr>
        <w:t>Preferred Shares</w:t>
      </w:r>
      <w:r>
        <w:rPr>
          <w:rFonts w:ascii="Arial" w:cs="Arial" w:eastAsia="Arial" w:hAnsi="Arial"/>
          <w:sz w:val="16"/>
          <w:szCs w:val="16"/>
          <w:color w:val="auto"/>
        </w:rPr>
        <w:t>”), of VistaGen Therapeutics, Inc., a Nevada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indicated below into shares of common stock, par value $0.001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the Company, by tendering the stock certificate(s) representing the share(s) of Preferred Shares specified below as of the date specified below.</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1348105</wp:posOffset>
            </wp:positionH>
            <wp:positionV relativeFrom="paragraph">
              <wp:posOffset>-13970</wp:posOffset>
            </wp:positionV>
            <wp:extent cx="3427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7095" cy="825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Preferred Shares to be converted: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Preferred Shares to be converted:</w:t>
      </w:r>
    </w:p>
    <w:p>
      <w:pPr>
        <w:spacing w:after="0" w:line="252" w:lineRule="exact"/>
        <w:rPr>
          <w:sz w:val="20"/>
          <w:szCs w:val="20"/>
          <w:color w:val="auto"/>
        </w:rPr>
      </w:pPr>
    </w:p>
    <w:p>
      <w:pPr>
        <w:ind w:left="660"/>
        <w:spacing w:after="0"/>
        <w:tabs>
          <w:tab w:leader="none" w:pos="3720" w:val="left"/>
        </w:tabs>
        <w:rPr>
          <w:sz w:val="20"/>
          <w:szCs w:val="20"/>
          <w:color w:val="auto"/>
        </w:rPr>
      </w:pPr>
      <w:r>
        <w:rPr>
          <w:rFonts w:ascii="Arial" w:cs="Arial" w:eastAsia="Arial" w:hAnsi="Arial"/>
          <w:sz w:val="18"/>
          <w:szCs w:val="18"/>
          <w:color w:val="auto"/>
        </w:rPr>
        <w:t>Common Stock has been sold: YES</w:t>
      </w:r>
      <w:r>
        <w:rPr>
          <w:sz w:val="20"/>
          <w:szCs w:val="20"/>
          <w:color w:val="auto"/>
        </w:rPr>
        <w:tab/>
      </w:r>
      <w:r>
        <w:rPr>
          <w:rFonts w:ascii="Arial" w:cs="Arial" w:eastAsia="Arial" w:hAnsi="Arial"/>
          <w:sz w:val="16"/>
          <w:szCs w:val="16"/>
          <w:color w:val="auto"/>
        </w:rPr>
        <w:t>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Rate: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52"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Number of shares of Common Stock beneficially owned or deemed beneficially owned by the Holder on the Date of Conversion determined in accordance with Section 16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-38735</wp:posOffset>
            </wp:positionV>
            <wp:extent cx="30086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Please issue the Common Stock into which the Preferred Shares are being converted and, if applicable, any check drawn on an account of the Company in the following name and to the following address: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-13970</wp:posOffset>
            </wp:positionV>
            <wp:extent cx="3454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Number: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1122045</wp:posOffset>
            </wp:positionH>
            <wp:positionV relativeFrom="paragraph">
              <wp:posOffset>-13970</wp:posOffset>
            </wp:positionV>
            <wp:extent cx="1922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22145" cy="8255"/>
                    </a:xfrm>
                    <a:prstGeom prst="rect">
                      <a:avLst/>
                    </a:prstGeom>
                    <a:noFill/>
                  </pic:spPr>
                </pic:pic>
              </a:graphicData>
            </a:graphic>
          </wp:anchor>
        </w:drawing>
      </w:r>
    </w:p>
    <w:p>
      <w:pPr>
        <w:sectPr>
          <w:pgSz w:w="11900" w:h="16838" w:orient="portrait"/>
          <w:cols w:equalWidth="0" w:num="1">
            <w:col w:w="11160"/>
          </w:cols>
          <w:pgMar w:left="320" w:top="563" w:right="419" w:bottom="1440" w:gutter="0" w:footer="0" w:header="0"/>
        </w:sect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5"/>
          <w:szCs w:val="15"/>
          <w:color w:val="auto"/>
        </w:rPr>
        <w:t>_____________</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00" w:lineRule="exact"/>
        <w:rPr>
          <w:sz w:val="20"/>
          <w:szCs w:val="20"/>
          <w:color w:val="auto"/>
        </w:rPr>
      </w:pPr>
    </w:p>
    <w:p>
      <w:pPr>
        <w:sectPr>
          <w:pgSz w:w="11900" w:h="16838" w:orient="portrait"/>
          <w:cols w:equalWidth="0" w:num="2">
            <w:col w:w="1120" w:space="260"/>
            <w:col w:w="9780"/>
          </w:cols>
          <w:pgMar w:left="320" w:top="563" w:right="419" w:bottom="1440" w:gutter="0" w:footer="0" w:header="0"/>
          <w:type w:val="continuous"/>
        </w:sect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63" w:right="419" w:bottom="1440" w:gutter="0" w:footer="0" w:header="0"/>
          <w:type w:val="continuous"/>
        </w:sectPr>
      </w:pPr>
    </w:p>
    <w:bookmarkStart w:id="55" w:name="page56"/>
    <w:bookmarkEnd w:id="55"/>
    <w:p>
      <w:pPr>
        <w:ind w:left="1034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29210</wp:posOffset>
            </wp:positionV>
            <wp:extent cx="5408930" cy="8915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0893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December 22,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94090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acted as special Nevada counsel to VistaGen Therapeutics, Inc.,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offer and sale by the Company of 63,000,000 shares of common stock of the Company, $0.001 par value per share (the “</w:t>
      </w:r>
      <w:r>
        <w:rPr>
          <w:rFonts w:ascii="Arial" w:cs="Arial" w:eastAsia="Arial" w:hAnsi="Arial"/>
          <w:sz w:val="16"/>
          <w:szCs w:val="16"/>
          <w:u w:val="single" w:color="auto"/>
          <w:color w:val="auto"/>
        </w:rPr>
        <w:t>Common Shares</w:t>
      </w:r>
      <w:r>
        <w:rPr>
          <w:rFonts w:ascii="Arial" w:cs="Arial" w:eastAsia="Arial" w:hAnsi="Arial"/>
          <w:sz w:val="16"/>
          <w:szCs w:val="16"/>
          <w:color w:val="auto"/>
        </w:rPr>
        <w:t>”), and (ii) 2,000,000 shares of the Company’s Series D Convertible Preferred Stock, $0.001 par value per share (the “</w:t>
      </w:r>
      <w:r>
        <w:rPr>
          <w:rFonts w:ascii="Arial" w:cs="Arial" w:eastAsia="Arial" w:hAnsi="Arial"/>
          <w:sz w:val="16"/>
          <w:szCs w:val="16"/>
          <w:u w:val="single" w:color="auto"/>
          <w:color w:val="auto"/>
        </w:rPr>
        <w:t>Preferred Shares</w:t>
      </w:r>
      <w:r>
        <w:rPr>
          <w:rFonts w:ascii="Arial" w:cs="Arial" w:eastAsia="Arial" w:hAnsi="Arial"/>
          <w:sz w:val="16"/>
          <w:szCs w:val="16"/>
          <w:color w:val="auto"/>
        </w:rPr>
        <w:t>,” and together with the Common Shares, the “</w:t>
      </w:r>
      <w:r>
        <w:rPr>
          <w:rFonts w:ascii="Arial" w:cs="Arial" w:eastAsia="Arial" w:hAnsi="Arial"/>
          <w:sz w:val="16"/>
          <w:szCs w:val="16"/>
          <w:u w:val="single" w:color="auto"/>
          <w:color w:val="auto"/>
        </w:rPr>
        <w:t>Securities</w:t>
      </w:r>
      <w:r>
        <w:rPr>
          <w:rFonts w:ascii="Arial" w:cs="Arial" w:eastAsia="Arial" w:hAnsi="Arial"/>
          <w:sz w:val="16"/>
          <w:szCs w:val="16"/>
          <w:color w:val="auto"/>
        </w:rPr>
        <w:t>”). The offer and sale of the Securities have been registered pursuant to a Registration Statement on Form S-3 (Registration No. 333-234025) filed by the Company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(as so filed and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including a base prospectus dated September 30, 2019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as supplemented by a Final Prospectus Supplement dated December 18, 2020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The Company has entered into an Underwriting Agreement dated as of December 18, 2020, among the Company and Jefferies LLC and William Blair &amp; Company, L.L.C., as representatives of the Underwriters listed on Schedule A thereto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relating to the sale of the Securities. Capitalized terms not defined herein shall have such meaning as set forth in the Underwriting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w:t>
      </w:r>
    </w:p>
    <w:p>
      <w:pPr>
        <w:spacing w:after="0" w:line="225" w:lineRule="exact"/>
        <w:rPr>
          <w:sz w:val="20"/>
          <w:szCs w:val="20"/>
          <w:color w:val="auto"/>
        </w:rPr>
      </w:pPr>
    </w:p>
    <w:p>
      <w:pPr>
        <w:ind w:left="1300" w:hanging="644"/>
        <w:spacing w:after="0" w:line="25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Certificate of Designation designating 500,000 shares of the Company’s authorized preferred stock, par value $0.001 per share, as Series A Convertible Preferred Stock, as filed with the Nevada Secretary of State on December 22, 2011;</w:t>
      </w:r>
    </w:p>
    <w:p>
      <w:pPr>
        <w:ind w:left="1300" w:hanging="644"/>
        <w:spacing w:after="0" w:line="250"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Certificate of Designation designating 4,000,000 shares of the Company’s authorized preferred stock, par value $0.001 per share, as Series B 10% Convertible Preferred Stock, as filed with the Nevada Secretary of State on May 7, 2015;</w:t>
      </w:r>
    </w:p>
    <w:p>
      <w:pPr>
        <w:ind w:left="1300" w:hanging="644"/>
        <w:spacing w:after="0" w:line="260"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Certificate of Designation designating 3,000,000 shares of the Company’s authorized preferred stock, par value $0.001 per share, as Series C Convertible Preferred Stock, as filed with the Nevada Secretary of State on January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35"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Restated Articles of Incorporation of the Company, as filed with the Nevada Secretary of State on August 11, 2016;</w:t>
      </w:r>
    </w:p>
    <w:p>
      <w:pPr>
        <w:spacing w:after="0" w:line="15"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Certificate of Amendment to Articles of Incorporation of the Company, as filed with the Nevada Secretary of State on September 15, 2017;</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Certificate of Amendment to Articles of Incorporation of the Company, as filed with the Nevada Secretary of State on September 6, 2019;</w:t>
      </w:r>
    </w:p>
    <w:p>
      <w:pPr>
        <w:spacing w:after="0" w:line="32" w:lineRule="exact"/>
        <w:rPr>
          <w:rFonts w:ascii="Arial" w:cs="Arial" w:eastAsia="Arial" w:hAnsi="Arial"/>
          <w:sz w:val="16"/>
          <w:szCs w:val="16"/>
          <w:color w:val="auto"/>
        </w:rPr>
      </w:pPr>
    </w:p>
    <w:p>
      <w:pPr>
        <w:ind w:left="1300" w:hanging="644"/>
        <w:spacing w:after="0" w:line="281"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Certificate of Designation designating 2,000,000 shares of the Company’s authorized preferred stock, par value $0.001 per share, as Series D Convertible Preferred Stock, as filed with the Nevada Secretary of State on December 22, 2020 (the “</w:t>
      </w:r>
      <w:r>
        <w:rPr>
          <w:rFonts w:ascii="Arial" w:cs="Arial" w:eastAsia="Arial" w:hAnsi="Arial"/>
          <w:sz w:val="16"/>
          <w:szCs w:val="16"/>
          <w:u w:val="single" w:color="auto"/>
          <w:color w:val="auto"/>
        </w:rPr>
        <w:t>Series D Certificate of Designation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Second Amended and Restated Bylaws of the Company, adopted August 16, 2016, and certified to us to be currently in effect;</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Certificate of Good Standing for the Company issued by the Nevada Secretary of State on December 22, 2020;</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Base Prospectus;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Prospectus Supplement;</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unfiled Certificate of Amendment to the Company’s Articles of Incorporation reflecting the Articles Amendment (as that term is defined below) (the “</w:t>
      </w:r>
      <w:r>
        <w:rPr>
          <w:rFonts w:ascii="Arial" w:cs="Arial" w:eastAsia="Arial" w:hAnsi="Arial"/>
          <w:sz w:val="18"/>
          <w:szCs w:val="18"/>
          <w:u w:val="single" w:color="auto"/>
          <w:color w:val="auto"/>
        </w:rPr>
        <w:t>Certificate of Amendment</w:t>
      </w:r>
      <w:r>
        <w:rPr>
          <w:rFonts w:ascii="Arial" w:cs="Arial" w:eastAsia="Arial" w:hAnsi="Arial"/>
          <w:sz w:val="18"/>
          <w:szCs w:val="18"/>
          <w:color w:val="auto"/>
        </w:rPr>
        <w:t>”);</w:t>
      </w:r>
    </w:p>
    <w:p>
      <w:pPr>
        <w:ind w:left="1300" w:right="20" w:hanging="644"/>
        <w:spacing w:after="0" w:line="281"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Resolutions adopted by the Board of Directors of the Company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dated September 5, 2019, authorizing and approving the Registration Statement, the issuance and sale of the securities described in the Registration Statement;</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Resolutions of the board of directors of the Company adopted as of December 16, 2020, authorizing and approving the Prospectus Supplement, the issuance and sale of the securities described in the Prospectus Supplement, the amendment of the Company’s Articles of Incorporation to increase the number of authorized Common Shares from One Hundred Seventy Five Million (175,000,000) shares to Three Hundred Twenty Five Million (325,000,000) shares (the “</w:t>
      </w:r>
      <w:r>
        <w:rPr>
          <w:rFonts w:ascii="Arial" w:cs="Arial" w:eastAsia="Arial" w:hAnsi="Arial"/>
          <w:sz w:val="18"/>
          <w:szCs w:val="18"/>
          <w:u w:val="single" w:color="auto"/>
          <w:color w:val="auto"/>
        </w:rPr>
        <w:t>Articles Amendment</w:t>
      </w:r>
      <w:r>
        <w:rPr>
          <w:rFonts w:ascii="Arial" w:cs="Arial" w:eastAsia="Arial" w:hAnsi="Arial"/>
          <w:sz w:val="18"/>
          <w:szCs w:val="18"/>
          <w:color w:val="auto"/>
        </w:rPr>
        <w:t>”), recommending the Articles Amendment to the Company’s stockholders for approval, and designating the Pricing Committee;</w:t>
      </w:r>
    </w:p>
    <w:p>
      <w:pPr>
        <w:spacing w:after="0" w:line="1" w:lineRule="exact"/>
        <w:rPr>
          <w:rFonts w:ascii="Arial" w:cs="Arial" w:eastAsia="Arial" w:hAnsi="Arial"/>
          <w:sz w:val="18"/>
          <w:szCs w:val="18"/>
          <w:color w:val="auto"/>
        </w:rPr>
      </w:pPr>
    </w:p>
    <w:p>
      <w:pPr>
        <w:jc w:val="both"/>
        <w:ind w:left="1300" w:hanging="644"/>
        <w:spacing w:after="0" w:line="281"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Resolutions of the Board of Directors of the Company, dated December 17, 2020, approving certain pricing terms of the Securities, authorizing the reservation of Common Shares into which the Preferred Shares will be converted upon filing of the Certificate of Amendment with the Nevada Secretary of State reflecting the Articles Amendment, and matters related thereto; and</w:t>
      </w:r>
    </w:p>
    <w:p>
      <w:pPr>
        <w:spacing w:after="0" w:line="1" w:lineRule="exact"/>
        <w:rPr>
          <w:rFonts w:ascii="Arial" w:cs="Arial" w:eastAsia="Arial" w:hAnsi="Arial"/>
          <w:sz w:val="16"/>
          <w:szCs w:val="16"/>
          <w:color w:val="auto"/>
        </w:rPr>
      </w:pPr>
    </w:p>
    <w:p>
      <w:pPr>
        <w:ind w:left="1300" w:right="20" w:hanging="644"/>
        <w:spacing w:after="0" w:line="260"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certificate, dated December 22, 2020, from an Officer of the Company as to certain factual matters, including, the incumbency of the officers of the Company (the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5"/>
          <w:szCs w:val="15"/>
          <w:color w:val="252525"/>
        </w:rPr>
        <w:t>In addition to the foregoing, we have examined such other instruments, documents and records that we deemed relevant and necessary for the basis of our opinion hereinafter expressed. We have assumed the authenticity of all records, documents and instruments submitted to us as originals, the genuineness of all signatures, the legal capacity of natural persons and the conformity to the originals of all records, documents and instruments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rendering the opinions contained herein, we have, with your permission, made the following assumptions: (i) all documents submitted to or reviewed by us, including all amendments and supplements thereto, are accurate and complete and, if not originals, are true, correct, and complete copies of the originals; (ii) the signatures on each of such documents by the parties thereto are genuine; (iii) each individual who signed such documents had the legal capacity to do so; (iv) all persons who signed such documents on behalf of a business entity were duly authorized to do so; (v) all statements in certificates of public officials and officers of the Company that we reviewed were and are accurate, and (vi) all representations made by the Company as to matters of fact in the documents that we reviewed were and are accurate. We have assumed that there are no amendments, modifications, or supplements to such documents other than those amendments, modifications, and supplements that are known to us.</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52525"/>
        </w:rPr>
        <w:t>This opinion is limited to the Nevada Revised Statutes, and we disclaim any opinion as to the laws of any other jurisdiction. We further disclaim any opinion as to any other statute, rule, regulation, ordinance, order or other promulgation of any other jurisdiction or any regional or local governmental body or as to any related judicial or administrative opinion.</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252525"/>
        </w:rPr>
        <w:t>Based upon the foregoing and our examination of such questions of law as we have deemed necessary or appropriate for the purpose of this opinion, it is our opinion that</w:t>
      </w:r>
    </w:p>
    <w:p>
      <w:pPr>
        <w:spacing w:after="0" w:line="186" w:lineRule="exact"/>
        <w:rPr>
          <w:sz w:val="20"/>
          <w:szCs w:val="20"/>
          <w:color w:val="auto"/>
        </w:rPr>
      </w:pPr>
    </w:p>
    <w:p>
      <w:pPr>
        <w:ind w:left="980" w:hanging="324"/>
        <w:spacing w:after="0" w:line="268" w:lineRule="auto"/>
        <w:tabs>
          <w:tab w:leader="none" w:pos="980" w:val="left"/>
        </w:tabs>
        <w:numPr>
          <w:ilvl w:val="0"/>
          <w:numId w:val="53"/>
        </w:numPr>
        <w:rPr>
          <w:rFonts w:ascii="Arial" w:cs="Arial" w:eastAsia="Arial" w:hAnsi="Arial"/>
          <w:sz w:val="18"/>
          <w:szCs w:val="18"/>
          <w:color w:val="252525"/>
        </w:rPr>
      </w:pPr>
      <w:r>
        <w:rPr>
          <w:rFonts w:ascii="Arial" w:cs="Arial" w:eastAsia="Arial" w:hAnsi="Arial"/>
          <w:sz w:val="18"/>
          <w:szCs w:val="18"/>
          <w:color w:val="252525"/>
        </w:rPr>
        <w:t>The Securities have been duly authorized by all necessary corporate action of the Company, and upon receipt of consideration therefor, the Common Shares and the Preferred Shares will be validly issued, fully paid and nonassessable.</w:t>
      </w:r>
    </w:p>
    <w:p>
      <w:pPr>
        <w:spacing w:after="0" w:line="185" w:lineRule="exact"/>
        <w:rPr>
          <w:rFonts w:ascii="Arial" w:cs="Arial" w:eastAsia="Arial" w:hAnsi="Arial"/>
          <w:sz w:val="18"/>
          <w:szCs w:val="18"/>
          <w:color w:val="252525"/>
        </w:rPr>
      </w:pPr>
    </w:p>
    <w:p>
      <w:pPr>
        <w:jc w:val="both"/>
        <w:ind w:left="980" w:hanging="324"/>
        <w:spacing w:after="0" w:line="288" w:lineRule="auto"/>
        <w:tabs>
          <w:tab w:leader="none" w:pos="980" w:val="left"/>
        </w:tabs>
        <w:numPr>
          <w:ilvl w:val="0"/>
          <w:numId w:val="53"/>
        </w:numPr>
        <w:rPr>
          <w:rFonts w:ascii="Arial" w:cs="Arial" w:eastAsia="Arial" w:hAnsi="Arial"/>
          <w:sz w:val="16"/>
          <w:szCs w:val="16"/>
          <w:color w:val="252525"/>
        </w:rPr>
      </w:pPr>
      <w:r>
        <w:rPr>
          <w:rFonts w:ascii="Arial" w:cs="Arial" w:eastAsia="Arial" w:hAnsi="Arial"/>
          <w:sz w:val="16"/>
          <w:szCs w:val="16"/>
          <w:color w:val="252525"/>
        </w:rPr>
        <w:t>Upon receipt by the Company of the requisite stockholder approval of the Articles Amendment, which, with your consent, we have assumed the Company will have taken all required corporate action necessary to obtain, and the filing of the Certificate of Amendment with the Nevada Secretary of State, the Common Shares initially issuable upon conversion of the Preferred Shares (the “</w:t>
      </w:r>
      <w:r>
        <w:rPr>
          <w:rFonts w:ascii="Arial" w:cs="Arial" w:eastAsia="Arial" w:hAnsi="Arial"/>
          <w:sz w:val="16"/>
          <w:szCs w:val="16"/>
          <w:u w:val="single" w:color="auto"/>
          <w:color w:val="252525"/>
        </w:rPr>
        <w:t>Conversion Shares</w:t>
      </w:r>
      <w:r>
        <w:rPr>
          <w:rFonts w:ascii="Arial" w:cs="Arial" w:eastAsia="Arial" w:hAnsi="Arial"/>
          <w:sz w:val="16"/>
          <w:szCs w:val="16"/>
          <w:color w:val="252525"/>
        </w:rPr>
        <w:t>”) will be duly authorized by all necessary corporate action of the Company and reserved for issuance upon conversion of the Preferred Shares and would be validly issued, fully paid and nonassessable, assuming the issuance of the Conversion Shares upon the conversion of the Preferred Shares in accordance with the terms of the Series D Certificate of Designation on the date upon which the Certificate of Amendment is filed with the Nevada Secretary of State. In rendering the foregoing opinion, we have assumed that the Company will comply with all applicable notice requirements regarding uncertificated shares required by Nevada law.</w:t>
      </w:r>
    </w:p>
    <w:p>
      <w:pPr>
        <w:spacing w:after="0" w:line="178" w:lineRule="exact"/>
        <w:rPr>
          <w:sz w:val="20"/>
          <w:szCs w:val="20"/>
          <w:color w:val="auto"/>
        </w:rPr>
      </w:pPr>
    </w:p>
    <w:p>
      <w:pPr>
        <w:ind w:firstLine="648"/>
        <w:spacing w:after="0" w:line="331" w:lineRule="auto"/>
        <w:rPr>
          <w:sz w:val="20"/>
          <w:szCs w:val="20"/>
          <w:color w:val="auto"/>
        </w:rPr>
      </w:pPr>
      <w:r>
        <w:rPr>
          <w:rFonts w:ascii="Arial" w:cs="Arial" w:eastAsia="Arial" w:hAnsi="Arial"/>
          <w:sz w:val="16"/>
          <w:szCs w:val="16"/>
          <w:color w:val="252525"/>
        </w:rPr>
        <w:t>This opinion is rendered to you in connection with the Registration Statement and is not to be relied upon for any other purpose. We disclaim any obligation to advise you of any change of law that occurs, or any facts of which we may become aware, after the date of this opinion.</w:t>
      </w:r>
    </w:p>
    <w:p>
      <w:pPr>
        <w:spacing w:after="0" w:line="141"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This opinion is based upon our knowledge of the law and facts relevant to the transactions herein referenced as of the date hereof. We assume no duty to update or supplement this opinion to reflect any facts or circumstances that may hereafter come to our attention or to reflect any changes in any law that may hereafter occur or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52525"/>
        </w:rPr>
        <w:t xml:space="preserve">We hereby consent to the filing of this opinion as an exhibit to the Registration Statement. </w:t>
      </w:r>
      <w:r>
        <w:rPr>
          <w:rFonts w:ascii="Arial" w:cs="Arial" w:eastAsia="Arial" w:hAnsi="Arial"/>
          <w:sz w:val="18"/>
          <w:szCs w:val="18"/>
          <w:color w:val="000000"/>
        </w:rPr>
        <w:t>In giving this consent, we do not thereby admit that we are</w:t>
      </w:r>
      <w:r>
        <w:rPr>
          <w:rFonts w:ascii="Arial" w:cs="Arial" w:eastAsia="Arial" w:hAnsi="Arial"/>
          <w:sz w:val="18"/>
          <w:szCs w:val="18"/>
          <w:color w:val="252525"/>
        </w:rPr>
        <w:t xml:space="preserve"> </w:t>
      </w:r>
      <w:r>
        <w:rPr>
          <w:rFonts w:ascii="Arial" w:cs="Arial" w:eastAsia="Arial" w:hAnsi="Arial"/>
          <w:sz w:val="18"/>
          <w:szCs w:val="18"/>
          <w:color w:val="000000"/>
        </w:rPr>
        <w:t>included in the category of persons whose consent is required under Section 7 of the Securities Act or the rules and regulations of the Securities and Exchange Commission.</w:t>
      </w:r>
    </w:p>
    <w:p>
      <w:pPr>
        <w:spacing w:after="0" w:line="200" w:lineRule="exact"/>
        <w:rPr>
          <w:sz w:val="20"/>
          <w:szCs w:val="20"/>
          <w:color w:val="auto"/>
        </w:rPr>
      </w:pPr>
    </w:p>
    <w:p>
      <w:pPr>
        <w:spacing w:after="0" w:line="21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WOODBURN AND WEDGE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20"/>
                <w:szCs w:val="20"/>
                <w:color w:val="auto"/>
              </w:rPr>
            </w:pPr>
            <w:r>
              <w:rPr>
                <w:rFonts w:ascii="Arial" w:cs="Arial" w:eastAsia="Arial" w:hAnsi="Arial"/>
                <w:sz w:val="18"/>
                <w:szCs w:val="18"/>
                <w:color w:val="auto"/>
              </w:rPr>
              <w:t>By:</w:t>
            </w:r>
          </w:p>
        </w:tc>
        <w:tc>
          <w:tcPr>
            <w:tcW w:w="8000" w:type="dxa"/>
            <w:vAlign w:val="bottom"/>
            <w:gridSpan w:val="2"/>
          </w:tcPr>
          <w:p>
            <w:pPr>
              <w:spacing w:after="0"/>
              <w:rPr>
                <w:sz w:val="20"/>
                <w:szCs w:val="20"/>
                <w:color w:val="auto"/>
              </w:rPr>
            </w:pPr>
            <w:r>
              <w:rPr>
                <w:rFonts w:ascii="Arial" w:cs="Arial" w:eastAsia="Arial" w:hAnsi="Arial"/>
                <w:sz w:val="18"/>
                <w:szCs w:val="18"/>
                <w:color w:val="auto"/>
              </w:rPr>
              <w:t>/s/ Shawn G. Pearson</w:t>
            </w:r>
          </w:p>
        </w:tc>
      </w:tr>
      <w:tr>
        <w:trPr>
          <w:trHeight w:val="234"/>
        </w:trPr>
        <w:tc>
          <w:tcPr>
            <w:tcW w:w="324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Shawn G. Pearson</w:t>
            </w:r>
          </w:p>
        </w:tc>
        <w:tc>
          <w:tcPr>
            <w:tcW w:w="6500" w:type="dxa"/>
            <w:vAlign w:val="bottom"/>
          </w:tcPr>
          <w:p>
            <w:pPr>
              <w:spacing w:after="0"/>
              <w:rPr>
                <w:sz w:val="20"/>
                <w:szCs w:val="20"/>
                <w:color w:val="auto"/>
              </w:rPr>
            </w:pPr>
          </w:p>
        </w:tc>
      </w:tr>
      <w:tr>
        <w:trPr>
          <w:trHeight w:val="657"/>
        </w:trPr>
        <w:tc>
          <w:tcPr>
            <w:tcW w:w="3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99.1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144145</wp:posOffset>
            </wp:positionV>
            <wp:extent cx="1628775" cy="1054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877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VistaGen Therapeutics Announces Closing of $100 Million Underwritten Public Offering</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SOUTH SAN FRANCISCO, Calif., Dec. 22, 2020 (GLOBE NEWSWIRE) -- VistaGen Therapeutics, Inc. (NASDAQ: VTGN) (“VistaGen”), a biopharmaceutical company committed to developing a new generation of medicines with potential to go beyond the current standard of care for anxiety, depression and other central nervous system (CNS) disorders, today announced the closing of its $100 million underwritten public offering consisting of 63,000,000 shares of its common stock at an offering price of $0.92 per share, par value $0.001 per share (the “Common Stock”), and 2,000,000 shares of its Series D convertible preferred stock (“Series D Preferred Stock”) at a public offering price of $21.16 per share. All of the securities in the offering were sold by VistaGen.</w:t>
      </w:r>
    </w:p>
    <w:p>
      <w:pPr>
        <w:spacing w:after="0" w:line="13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Lead investors that participated in the offering include Acuta Capital, New Enterprise Associates (NEA), OrbiMed and Venrock Healthcare Capital Partners, among others.</w:t>
      </w:r>
    </w:p>
    <w:p>
      <w:pPr>
        <w:spacing w:after="0" w:line="118"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Each share of the Series D Preferred Stock is convertible into 23 shares of Common Stock at any time at the option of the holder, provided, that no such conversion will be permitted until VistaGen’s stockholders approve an amendment to its articles of incorporation increasing the number of authorized shares of Common Stock in an amount sufficient to permit the conversion in full of the Series D Preferred Stock.</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VistaGen intends to use the net proceeds from the offering for research, development and manufacturing and regulatory expenses associated with continuing development of PH94B, PH10, AV-101, and potential drug candidates to expand its CNS pipeline and for other working capital and general corporate purposes.</w:t>
      </w:r>
    </w:p>
    <w:p>
      <w:pPr>
        <w:spacing w:after="0" w:line="19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Jefferies LLC and William Blair &amp; Company, L.L.C. acted as joint book-running managers for the offering and Maxim Group LLC acted as a financial advisor.</w:t>
      </w:r>
    </w:p>
    <w:p>
      <w:pPr>
        <w:spacing w:after="0" w:line="118"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 xml:space="preserve">The public offering was made pursuant to a shelf registration statement on Form S-3 (File No. 333-234025), previously filed with the Securities and Exchange Commission (the SEC) and declared effective on October 7, 2019. A final prospectus supplement and accompanying prospectus, and an issuer free writing prospectus, each of which form a part of the registration statement, were filed by VistaGen with the Securities and Exchange Commission (“SEC”). All offers of securities were made by means of the final prospectus supplement and accompanying prospectus, and the issuer free writing prospectus. The final prospectus supplement and accompanying prospectus, and the issuer free writing prospectus related to the offering are available on the SEC's website at </w:t>
      </w:r>
      <w:r>
        <w:rPr>
          <w:rFonts w:ascii="Arial" w:cs="Arial" w:eastAsia="Arial" w:hAnsi="Arial"/>
          <w:sz w:val="16"/>
          <w:szCs w:val="16"/>
          <w:u w:val="single" w:color="auto"/>
          <w:color w:val="0000ED"/>
        </w:rPr>
        <w:t>www.sec.gov</w:t>
      </w:r>
      <w:r>
        <w:rPr>
          <w:rFonts w:ascii="Arial" w:cs="Arial" w:eastAsia="Arial" w:hAnsi="Arial"/>
          <w:sz w:val="16"/>
          <w:szCs w:val="16"/>
          <w:color w:val="auto"/>
        </w:rPr>
        <w:t>.</w:t>
      </w:r>
    </w:p>
    <w:p>
      <w:pPr>
        <w:spacing w:after="0" w:line="174" w:lineRule="exact"/>
        <w:rPr>
          <w:sz w:val="20"/>
          <w:szCs w:val="20"/>
          <w:color w:val="auto"/>
        </w:rPr>
      </w:pPr>
    </w:p>
    <w:p>
      <w:pPr>
        <w:ind w:right="340"/>
        <w:spacing w:after="0" w:line="323" w:lineRule="auto"/>
        <w:rPr>
          <w:sz w:val="20"/>
          <w:szCs w:val="20"/>
          <w:color w:val="auto"/>
        </w:rPr>
      </w:pPr>
      <w:r>
        <w:rPr>
          <w:rFonts w:ascii="Arial" w:cs="Arial" w:eastAsia="Arial" w:hAnsi="Arial"/>
          <w:sz w:val="15"/>
          <w:szCs w:val="15"/>
          <w:color w:val="auto"/>
        </w:rPr>
        <w:t xml:space="preserve">Copies of the final prospectus supplement and the accompanying prospectus, and the issuer free writing prospectus for the offering may also be obtained by contacting: Jefferies LLC by mail at Attention: Equity Syndicate Prospectus Department, 520 Madison Avenue, 2nd Floor, New York, NY, 10022 or by telephone at +1-877-547-6340, or by email at </w:t>
      </w:r>
      <w:r>
        <w:rPr>
          <w:rFonts w:ascii="Arial" w:cs="Arial" w:eastAsia="Arial" w:hAnsi="Arial"/>
          <w:sz w:val="15"/>
          <w:szCs w:val="15"/>
          <w:u w:val="single" w:color="auto"/>
          <w:color w:val="0000FF"/>
        </w:rPr>
        <w:t>prospectus_department@jefferies.com</w:t>
      </w:r>
      <w:r>
        <w:rPr>
          <w:rFonts w:ascii="Arial" w:cs="Arial" w:eastAsia="Arial" w:hAnsi="Arial"/>
          <w:sz w:val="15"/>
          <w:szCs w:val="15"/>
          <w:color w:val="auto"/>
        </w:rPr>
        <w:t xml:space="preserve"> or William Blair &amp; Company, L.L.C., Attention: Prospectus Department, 150 North Riverside Plaza, Chicago, IL 60606 or by email at </w:t>
      </w:r>
      <w:r>
        <w:rPr>
          <w:rFonts w:ascii="Arial" w:cs="Arial" w:eastAsia="Arial" w:hAnsi="Arial"/>
          <w:sz w:val="15"/>
          <w:szCs w:val="15"/>
          <w:u w:val="single" w:color="auto"/>
          <w:color w:val="0000FF"/>
        </w:rPr>
        <w:t>prospectus@williamblair.com</w:t>
      </w:r>
      <w:r>
        <w:rPr>
          <w:rFonts w:ascii="Arial" w:cs="Arial" w:eastAsia="Arial" w:hAnsi="Arial"/>
          <w:sz w:val="15"/>
          <w:szCs w:val="15"/>
          <w:color w:val="auto"/>
        </w:rPr>
        <w:t xml:space="preserve"> or by telephone at +1-800-621-0687.</w:t>
      </w:r>
    </w:p>
    <w:p>
      <w:pPr>
        <w:spacing w:after="0" w:line="8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231140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VistaGen Therapeutics, Inc. is a biopharmaceutical company committed to developing and commercializing innovative medicines with potential to go beyond the current standard of care for anxiety, depression and other CNS disorders. Each of VistaGen’s three drug candidates has a differentiated potential mechanism of action, has been well-tolerated in all clinical studies to date and has therapeutic potential in multiple CNS markets.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Certain of the statements made in this press release are forward-looking. Actual results or developments may differ materially from those projected or implied in these forward-looking statements. Factors that may cause such a difference include, without limitation, risks and uncertainties related to uncertainties regarding the impact of the COVID-19 pandemic, market and other conditions, and the impact of general economic, industry or political conditions in the United States or internationally. You should not place undue reliance on these forward-looking statements, which apply only as of the date of this press release. Other risks and uncertainties include, but are not limited to, issues related to: adverse healthcare reforms and changes of laws and regulations; manufacturing and marketing risks, including risks related to the COVID-19 pandemic, which may include, but are not limited to, unavailability of or delays in delivery of raw materials for manufacture of its CNS drug candidates and difficulty in conducting clinical trials; inadequate and/or untimely supply of one or more of its CNS drug candidates to meet demand; entry of competitive products; and other technical and unexpected hurdles in the development, manufacture and commercialization of its CNS drug candidates, as well as those risks more fully discussed in the section entitled "Risk Factors" in our most recent Annual Report on Form 10-K for the year ended March 31, 2020, and in our most recent Quarterly Report on Form 10-Q for the quarter and six months ended September 30, 2020, as well as discussions of potential risks, uncertainties, and other important factors in our other filings with the SEC. Our SEC filings are available on the SEC’s website at www.sec.gov.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ED"/>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144145</wp:posOffset>
            </wp:positionV>
            <wp:extent cx="1628775" cy="1054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2877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Source: VistaGen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285115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00" w:top="530" w:right="3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99.2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144145</wp:posOffset>
            </wp:positionV>
            <wp:extent cx="1628775" cy="1054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2877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VistaGen Therapeutics Announces Pricing of Underwritten Public Offering</w:t>
      </w:r>
    </w:p>
    <w:p>
      <w:pPr>
        <w:spacing w:after="0" w:line="1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SOUTH SAN FRANCISCO, Calif., Dec. 18, 2020 (GLOBE NEWSWIRE) -- VistaGen Therapeutics, Inc. (NASDAQ: VTGN), a biopharmaceutical company committed to developing a new generation of medicines with potential to go beyond the current standard of care for anxiety, depression and other central nervous system (CNS) disorders, today announced the pricing of its underwritten public offering consisting of 63,000,000 shares of its common stock at an offering price of $0.92 per share, par value $0.001 per share (the “Common Stock”), and 2,000,000 shares of its Series D convertible preferred stock (“Series D Preferred Stock”) at a public offering price of $21.16 per share.</w:t>
      </w:r>
    </w:p>
    <w:p>
      <w:pPr>
        <w:spacing w:after="0" w:line="196"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Gross proceeds from the offering, before underwriting discounts and commissions and estimated offering expenses, are expected to be $100 million. All of the securities in the offering are being sold by VistaGen.</w:t>
      </w:r>
    </w:p>
    <w:p>
      <w:pPr>
        <w:spacing w:after="0" w:line="213"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Each share of the Series D Preferred Stock will be initially convertible into 23 shares of Common Stock at any time at the option of the holder, provided that no such conversion will be permitted until VistaGen’s stockholders approve an amendment to its articles of incorporation increasing the number of authorized shares of Common Stock in an amount sufficient to permit the conversion in full of the Series D Preferred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or about December 22, 2020, subject to customary closing conditions.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VistaGen intends to use the net proceeds from the offering for research, development and manufacturing and regulatory expenses associated with continuing development of PH94B, PH10, AV-101, and potential drug candidates to expand its CNS pipeline and for other working capital and general corporate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Jefferies LLC and William Blair &amp; Company, L.L.C. are acting as joint book-running managers for the offering.</w:t>
      </w:r>
    </w:p>
    <w:p>
      <w:pPr>
        <w:spacing w:after="0" w:line="158" w:lineRule="exact"/>
        <w:rPr>
          <w:sz w:val="20"/>
          <w:szCs w:val="20"/>
          <w:color w:val="auto"/>
        </w:rPr>
      </w:pPr>
    </w:p>
    <w:p>
      <w:pPr>
        <w:ind w:right="380"/>
        <w:spacing w:after="0" w:line="309" w:lineRule="auto"/>
        <w:rPr>
          <w:sz w:val="20"/>
          <w:szCs w:val="20"/>
          <w:color w:val="auto"/>
        </w:rPr>
      </w:pPr>
      <w:r>
        <w:rPr>
          <w:rFonts w:ascii="Arial" w:cs="Arial" w:eastAsia="Arial" w:hAnsi="Arial"/>
          <w:sz w:val="15"/>
          <w:szCs w:val="15"/>
          <w:color w:val="auto"/>
        </w:rPr>
        <w:t xml:space="preserve">The public offering is being made pursuant to a shelf registration statement on Form S-3 (File No. 333-234025), previously filed with the Securities and Exchange Commission (the SEC) and declared effective on October 7, 2019. The securities may be offered only by means of a prospectus supplement and accompanying prospectus that form a part of the registration statement. In connection with the offering, a preliminary prospectus supplement, including the accompanying prospectus, describing the terms of the offering was filed with the SEC on December 17, 2020. A final prospectus supplement relating to and describing the terms of the offering will be filed with the SEC and will be available on the SEC's website at </w:t>
      </w:r>
      <w:r>
        <w:rPr>
          <w:rFonts w:ascii="Arial" w:cs="Arial" w:eastAsia="Arial" w:hAnsi="Arial"/>
          <w:sz w:val="15"/>
          <w:szCs w:val="15"/>
          <w:u w:val="single" w:color="auto"/>
          <w:color w:val="0000ED"/>
        </w:rPr>
        <w:t>www.sec.gov</w:t>
      </w:r>
      <w:r>
        <w:rPr>
          <w:rFonts w:ascii="Arial" w:cs="Arial" w:eastAsia="Arial" w:hAnsi="Arial"/>
          <w:sz w:val="15"/>
          <w:szCs w:val="15"/>
          <w:color w:val="auto"/>
        </w:rPr>
        <w:t xml:space="preserve">. When available, copies of the final prospectus supplement and the accompanying prospectus relating to the offering may also be obtained by contacting Jefferies LLC by mail at Attention: Equity Syndicate Prospectus Department, 520 Madison Avenue, 2nd Floor, New York, NY, 10022 or by telephone at +1 877-547-6340, or by email at </w:t>
      </w:r>
      <w:r>
        <w:rPr>
          <w:rFonts w:ascii="Arial" w:cs="Arial" w:eastAsia="Arial" w:hAnsi="Arial"/>
          <w:sz w:val="15"/>
          <w:szCs w:val="15"/>
          <w:u w:val="single" w:color="auto"/>
          <w:color w:val="0000FF"/>
        </w:rPr>
        <w:t>Prospectus_Department@Jefferies.com</w:t>
      </w:r>
      <w:r>
        <w:rPr>
          <w:rFonts w:ascii="Arial" w:cs="Arial" w:eastAsia="Arial" w:hAnsi="Arial"/>
          <w:sz w:val="15"/>
          <w:szCs w:val="15"/>
          <w:color w:val="auto"/>
        </w:rPr>
        <w:t xml:space="preserve"> or William Blair &amp; Company, L.L.C., Attention: Prospectus Department, 150 North Riverside Plaza, Chicago, IL 60606 or by email at </w:t>
      </w:r>
      <w:r>
        <w:rPr>
          <w:rFonts w:ascii="Arial" w:cs="Arial" w:eastAsia="Arial" w:hAnsi="Arial"/>
          <w:sz w:val="15"/>
          <w:szCs w:val="15"/>
          <w:u w:val="single" w:color="auto"/>
          <w:color w:val="0000FF"/>
        </w:rPr>
        <w:t>prospectus@williamblair.com</w:t>
      </w:r>
      <w:r>
        <w:rPr>
          <w:rFonts w:ascii="Arial" w:cs="Arial" w:eastAsia="Arial" w:hAnsi="Arial"/>
          <w:sz w:val="15"/>
          <w:szCs w:val="15"/>
          <w:color w:val="auto"/>
        </w:rPr>
        <w:t xml:space="preserve"> or by telephone at +1-800-621-0687.</w:t>
      </w:r>
    </w:p>
    <w:p>
      <w:pPr>
        <w:spacing w:after="0" w:line="9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265430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34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VistaGen Therapeutics, Inc. is a biopharmaceutical company committed to developing and commercializing innovative medicines with potential to go beyond the current standard of care for anxiety, depression and other CNS disorders. Each of VistaGen’s three drug candidates has a differentiated potential mechanism of action, has been well-tolerated in all clinical studies to date and has therapeutic potential in multiple CNS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of the statements made in this press release are forward-looking, such as those, among others, relating to our expectations regarding the completion of the proposed public offering. Actual results or developments may differ materially from those projected or implied in these forward-looking statements. Factors that may cause such a difference include, without limitation, risks and uncertainties related to whether or not we will be able to raise capital through the sale of shares of Common Stock and preferred stock, the final terms of the proposed public offering, market and other conditions, the satisfaction of customary closing conditions related to the proposed public offering and the impact of the COVID-19 pandemic, general economic, industry or political conditions in the United States or internationally. There can be no assurance that we will be able to complete the proposed public offering on the anticipated terms, or at all. We will need to raise additional capital to fund our operations and may be unable to raise capital when needed, which would force us to delay, reduce or eliminate our product development programs or commercialization efforts. You should not place undue reliance on these forward-looking statements, which apply only as of the date of this press release. Other risks and uncertainties include, but are not limited to, issues related to: adverse healthcare reforms and changes of laws and regulations; manufacturing and marketing risks, including risks related to the COVID-19 pandemic, which may include, but are not limited to, unavailability of or delays in delivery of raw materials for manufacture of its CNS drug candidates and difficulty in conducting clinical trials; inadequate and/or untimely supply of one or more of its CNS drug candidates to meet demand; entry of competitive products; and other technical and unexpected hurdles in the development, manufacture and commercialization of its CNS drug candidates, as well as those risks more fully discussed in the section entitled "Risk Factors" in our most recent Annual Report on Form 10-K for the year ended March 31, 2020, and in our most recent Quarterly Report on Form 10-Q for the quarter and six months ended September 30, 2020, as well as discussions of potential risks, uncertainties, and other important factors in our other filings with the SEC. Our SEC filings are available on the SEC’s website at www.sec.gov.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ED"/>
        </w:rPr>
        <w:t>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144145</wp:posOffset>
            </wp:positionV>
            <wp:extent cx="1628775" cy="1054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2877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Source: VistaGen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285115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40"/>
      </w:cols>
      <w:pgMar w:left="500"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Roman"/>
      <w:start w:val="3"/>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1)"/>
      <w:numFmt w:val="lowerLetter"/>
      <w:start w:val="4"/>
    </w:lvl>
  </w:abstractNum>
  <w:abstractNum w:abstractNumId="4">
    <w:nsid w:val="2901D82"/>
    <w:multiLevelType w:val="hybridMultilevel"/>
    <w:lvl w:ilvl="0">
      <w:lvlJc w:val="left"/>
      <w:lvlText w:val="(%1)"/>
      <w:numFmt w:val="lowerLetter"/>
      <w:start w:val="10"/>
    </w:lvl>
  </w:abstractNum>
  <w:abstractNum w:abstractNumId="5">
    <w:nsid w:val="3A95F874"/>
    <w:multiLevelType w:val="hybridMultilevel"/>
    <w:lvl w:ilvl="0">
      <w:lvlJc w:val="left"/>
      <w:lvlText w:val="(%1)"/>
      <w:numFmt w:val="lowerLetter"/>
      <w:start w:val="13"/>
    </w:lvl>
  </w:abstractNum>
  <w:abstractNum w:abstractNumId="6">
    <w:nsid w:val="8138641"/>
    <w:multiLevelType w:val="hybridMultilevel"/>
    <w:lvl w:ilvl="0">
      <w:lvlJc w:val="left"/>
      <w:lvlText w:val="(%1)"/>
      <w:numFmt w:val="lowerLetter"/>
      <w:start w:val="17"/>
    </w:lvl>
  </w:abstractNum>
  <w:abstractNum w:abstractNumId="7">
    <w:nsid w:val="1E7FF521"/>
    <w:multiLevelType w:val="hybridMultilevel"/>
    <w:lvl w:ilvl="0">
      <w:lvlJc w:val="left"/>
      <w:lvlText w:val="(%1)"/>
      <w:numFmt w:val="lowerLetter"/>
      <w:start w:val="20"/>
    </w:lvl>
  </w:abstractNum>
  <w:abstractNum w:abstractNumId="8">
    <w:nsid w:val="7C3DBD3D"/>
    <w:multiLevelType w:val="hybridMultilevel"/>
    <w:lvl w:ilvl="0">
      <w:lvlJc w:val="left"/>
      <w:lvlText w:val="(%1)"/>
      <w:numFmt w:val="lowerLetter"/>
      <w:start w:val="23"/>
    </w:lvl>
  </w:abstractNum>
  <w:abstractNum w:abstractNumId="9">
    <w:nsid w:val="737B8DDC"/>
    <w:multiLevelType w:val="hybridMultilevel"/>
    <w:lvl w:ilvl="0">
      <w:lvlJc w:val="left"/>
      <w:lvlText w:val="(%1)"/>
      <w:numFmt w:val="lowerLetter"/>
      <w:start w:val="27"/>
    </w:lvl>
  </w:abstractNum>
  <w:abstractNum w:abstractNumId="10">
    <w:nsid w:val="6CEAF087"/>
    <w:multiLevelType w:val="hybridMultilevel"/>
    <w:lvl w:ilvl="0">
      <w:lvlJc w:val="left"/>
      <w:lvlText w:val="(%1)"/>
      <w:numFmt w:val="lowerLetter"/>
      <w:start w:val="28"/>
    </w:lvl>
  </w:abstractNum>
  <w:abstractNum w:abstractNumId="11">
    <w:nsid w:val="22221A70"/>
    <w:multiLevelType w:val="hybridMultilevel"/>
    <w:lvl w:ilvl="0">
      <w:lvlJc w:val="left"/>
      <w:lvlText w:val="(%1)"/>
      <w:numFmt w:val="lowerLetter"/>
      <w:start w:val="35"/>
    </w:lvl>
  </w:abstractNum>
  <w:abstractNum w:abstractNumId="12">
    <w:nsid w:val="4516DDE9"/>
    <w:multiLevelType w:val="hybridMultilevel"/>
    <w:lvl w:ilvl="0">
      <w:lvlJc w:val="left"/>
      <w:lvlText w:val="(%1)"/>
      <w:numFmt w:val="lowerLetter"/>
      <w:start w:val="41"/>
    </w:lvl>
  </w:abstractNum>
  <w:abstractNum w:abstractNumId="13">
    <w:nsid w:val="3006C83E"/>
    <w:multiLevelType w:val="hybridMultilevel"/>
    <w:lvl w:ilvl="0">
      <w:lvlJc w:val="left"/>
      <w:lvlText w:val="(%1)"/>
      <w:numFmt w:val="lowerLetter"/>
      <w:start w:val="46"/>
    </w:lvl>
  </w:abstractNum>
  <w:abstractNum w:abstractNumId="14">
    <w:nsid w:val="614FD4A1"/>
    <w:multiLevelType w:val="hybridMultilevel"/>
    <w:lvl w:ilvl="0">
      <w:lvlJc w:val="left"/>
      <w:lvlText w:val="(%1)"/>
      <w:numFmt w:val="lowerLetter"/>
      <w:start w:val="49"/>
    </w:lvl>
  </w:abstractNum>
  <w:abstractNum w:abstractNumId="15">
    <w:nsid w:val="419AC241"/>
    <w:multiLevelType w:val="hybridMultilevel"/>
    <w:lvl w:ilvl="0">
      <w:lvlJc w:val="left"/>
      <w:lvlText w:val="(%1)"/>
      <w:numFmt w:val="lowerLetter"/>
      <w:start w:val="1"/>
    </w:lvl>
    <w:lvl w:ilvl="1">
      <w:lvlJc w:val="left"/>
      <w:lvlText w:val="(%2)"/>
      <w:numFmt w:val="lowerLetter"/>
      <w:start w:val="9"/>
    </w:lvl>
  </w:abstractNum>
  <w:abstractNum w:abstractNumId="16">
    <w:nsid w:val="5577F8E1"/>
    <w:multiLevelType w:val="hybridMultilevel"/>
    <w:lvl w:ilvl="0">
      <w:lvlJc w:val="left"/>
      <w:lvlText w:val="(%1)"/>
      <w:numFmt w:val="lowerLetter"/>
      <w:start w:val="5"/>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lowerLetter"/>
      <w:start w:val="4"/>
    </w:lvl>
  </w:abstractNum>
  <w:abstractNum w:abstractNumId="19">
    <w:nsid w:val="3804823E"/>
    <w:multiLevelType w:val="hybridMultilevel"/>
    <w:lvl w:ilvl="0">
      <w:lvlJc w:val="left"/>
      <w:lvlText w:val="(%1)"/>
      <w:numFmt w:val="lowerLetter"/>
      <w:start w:val="8"/>
    </w:lvl>
  </w:abstractNum>
  <w:abstractNum w:abstractNumId="20">
    <w:nsid w:val="77465F01"/>
    <w:multiLevelType w:val="hybridMultilevel"/>
    <w:lvl w:ilvl="0">
      <w:lvlJc w:val="left"/>
      <w:lvlText w:val="(%1)"/>
      <w:numFmt w:val="lowerLetter"/>
      <w:start w:val="15"/>
    </w:lvl>
  </w:abstractNum>
  <w:abstractNum w:abstractNumId="21">
    <w:nsid w:val="7724C67E"/>
    <w:multiLevelType w:val="hybridMultilevel"/>
    <w:lvl w:ilvl="0">
      <w:lvlJc w:val="left"/>
      <w:lvlText w:val="(%1)"/>
      <w:numFmt w:val="lowerLetter"/>
      <w:start w:val="18"/>
    </w:lvl>
  </w:abstractNum>
  <w:abstractNum w:abstractNumId="22">
    <w:nsid w:val="5C482A97"/>
    <w:multiLevelType w:val="hybridMultilevel"/>
    <w:lvl w:ilvl="0">
      <w:lvlJc w:val="left"/>
      <w:lvlText w:val="(%1)"/>
      <w:numFmt w:val="lowerRoman"/>
      <w:start w:val="6"/>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lowerLetter"/>
      <w:start w:val="2"/>
    </w:lvl>
    <w:lvl w:ilvl="1">
      <w:lvlJc w:val="left"/>
      <w:lvlText w:val="(%2)"/>
      <w:numFmt w:val="lowerRoman"/>
      <w:start w:val="1"/>
    </w:lvl>
  </w:abstractNum>
  <w:abstractNum w:abstractNumId="25">
    <w:nsid w:val="51EAD36B"/>
    <w:multiLevelType w:val="hybridMultilevel"/>
    <w:lvl w:ilvl="0">
      <w:lvlJc w:val="left"/>
      <w:lvlText w:val="(%1)"/>
      <w:numFmt w:val="lowerRoman"/>
      <w:start w:val="1"/>
    </w:lvl>
    <w:lvl w:ilvl="1">
      <w:lvlJc w:val="left"/>
      <w:lvlText w:val="(%2)"/>
      <w:numFmt w:val="lowerRoman"/>
      <w:start w:val="1"/>
    </w:lvl>
  </w:abstractNum>
  <w:abstractNum w:abstractNumId="26">
    <w:nsid w:val="2D517796"/>
    <w:multiLevelType w:val="hybridMultilevel"/>
    <w:lvl w:ilvl="0">
      <w:lvlJc w:val="left"/>
      <w:lvlText w:val="(%1)"/>
      <w:numFmt w:val="lowerLetter"/>
      <w:start w:val="10"/>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1)"/>
      <w:numFmt w:val="lowerLetter"/>
      <w:start w:val="3"/>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lvl w:ilvl="1">
      <w:lvlJc w:val="left"/>
      <w:lvlText w:val="(%2)"/>
      <w:numFmt w:val="lowerLetter"/>
      <w:start w:val="1"/>
    </w:lvl>
  </w:abstractNum>
  <w:abstractNum w:abstractNumId="35">
    <w:nsid w:val="2CD89A3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
    <w:nsid w:val="57E4CC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7">
    <w:nsid w:val="7A6D8D3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8">
    <w:nsid w:val="4B588F5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9">
    <w:nsid w:val="542289EC"/>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40">
    <w:nsid w:val="6DE91B18"/>
    <w:multiLevelType w:val="hybridMultilevel"/>
    <w:lvl w:ilvl="0">
      <w:lvlJc w:val="left"/>
      <w:lvlText w:val="%1"/>
      <w:numFmt w:val="lowerLetter"/>
      <w:start w:val="1"/>
    </w:lvl>
    <w:lvl w:ilvl="1">
      <w:lvlJc w:val="left"/>
      <w:lvlText w:val="(%2)"/>
      <w:numFmt w:val="lowerRoman"/>
      <w:start w:val="5"/>
    </w:lvl>
  </w:abstractNum>
  <w:abstractNum w:abstractNumId="41">
    <w:nsid w:val="38437FDB"/>
    <w:multiLevelType w:val="hybridMultilevel"/>
    <w:lvl w:ilvl="0">
      <w:lvlJc w:val="left"/>
      <w:lvlText w:val="(%1)"/>
      <w:numFmt w:val="lowerLetter"/>
      <w:start w:val="6"/>
    </w:lvl>
    <w:lvl w:ilvl="1">
      <w:lvlJc w:val="left"/>
      <w:lvlText w:val="%2"/>
      <w:numFmt w:val="lowerRoman"/>
      <w:start w:val="1"/>
    </w:lvl>
  </w:abstractNum>
  <w:abstractNum w:abstractNumId="42">
    <w:nsid w:val="7644A45C"/>
    <w:multiLevelType w:val="hybridMultilevel"/>
    <w:lvl w:ilvl="0">
      <w:lvlJc w:val="left"/>
      <w:lvlText w:val="(%1)"/>
      <w:numFmt w:val="lowerLetter"/>
      <w:start w:val="9"/>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lvl w:ilvl="1">
      <w:lvlJc w:val="left"/>
      <w:lvlText w:val="(%2)"/>
      <w:numFmt w:val="lowerLetter"/>
      <w:start w:val="13"/>
    </w:lvl>
  </w:abstractNum>
  <w:abstractNum w:abstractNumId="45">
    <w:nsid w:val="579478FE"/>
    <w:multiLevelType w:val="hybridMultilevel"/>
    <w:lvl w:ilvl="0">
      <w:lvlJc w:val="left"/>
      <w:lvlText w:val="%1."/>
      <w:numFmt w:val="decimal"/>
      <w:start w:val="6"/>
    </w:lvl>
    <w:lvl w:ilvl="1">
      <w:lvlJc w:val="left"/>
      <w:lvlText w:val="%2"/>
      <w:numFmt w:val="lowerLetter"/>
      <w:start w:val="1"/>
    </w:lvl>
  </w:abstractNum>
  <w:abstractNum w:abstractNumId="46">
    <w:nsid w:val="749ABB43"/>
    <w:multiLevelType w:val="hybridMultilevel"/>
    <w:lvl w:ilvl="0">
      <w:lvlJc w:val="left"/>
      <w:lvlText w:val="%1."/>
      <w:numFmt w:val="decimal"/>
      <w:start w:val="8"/>
    </w:lvl>
    <w:lvl w:ilvl="1">
      <w:lvlJc w:val="left"/>
      <w:lvlText w:val="(%2)"/>
      <w:numFmt w:val="lowerLetter"/>
      <w:start w:val="1"/>
    </w:lvl>
  </w:abstractNum>
  <w:abstractNum w:abstractNumId="47">
    <w:nsid w:val="3DC240FB"/>
    <w:multiLevelType w:val="hybridMultilevel"/>
    <w:lvl w:ilvl="0">
      <w:lvlJc w:val="left"/>
      <w:lvlText w:val="%1"/>
      <w:numFmt w:val="decimal"/>
      <w:start w:val="1"/>
    </w:lvl>
    <w:lvl w:ilvl="1">
      <w:lvlJc w:val="left"/>
      <w:lvlText w:val="(%2)"/>
      <w:numFmt w:val="lowerLetter"/>
      <w:start w:val="2"/>
    </w:lvl>
  </w:abstractNum>
  <w:abstractNum w:abstractNumId="48">
    <w:nsid w:val="1BA026FA"/>
    <w:multiLevelType w:val="hybridMultilevel"/>
    <w:lvl w:ilvl="0">
      <w:lvlJc w:val="left"/>
      <w:lvlText w:val="%1."/>
      <w:numFmt w:val="decimal"/>
      <w:start w:val="9"/>
    </w:lvl>
    <w:lvl w:ilvl="1">
      <w:lvlJc w:val="left"/>
      <w:lvlText w:val="%2"/>
      <w:numFmt w:val="lowerLetter"/>
      <w:start w:val="1"/>
    </w:lvl>
  </w:abstractNum>
  <w:abstractNum w:abstractNumId="49">
    <w:nsid w:val="79A1DEAA"/>
    <w:multiLevelType w:val="hybridMultilevel"/>
    <w:lvl w:ilvl="0">
      <w:lvlJc w:val="left"/>
      <w:lvlText w:val="%1."/>
      <w:numFmt w:val="decimal"/>
      <w:start w:val="12"/>
    </w:lvl>
  </w:abstractNum>
  <w:abstractNum w:abstractNumId="50">
    <w:nsid w:val="75C6C33A"/>
    <w:multiLevelType w:val="hybridMultilevel"/>
    <w:lvl w:ilvl="0">
      <w:lvlJc w:val="left"/>
      <w:lvlText w:val="(%1)"/>
      <w:numFmt w:val="lowerRoman"/>
      <w:start w:val="1"/>
    </w:lvl>
  </w:abstractNum>
  <w:abstractNum w:abstractNumId="51">
    <w:nsid w:val="12E685FB"/>
    <w:multiLevelType w:val="hybridMultilevel"/>
    <w:lvl w:ilvl="0">
      <w:lvlJc w:val="left"/>
      <w:lvlText w:val="(%1)"/>
      <w:numFmt w:val="lowerRoman"/>
      <w:start w:val="4"/>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2020-12-22T15:19:16Z</dcterms:created>
  <dcterms:modified xsi:type="dcterms:W3CDTF">2020-12-22T15:19:16Z</dcterms:modified>
</cp:coreProperties>
</file>