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16, 2022</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607"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ind w:left="2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20" w:space="720"/>
            <w:col w:w="3180" w:space="720"/>
            <w:col w:w="2700"/>
          </w:cols>
          <w:pgMar w:left="320" w:top="607"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7"/>
          <w:szCs w:val="17"/>
          <w:i w:val="1"/>
          <w:iCs w:val="1"/>
          <w:color w:val="auto"/>
        </w:rPr>
        <w:t>(Registrant</w:t>
      </w:r>
      <w:r>
        <w:rPr>
          <w:rFonts w:ascii="Arial" w:cs="Arial" w:eastAsia="Arial" w:hAnsi="Arial"/>
          <w:sz w:val="17"/>
          <w:szCs w:val="17"/>
          <w:color w:val="auto"/>
        </w:rPr>
        <w:t>’</w:t>
      </w:r>
      <w:r>
        <w:rPr>
          <w:rFonts w:ascii="Arial" w:cs="Arial" w:eastAsia="Arial" w:hAnsi="Arial"/>
          <w:sz w:val="17"/>
          <w:szCs w:val="17"/>
          <w:i w:val="1"/>
          <w:iCs w:val="1"/>
          <w:color w:val="auto"/>
        </w:rPr>
        <w:t>s telephone number, including area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607"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260" w:type="dxa"/>
            <w:vAlign w:val="bottom"/>
          </w:tcPr>
          <w:p>
            <w:pPr>
              <w:jc w:val="center"/>
              <w:ind w:right="170"/>
              <w:spacing w:after="0"/>
              <w:rPr>
                <w:sz w:val="20"/>
                <w:szCs w:val="20"/>
                <w:color w:val="auto"/>
              </w:rPr>
            </w:pPr>
            <w:r>
              <w:rPr>
                <w:rFonts w:ascii="Arial" w:cs="Arial" w:eastAsia="Arial" w:hAnsi="Arial"/>
                <w:sz w:val="18"/>
                <w:szCs w:val="18"/>
                <w:color w:val="auto"/>
                <w:w w:val="89"/>
              </w:rPr>
              <w:t>Common Stock, par value $0.001 per share</w:t>
            </w:r>
          </w:p>
        </w:tc>
        <w:tc>
          <w:tcPr>
            <w:tcW w:w="2140" w:type="dxa"/>
            <w:vAlign w:val="bottom"/>
          </w:tcPr>
          <w:p>
            <w:pPr>
              <w:jc w:val="center"/>
              <w:ind w:right="470"/>
              <w:spacing w:after="0"/>
              <w:rPr>
                <w:sz w:val="20"/>
                <w:szCs w:val="20"/>
                <w:color w:val="auto"/>
              </w:rPr>
            </w:pPr>
            <w:r>
              <w:rPr>
                <w:rFonts w:ascii="Arial" w:cs="Arial" w:eastAsia="Arial" w:hAnsi="Arial"/>
                <w:sz w:val="18"/>
                <w:szCs w:val="18"/>
                <w:color w:val="auto"/>
                <w:w w:val="99"/>
              </w:rPr>
              <w:t>VTGN</w:t>
            </w:r>
          </w:p>
        </w:tc>
        <w:tc>
          <w:tcPr>
            <w:tcW w:w="4840" w:type="dxa"/>
            <w:vAlign w:val="bottom"/>
          </w:tcPr>
          <w:p>
            <w:pPr>
              <w:jc w:val="center"/>
              <w:ind w:right="19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Item 8.01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November 17, 2022,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announcing the publication of positive results from a preclinical study of the effects of AV-101, its oral NMDA receptor glycine site antagonist, in a widely used MPTP non-human primate model for reproducing motor complications of Parkinson's disease (“</w:t>
      </w:r>
      <w:r>
        <w:rPr>
          <w:rFonts w:ascii="Arial" w:cs="Arial" w:eastAsia="Arial" w:hAnsi="Arial"/>
          <w:sz w:val="18"/>
          <w:szCs w:val="18"/>
          <w:i w:val="1"/>
          <w:iCs w:val="1"/>
          <w:color w:val="auto"/>
        </w:rPr>
        <w:t>PD</w:t>
      </w:r>
      <w:r>
        <w:rPr>
          <w:rFonts w:ascii="Arial" w:cs="Arial" w:eastAsia="Arial" w:hAnsi="Arial"/>
          <w:sz w:val="18"/>
          <w:szCs w:val="18"/>
          <w:color w:val="auto"/>
        </w:rPr>
        <w:t>”), including dyskinesia (sudden uncontrolled movements) observed in PD patients treated with levodopa (“</w:t>
      </w:r>
      <w:r>
        <w:rPr>
          <w:rFonts w:ascii="Arial" w:cs="Arial" w:eastAsia="Arial" w:hAnsi="Arial"/>
          <w:sz w:val="18"/>
          <w:szCs w:val="18"/>
          <w:i w:val="1"/>
          <w:iCs w:val="1"/>
          <w:color w:val="auto"/>
        </w:rPr>
        <w:t>L-Dopa</w:t>
      </w:r>
      <w:r>
        <w:rPr>
          <w:rFonts w:ascii="Arial" w:cs="Arial" w:eastAsia="Arial" w:hAnsi="Arial"/>
          <w:sz w:val="18"/>
          <w:szCs w:val="18"/>
          <w:color w:val="auto"/>
        </w:rPr>
        <w:t xml:space="preserve">”). Findings from the preclinical study were published in the international, peer-reviewed journal, </w:t>
      </w:r>
      <w:r>
        <w:rPr>
          <w:rFonts w:ascii="Arial" w:cs="Arial" w:eastAsia="Arial" w:hAnsi="Arial"/>
          <w:sz w:val="18"/>
          <w:szCs w:val="18"/>
          <w:i w:val="1"/>
          <w:iCs w:val="1"/>
          <w:color w:val="auto"/>
        </w:rPr>
        <w:t>Cells</w:t>
      </w:r>
      <w:r>
        <w:rPr>
          <w:rFonts w:ascii="Arial" w:cs="Arial" w:eastAsia="Arial" w:hAnsi="Arial"/>
          <w:sz w:val="18"/>
          <w:szCs w:val="18"/>
          <w:color w:val="auto"/>
        </w:rPr>
        <w:t>. In the preclinical study, AV-101 reduced L-Dopa-induced dyskinesias by about 25% while maintaining the antiparkinsonian response to L-Dopa. A copy of the press release is attached to this Current Report on Form 8-K as Exhibit 99.1.</w:t>
      </w:r>
    </w:p>
    <w:p>
      <w:pPr>
        <w:spacing w:after="0" w:line="19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November 16, 2022, Dr. Mark A. Smith notified the Company of his intention to depart from the Company as Chief Medical Officer, effective December 1, 2022. Following his departure, Dr. Smith will serve as a member of the Company’s Clinical and Regulatory Advisory Board and provide consulting services to the Company regarding the development of its product candidates, including, but not limited to, PH94B, PH10 and AV-101.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320" w:type="dxa"/>
            <w:vAlign w:val="bottom"/>
            <w:tcBorders>
              <w:bottom w:val="single" w:sz="8" w:color="0000EE"/>
            </w:tcBorders>
          </w:tcPr>
          <w:p>
            <w:pPr>
              <w:jc w:val="cente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Pr>
          <w:p>
            <w:pPr>
              <w:spacing w:after="0" w:line="169" w:lineRule="exact"/>
              <w:rPr>
                <w:sz w:val="20"/>
                <w:szCs w:val="20"/>
                <w:color w:val="auto"/>
              </w:rPr>
            </w:pPr>
            <w:r>
              <w:rPr>
                <w:rFonts w:ascii="Arial" w:cs="Arial" w:eastAsia="Arial" w:hAnsi="Arial"/>
                <w:sz w:val="18"/>
                <w:szCs w:val="18"/>
                <w:color w:val="auto"/>
              </w:rPr>
              <w:t>Press Release issued by Vistagen Therapeutics, Inc., dated November 17, 2022.</w:t>
            </w:r>
          </w:p>
        </w:tc>
      </w:tr>
      <w:tr>
        <w:trPr>
          <w:trHeight w:val="237"/>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6900" w:type="dxa"/>
            <w:vAlign w:val="bottom"/>
            <w:gridSpan w:val="2"/>
          </w:tcPr>
          <w:p>
            <w:pPr>
              <w:ind w:left="2420"/>
              <w:spacing w:after="0"/>
              <w:rPr>
                <w:sz w:val="20"/>
                <w:szCs w:val="20"/>
                <w:color w:val="auto"/>
              </w:rPr>
            </w:pPr>
            <w:r>
              <w:rPr>
                <w:rFonts w:ascii="Arial" w:cs="Arial" w:eastAsia="Arial" w:hAnsi="Arial"/>
                <w:sz w:val="18"/>
                <w:szCs w:val="18"/>
                <w:color w:val="auto"/>
              </w:rPr>
              <w:t>Vistagen Therapeutics, Inc.</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Date: November 21, 2022</w:t>
            </w:r>
          </w:p>
        </w:tc>
        <w:tc>
          <w:tcPr>
            <w:tcW w:w="2980" w:type="dxa"/>
            <w:vAlign w:val="bottom"/>
          </w:tcPr>
          <w:p>
            <w:pPr>
              <w:ind w:left="24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r>
      <w:tr>
        <w:trPr>
          <w:trHeight w:val="195"/>
        </w:trPr>
        <w:tc>
          <w:tcPr>
            <w:tcW w:w="42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4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12268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 xml:space="preserve">Vistagen Announces Publication in </w:t>
      </w:r>
      <w:r>
        <w:rPr>
          <w:rFonts w:ascii="Arial" w:cs="Arial" w:eastAsia="Arial" w:hAnsi="Arial"/>
          <w:sz w:val="25"/>
          <w:szCs w:val="25"/>
          <w:b w:val="1"/>
          <w:bCs w:val="1"/>
          <w:i w:val="1"/>
          <w:iCs w:val="1"/>
          <w:color w:val="auto"/>
        </w:rPr>
        <w:t>Cells</w:t>
      </w:r>
      <w:r>
        <w:rPr>
          <w:rFonts w:ascii="Arial" w:cs="Arial" w:eastAsia="Arial" w:hAnsi="Arial"/>
          <w:sz w:val="25"/>
          <w:szCs w:val="25"/>
          <w:b w:val="1"/>
          <w:bCs w:val="1"/>
          <w:color w:val="auto"/>
        </w:rPr>
        <w:t xml:space="preserve"> Demonstrating AV-101</w:t>
      </w:r>
      <w:r>
        <w:rPr>
          <w:rFonts w:ascii="Arial" w:cs="Arial" w:eastAsia="Arial" w:hAnsi="Arial"/>
          <w:sz w:val="25"/>
          <w:szCs w:val="25"/>
          <w:color w:val="auto"/>
        </w:rPr>
        <w:t>’</w:t>
      </w:r>
      <w:r>
        <w:rPr>
          <w:rFonts w:ascii="Arial" w:cs="Arial" w:eastAsia="Arial" w:hAnsi="Arial"/>
          <w:sz w:val="25"/>
          <w:szCs w:val="25"/>
          <w:b w:val="1"/>
          <w:bCs w:val="1"/>
          <w:color w:val="auto"/>
        </w:rPr>
        <w:t>s Potential for Treating Levodopa-Induced Dyskinesia in Patients with Parkinson's Disease</w:t>
      </w:r>
    </w:p>
    <w:p>
      <w:pPr>
        <w:spacing w:after="0" w:line="13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i w:val="1"/>
          <w:iCs w:val="1"/>
          <w:color w:val="auto"/>
        </w:rPr>
        <w:t>Preclinical data in "gold standard" MPTP non-human primate model of Parkinson's disease show significant reduction of levodopa-induced dyskinesia by AV-101, while maintaining antiparkinsonian activity of levodopa</w:t>
      </w:r>
    </w:p>
    <w:p>
      <w:pPr>
        <w:spacing w:after="0" w:line="3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SOUTH SAN FRANCISCO, Calif. </w:t>
      </w:r>
      <w:r>
        <w:rPr>
          <w:rFonts w:ascii="Arial" w:cs="Arial" w:eastAsia="Arial" w:hAnsi="Arial"/>
          <w:sz w:val="18"/>
          <w:szCs w:val="18"/>
          <w:color w:val="auto"/>
        </w:rPr>
        <w:t>–</w:t>
      </w:r>
      <w:r>
        <w:rPr>
          <w:rFonts w:ascii="Arial" w:cs="Arial" w:eastAsia="Arial" w:hAnsi="Arial"/>
          <w:sz w:val="18"/>
          <w:szCs w:val="18"/>
          <w:b w:val="1"/>
          <w:bCs w:val="1"/>
          <w:color w:val="auto"/>
        </w:rPr>
        <w:t xml:space="preserve"> November 17, 2022 </w:t>
      </w:r>
      <w:r>
        <w:rPr>
          <w:rFonts w:ascii="Arial" w:cs="Arial" w:eastAsia="Arial" w:hAnsi="Arial"/>
          <w:sz w:val="18"/>
          <w:szCs w:val="18"/>
          <w:color w:val="auto"/>
        </w:rPr>
        <w:t>–Vistagen (NASDAQ: VTGN) a late clinical-stage biopharmaceutical company aiming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transform the treatment landscape for individuals living with anxiety, depression and other central nervous system (CNS) disorders, today announced the publication of positive results from a preclinical study of the effects of AV-101, its oral NMDA receptor glycine site antagonist, in a widely used MPTP non-human primate model for reproducing motor complications of Parkinson's disease (PD), including dyskinesia (sudden uncontrolled movements) observed in PD patients treated with levodopa (L-Dopa). Findings from the preclinical study were published in the international, peer-reviewed journal, </w:t>
      </w:r>
      <w:r>
        <w:rPr>
          <w:rFonts w:ascii="Arial" w:cs="Arial" w:eastAsia="Arial" w:hAnsi="Arial"/>
          <w:sz w:val="18"/>
          <w:szCs w:val="18"/>
          <w:i w:val="1"/>
          <w:iCs w:val="1"/>
          <w:color w:val="auto"/>
        </w:rPr>
        <w:t>Cells</w:t>
      </w:r>
      <w:r>
        <w:rPr>
          <w:rFonts w:ascii="Arial" w:cs="Arial" w:eastAsia="Arial" w:hAnsi="Arial"/>
          <w:sz w:val="18"/>
          <w:szCs w:val="18"/>
          <w:color w:val="auto"/>
        </w:rPr>
        <w:t>. In the preclinical study, AV-101 reduced L-Dopa-induced dyskinesias (LID) by about 25% while maintaining the antiparkinsonian response to L-Dopa.</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L-Dopa remains the most effective pharmacotherapy for Parkinson’s disease, the occurrence of LID is difficult to manage and drastically interferes with Parkinson’s patients’ quality of life. This preclinical study showed that AV-101 reduced LID with no adverse effects of treatment,” stated Shawn Singh, Chief Executive Officer of Vistagen. “Dr. Di Paolo has been at the forefront of research in neuropharmacology and treatments for Parkinson’s disease for decades. Her preclinical data from this study are compelling and highlight AV-101’s potential to improve the treatment paradigm for LID associated with Parkinson’s therapy by reducing LID while still maintaining the antiparkinsonian activity of L-Dopa.”</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MPTP primate model used in this study is the "gold standard" for animal modeling of PD and has been used extensively to study both antiparkinsonian therapies and LID. MPTP is a neurotoxin that kills dopaminergic neurons in the striatum, producing motor symptoms similar to those of PD. In this study, AV-101's efficacy against LID was measured through behavioral scores on a dyskinesia scale, and a Parkinsonian disability scale was used to measure levodopa antiparkinsonian efficacy. This study demonstrated that AV-101 significantly (p = 0.01) reduced LID without affecting the timing, extent, or duration of the therapeutic benefits of levodopa. No adverse events attributable to the drug were observed during the study. This preclinical study was conducted by Dr. Thérèse Di Paolo, Emeritus Professor in the Faculty of Pharmacy at Laval University and among the world's leading researchers focused on Parkinson's disease and LID, pursuant to Vistagen's research agreement with CHU de Québec – Université Laval Research Center in Québec, Canada.</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article is entitled “</w:t>
      </w:r>
      <w:r>
        <w:rPr>
          <w:rFonts w:ascii="Arial" w:cs="Arial" w:eastAsia="Arial" w:hAnsi="Arial"/>
          <w:sz w:val="18"/>
          <w:szCs w:val="18"/>
          <w:i w:val="1"/>
          <w:iCs w:val="1"/>
          <w:color w:val="auto"/>
        </w:rPr>
        <w:t>AV-101, a Pro-Drug Antagonist at the NMDA Receptor Glycine Site, Reduces L-Dopa Induced Dyskinesias in MPTP Monkeys</w:t>
      </w:r>
      <w:r>
        <w:rPr>
          <w:rFonts w:ascii="Arial" w:cs="Arial" w:eastAsia="Arial" w:hAnsi="Arial"/>
          <w:sz w:val="18"/>
          <w:szCs w:val="18"/>
          <w:color w:val="auto"/>
        </w:rPr>
        <w:t xml:space="preserve">,” and is available online at: </w:t>
      </w:r>
      <w:r>
        <w:rPr>
          <w:rFonts w:ascii="Arial" w:cs="Arial" w:eastAsia="Arial" w:hAnsi="Arial"/>
          <w:sz w:val="18"/>
          <w:szCs w:val="18"/>
          <w:u w:val="single" w:color="auto"/>
          <w:color w:val="auto"/>
        </w:rPr>
        <w:t>https://doi.org/10.3390/cells11223530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Patent and Trademark Office (USPTO) has issued US Patent No. 10,632,091 related to therapeutic use of AV-101 for treatment of dyskinesia induced by the administration of L-Dopa. The patent will be in effect until at least 2034.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AV-101 (4-chlorokynurenine) is an oral prodrug of 7-chloro-kynurenic acid (7-Cl-KYNA), which is a potent and selective full antagonist of the glycine co-agonist site of the NMDA receptor (NMDAR) that inhibits certain functions of the NMDAR. Unlike ketamine and many other NMDAR antagonists, 7-Cl-KYNA is not an ion channel blocker. At doses administered in studies completed to date, AV-101 has been observed to be well tolerated and has not exhibited dissociative or hallucinogenic psychological side effects or safety concerns, unlike other modulators of the NMDAR. Based on observations and findings from preclinical studies, Vistagen believes that AV-101, alone or in combination with FDA-approved oral probenecid, has the potential to become a new oral treatment alternative for certain CNS disorders involving the NMDAR. Vistagen is presently conducting an exploratory Phase 1B drug-drug interaction clinical study of AV-101 in combination with probenecid. The FDA has granted Fast Track designation for development of AV-101 as a potential adjunctive treatment for MDD and as a non-opioid treatment for neuropathic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Vistagen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Vistagen (Nasdaq: VTGN) is a late clinical-stage CNS-focused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PH94B and PH10 belong to a new class of drugs known as pherines, which are odorless and tasteless investigational neuroactive steroids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project,</w:t>
      </w:r>
      <w:r>
        <w:rPr>
          <w:rFonts w:ascii="Arial" w:cs="Arial" w:eastAsia="Arial" w:hAnsi="Arial"/>
          <w:sz w:val="17"/>
          <w:szCs w:val="17"/>
          <w:color w:val="auto"/>
        </w:rPr>
        <w:t>” “</w:t>
      </w:r>
      <w:r>
        <w:rPr>
          <w:rFonts w:ascii="Arial" w:cs="Arial" w:eastAsia="Arial" w:hAnsi="Arial"/>
          <w:sz w:val="17"/>
          <w:szCs w:val="17"/>
          <w:i w:val="1"/>
          <w:iCs w:val="1"/>
          <w:color w:val="auto"/>
        </w:rPr>
        <w:t>outlook,</w:t>
      </w:r>
      <w:r>
        <w:rPr>
          <w:rFonts w:ascii="Arial" w:cs="Arial" w:eastAsia="Arial" w:hAnsi="Arial"/>
          <w:sz w:val="17"/>
          <w:szCs w:val="17"/>
          <w:color w:val="auto"/>
        </w:rPr>
        <w:t>” “</w:t>
      </w:r>
      <w:r>
        <w:rPr>
          <w:rFonts w:ascii="Arial" w:cs="Arial" w:eastAsia="Arial" w:hAnsi="Arial"/>
          <w:sz w:val="17"/>
          <w:szCs w:val="17"/>
          <w:i w:val="1"/>
          <w:iCs w:val="1"/>
          <w:color w:val="auto"/>
        </w:rPr>
        <w:t>strategy,</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strive,</w:t>
      </w:r>
      <w:r>
        <w:rPr>
          <w:rFonts w:ascii="Arial" w:cs="Arial" w:eastAsia="Arial" w:hAnsi="Arial"/>
          <w:sz w:val="17"/>
          <w:szCs w:val="17"/>
          <w:color w:val="auto"/>
        </w:rPr>
        <w:t>” “</w:t>
      </w:r>
      <w:r>
        <w:rPr>
          <w:rFonts w:ascii="Arial" w:cs="Arial" w:eastAsia="Arial" w:hAnsi="Arial"/>
          <w:sz w:val="17"/>
          <w:szCs w:val="17"/>
          <w:i w:val="1"/>
          <w:iCs w:val="1"/>
          <w:color w:val="auto"/>
        </w:rPr>
        <w:t>goal,</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likely,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xml:space="preserve">” </w:t>
      </w:r>
      <w:r>
        <w:rPr>
          <w:rFonts w:ascii="Arial" w:cs="Arial" w:eastAsia="Arial" w:hAnsi="Arial"/>
          <w:sz w:val="17"/>
          <w:szCs w:val="17"/>
          <w:i w:val="1"/>
          <w:iCs w:val="1"/>
          <w:color w:val="auto"/>
        </w:rPr>
        <w:t>and variations of these terms and similar expressions, or the</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Arial" w:cs="Arial" w:eastAsia="Arial" w:hAnsi="Arial"/>
          <w:sz w:val="17"/>
          <w:szCs w:val="17"/>
          <w:color w:val="auto"/>
        </w:rPr>
        <w:t>’</w:t>
      </w:r>
      <w:r>
        <w:rPr>
          <w:rFonts w:ascii="Arial" w:cs="Arial" w:eastAsia="Arial" w:hAnsi="Arial"/>
          <w:sz w:val="17"/>
          <w:szCs w:val="17"/>
          <w:i w:val="1"/>
          <w:iCs w:val="1"/>
          <w:color w:val="auto"/>
        </w:rPr>
        <w:t>s drug candidates will successfully complete ongoing or future clinical trials, receive regulatory approval or be commercially successful. Other factors that may cause such a difference include, without limitation, risks and uncertainties relating to development of AV-101 and the Company</w:t>
      </w:r>
      <w:r>
        <w:rPr>
          <w:rFonts w:ascii="Arial" w:cs="Arial" w:eastAsia="Arial" w:hAnsi="Arial"/>
          <w:sz w:val="17"/>
          <w:szCs w:val="17"/>
          <w:color w:val="auto"/>
        </w:rPr>
        <w:t>’</w:t>
      </w:r>
      <w:r>
        <w:rPr>
          <w:rFonts w:ascii="Arial" w:cs="Arial" w:eastAsia="Arial" w:hAnsi="Arial"/>
          <w:sz w:val="17"/>
          <w:szCs w:val="17"/>
          <w:i w:val="1"/>
          <w:iCs w:val="1"/>
          <w:color w:val="auto"/>
        </w:rPr>
        <w:t>s other product candidates, PH94B and PH10; delays in launching, conducting and/or completing other ongoing and planned clinical trials; fluctuating costs of materials and other resources required to conduct the Company</w:t>
      </w:r>
      <w:r>
        <w:rPr>
          <w:rFonts w:ascii="Arial" w:cs="Arial" w:eastAsia="Arial" w:hAnsi="Arial"/>
          <w:sz w:val="17"/>
          <w:szCs w:val="17"/>
          <w:color w:val="auto"/>
        </w:rPr>
        <w:t>’</w:t>
      </w:r>
      <w:r>
        <w:rPr>
          <w:rFonts w:ascii="Arial" w:cs="Arial" w:eastAsia="Arial" w:hAnsi="Arial"/>
          <w:sz w:val="17"/>
          <w:szCs w:val="17"/>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7"/>
          <w:szCs w:val="17"/>
          <w:color w:val="auto"/>
        </w:rPr>
        <w:t>’</w:t>
      </w:r>
      <w:r>
        <w:rPr>
          <w:rFonts w:ascii="Arial" w:cs="Arial" w:eastAsia="Arial" w:hAnsi="Arial"/>
          <w:sz w:val="17"/>
          <w:szCs w:val="17"/>
          <w:i w:val="1"/>
          <w:iCs w:val="1"/>
          <w:color w:val="auto"/>
        </w:rPr>
        <w:t>s CNS drug candidates. These risks are more fully discussed in the section entitled "Risk Factors" in the Company</w:t>
      </w:r>
      <w:r>
        <w:rPr>
          <w:rFonts w:ascii="Arial" w:cs="Arial" w:eastAsia="Arial" w:hAnsi="Arial"/>
          <w:sz w:val="17"/>
          <w:szCs w:val="17"/>
          <w:color w:val="auto"/>
        </w:rPr>
        <w:t>’</w:t>
      </w:r>
      <w:r>
        <w:rPr>
          <w:rFonts w:ascii="Arial" w:cs="Arial" w:eastAsia="Arial" w:hAnsi="Arial"/>
          <w:sz w:val="17"/>
          <w:szCs w:val="17"/>
          <w:i w:val="1"/>
          <w:iCs w:val="1"/>
          <w:color w:val="auto"/>
        </w:rPr>
        <w:t>s most recent Annual Report on Form 10-K for the fiscal year ended March 31, 2022 and in the Company</w:t>
      </w:r>
      <w:r>
        <w:rPr>
          <w:rFonts w:ascii="Arial" w:cs="Arial" w:eastAsia="Arial" w:hAnsi="Arial"/>
          <w:sz w:val="17"/>
          <w:szCs w:val="17"/>
          <w:color w:val="auto"/>
        </w:rPr>
        <w:t>’</w:t>
      </w:r>
      <w:r>
        <w:rPr>
          <w:rFonts w:ascii="Arial" w:cs="Arial" w:eastAsia="Arial" w:hAnsi="Arial"/>
          <w:sz w:val="17"/>
          <w:szCs w:val="17"/>
          <w:i w:val="1"/>
          <w:iCs w:val="1"/>
          <w:color w:val="auto"/>
        </w:rPr>
        <w:t>s most recent Quarterly Report on Form 10-Q for the quarter ended September 30, 2022, as well as discussions of potential risks, uncertainties, and other important factors in our other filings with the U.S. Securities and Exchange Commission (SEC). The Company</w:t>
      </w:r>
      <w:r>
        <w:rPr>
          <w:rFonts w:ascii="Arial" w:cs="Arial" w:eastAsia="Arial" w:hAnsi="Arial"/>
          <w:sz w:val="17"/>
          <w:szCs w:val="17"/>
          <w:color w:val="auto"/>
        </w:rPr>
        <w:t>’</w:t>
      </w:r>
      <w:r>
        <w:rPr>
          <w:rFonts w:ascii="Arial" w:cs="Arial" w:eastAsia="Arial" w:hAnsi="Arial"/>
          <w:sz w:val="17"/>
          <w:szCs w:val="17"/>
          <w:i w:val="1"/>
          <w:iCs w:val="1"/>
          <w:color w:val="auto"/>
        </w:rPr>
        <w:t>s SEC filings are available on the SEC</w:t>
      </w:r>
      <w:r>
        <w:rPr>
          <w:rFonts w:ascii="Arial" w:cs="Arial" w:eastAsia="Arial" w:hAnsi="Arial"/>
          <w:sz w:val="17"/>
          <w:szCs w:val="17"/>
          <w:color w:val="auto"/>
        </w:rPr>
        <w:t>’</w:t>
      </w:r>
      <w:r>
        <w:rPr>
          <w:rFonts w:ascii="Arial" w:cs="Arial" w:eastAsia="Arial" w:hAnsi="Arial"/>
          <w:sz w:val="17"/>
          <w:szCs w:val="17"/>
          <w:i w:val="1"/>
          <w:iCs w:val="1"/>
          <w:color w:val="auto"/>
        </w:rPr>
        <w:t>s website at www.sec.gov. You should not place undue reliance on these forward-looking statements, which apply only as of the date of this press release and should not be relied upon as representing the Company</w:t>
      </w:r>
      <w:r>
        <w:rPr>
          <w:rFonts w:ascii="Arial" w:cs="Arial" w:eastAsia="Arial" w:hAnsi="Arial"/>
          <w:sz w:val="17"/>
          <w:szCs w:val="17"/>
          <w:color w:val="auto"/>
        </w:rPr>
        <w:t>’</w:t>
      </w:r>
      <w:r>
        <w:rPr>
          <w:rFonts w:ascii="Arial" w:cs="Arial" w:eastAsia="Arial" w:hAnsi="Arial"/>
          <w:sz w:val="17"/>
          <w:szCs w:val="17"/>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mflather@vistagen.com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nhitchings@skdknick</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2022-11-22T05:15:03Z</dcterms:created>
  <dcterms:modified xsi:type="dcterms:W3CDTF">2022-11-22T05:15:03Z</dcterms:modified>
</cp:coreProperties>
</file>