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260" w:hanging="989"/>
        <w:spacing w:after="0"/>
        <w:tabs>
          <w:tab w:leader="none" w:pos="1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3" w:lineRule="exact"/>
        <w:rPr>
          <w:sz w:val="24"/>
          <w:szCs w:val="24"/>
          <w:color w:val="auto"/>
        </w:rPr>
      </w:pPr>
    </w:p>
    <w:p>
      <w:pPr>
        <w:ind w:left="1260" w:hanging="989"/>
        <w:spacing w:after="0"/>
        <w:tabs>
          <w:tab w:leader="none" w:pos="1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8" w:lineRule="exact"/>
        <w:rPr>
          <w:sz w:val="24"/>
          <w:szCs w:val="24"/>
          <w:color w:val="auto"/>
        </w:rPr>
      </w:pPr>
    </w:p>
    <w:tbl>
      <w:tblPr>
        <w:tblLayout w:type="fixed"/>
        <w:tblInd w:w="1660" w:type="dxa"/>
        <w:tblCellMar>
          <w:top w:w="0" w:type="dxa"/>
          <w:left w:w="0" w:type="dxa"/>
          <w:bottom w:w="0" w:type="dxa"/>
          <w:right w:w="0" w:type="dxa"/>
        </w:tblCellMar>
      </w:tblPr>
      <w:tr>
        <w:trPr>
          <w:trHeight w:val="207"/>
        </w:trPr>
        <w:tc>
          <w:tcPr>
            <w:tcW w:w="4180" w:type="dxa"/>
            <w:vAlign w:val="bottom"/>
          </w:tcPr>
          <w:p>
            <w:pPr>
              <w:ind w:left="1860"/>
              <w:spacing w:after="0"/>
              <w:rPr>
                <w:sz w:val="20"/>
                <w:szCs w:val="20"/>
                <w:color w:val="auto"/>
              </w:rPr>
            </w:pPr>
            <w:r>
              <w:rPr>
                <w:rFonts w:ascii="Arial" w:cs="Arial" w:eastAsia="Arial" w:hAnsi="Arial"/>
                <w:sz w:val="18"/>
                <w:szCs w:val="18"/>
                <w:b w:val="1"/>
                <w:bCs w:val="1"/>
                <w:color w:val="auto"/>
                <w:w w:val="90"/>
              </w:rPr>
              <w:t>For the transition period from</w:t>
            </w:r>
          </w:p>
        </w:tc>
        <w:tc>
          <w:tcPr>
            <w:tcW w:w="86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880" w:type="dxa"/>
            <w:vAlign w:val="bottom"/>
            <w:tcBorders>
              <w:bottom w:val="single" w:sz="8" w:color="auto"/>
            </w:tcBorders>
          </w:tcPr>
          <w:p>
            <w:pPr>
              <w:spacing w:after="0"/>
              <w:rPr>
                <w:sz w:val="17"/>
                <w:szCs w:val="17"/>
                <w:color w:val="auto"/>
              </w:rPr>
            </w:pPr>
          </w:p>
        </w:tc>
        <w:tc>
          <w:tcPr>
            <w:tcW w:w="1740" w:type="dxa"/>
            <w:vAlign w:val="bottom"/>
          </w:tcPr>
          <w:p>
            <w:pPr>
              <w:jc w:val="right"/>
              <w:ind w:right="1572"/>
              <w:spacing w:after="0"/>
              <w:rPr>
                <w:sz w:val="20"/>
                <w:szCs w:val="20"/>
                <w:color w:val="auto"/>
              </w:rPr>
            </w:pPr>
            <w:r>
              <w:rPr>
                <w:rFonts w:ascii="Arial" w:cs="Arial" w:eastAsia="Arial" w:hAnsi="Arial"/>
                <w:sz w:val="18"/>
                <w:szCs w:val="18"/>
                <w:b w:val="1"/>
                <w:bCs w:val="1"/>
                <w:color w:val="auto"/>
              </w:rPr>
              <w:t>.</w:t>
            </w:r>
          </w:p>
        </w:tc>
      </w:tr>
      <w:tr>
        <w:trPr>
          <w:trHeight w:val="451"/>
        </w:trPr>
        <w:tc>
          <w:tcPr>
            <w:tcW w:w="6160" w:type="dxa"/>
            <w:vAlign w:val="bottom"/>
            <w:gridSpan w:val="4"/>
          </w:tcPr>
          <w:p>
            <w:pPr>
              <w:jc w:val="center"/>
              <w:ind w:left="1842"/>
              <w:spacing w:after="0"/>
              <w:rPr>
                <w:sz w:val="20"/>
                <w:szCs w:val="20"/>
                <w:color w:val="auto"/>
              </w:rPr>
            </w:pPr>
            <w:r>
              <w:rPr>
                <w:rFonts w:ascii="Arial" w:cs="Arial" w:eastAsia="Arial" w:hAnsi="Arial"/>
                <w:sz w:val="18"/>
                <w:szCs w:val="18"/>
                <w:b w:val="1"/>
                <w:bCs w:val="1"/>
                <w:color w:val="auto"/>
                <w:w w:val="88"/>
              </w:rPr>
              <w:t>Commission File Number: 000-54014</w:t>
            </w:r>
          </w:p>
        </w:tc>
        <w:tc>
          <w:tcPr>
            <w:tcW w:w="1740" w:type="dxa"/>
            <w:vAlign w:val="bottom"/>
          </w:tcPr>
          <w:p>
            <w:pPr>
              <w:spacing w:after="0"/>
              <w:rPr>
                <w:sz w:val="24"/>
                <w:szCs w:val="24"/>
                <w:color w:val="auto"/>
              </w:rPr>
            </w:pPr>
          </w:p>
        </w:tc>
      </w:tr>
      <w:tr>
        <w:trPr>
          <w:trHeight w:val="574"/>
        </w:trPr>
        <w:tc>
          <w:tcPr>
            <w:tcW w:w="6160" w:type="dxa"/>
            <w:vAlign w:val="bottom"/>
            <w:gridSpan w:val="4"/>
          </w:tcPr>
          <w:p>
            <w:pPr>
              <w:jc w:val="center"/>
              <w:ind w:left="1862"/>
              <w:spacing w:after="0"/>
              <w:rPr>
                <w:sz w:val="20"/>
                <w:szCs w:val="20"/>
                <w:color w:val="auto"/>
              </w:rPr>
            </w:pPr>
            <w:r>
              <w:rPr>
                <w:rFonts w:ascii="Arial" w:cs="Arial" w:eastAsia="Arial" w:hAnsi="Arial"/>
                <w:sz w:val="32"/>
                <w:szCs w:val="32"/>
                <w:b w:val="1"/>
                <w:bCs w:val="1"/>
                <w:color w:val="auto"/>
                <w:w w:val="92"/>
              </w:rPr>
              <w:t>VistaGen Therapeutics, Inc.</w:t>
            </w:r>
          </w:p>
        </w:tc>
        <w:tc>
          <w:tcPr>
            <w:tcW w:w="1740" w:type="dxa"/>
            <w:vAlign w:val="bottom"/>
          </w:tcPr>
          <w:p>
            <w:pPr>
              <w:spacing w:after="0"/>
              <w:rPr>
                <w:sz w:val="24"/>
                <w:szCs w:val="24"/>
                <w:color w:val="auto"/>
              </w:rPr>
            </w:pPr>
          </w:p>
        </w:tc>
      </w:tr>
      <w:tr>
        <w:trPr>
          <w:trHeight w:val="222"/>
        </w:trPr>
        <w:tc>
          <w:tcPr>
            <w:tcW w:w="6160" w:type="dxa"/>
            <w:vAlign w:val="bottom"/>
            <w:gridSpan w:val="4"/>
          </w:tcPr>
          <w:p>
            <w:pPr>
              <w:jc w:val="center"/>
              <w:ind w:left="1842"/>
              <w:spacing w:after="0"/>
              <w:rPr>
                <w:sz w:val="20"/>
                <w:szCs w:val="20"/>
                <w:color w:val="auto"/>
              </w:rPr>
            </w:pPr>
            <w:r>
              <w:rPr>
                <w:rFonts w:ascii="Arial" w:cs="Arial" w:eastAsia="Arial" w:hAnsi="Arial"/>
                <w:sz w:val="18"/>
                <w:szCs w:val="18"/>
                <w:i w:val="1"/>
                <w:iCs w:val="1"/>
                <w:color w:val="auto"/>
                <w:w w:val="89"/>
              </w:rPr>
              <w:t>(Exact name of registrant as specified in its charter)</w:t>
            </w:r>
          </w:p>
        </w:tc>
        <w:tc>
          <w:tcPr>
            <w:tcW w:w="1740" w:type="dxa"/>
            <w:vAlign w:val="bottom"/>
          </w:tcPr>
          <w:p>
            <w:pPr>
              <w:spacing w:after="0"/>
              <w:rPr>
                <w:sz w:val="19"/>
                <w:szCs w:val="19"/>
                <w:color w:val="auto"/>
              </w:rPr>
            </w:pPr>
          </w:p>
        </w:tc>
      </w:tr>
      <w:tr>
        <w:trPr>
          <w:trHeight w:val="642"/>
        </w:trPr>
        <w:tc>
          <w:tcPr>
            <w:tcW w:w="4180" w:type="dxa"/>
            <w:vAlign w:val="bottom"/>
          </w:tcPr>
          <w:p>
            <w:pPr>
              <w:jc w:val="center"/>
              <w:ind w:right="1902"/>
              <w:spacing w:after="0"/>
              <w:rPr>
                <w:sz w:val="20"/>
                <w:szCs w:val="20"/>
                <w:color w:val="auto"/>
              </w:rPr>
            </w:pPr>
            <w:r>
              <w:rPr>
                <w:rFonts w:ascii="Arial" w:cs="Arial" w:eastAsia="Arial" w:hAnsi="Arial"/>
                <w:sz w:val="18"/>
                <w:szCs w:val="18"/>
                <w:b w:val="1"/>
                <w:bCs w:val="1"/>
                <w:color w:val="auto"/>
                <w:w w:val="90"/>
              </w:rPr>
              <w:t>Nevada</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40" w:type="dxa"/>
            <w:vAlign w:val="bottom"/>
          </w:tcPr>
          <w:p>
            <w:pPr>
              <w:jc w:val="center"/>
              <w:ind w:left="372"/>
              <w:spacing w:after="0"/>
              <w:rPr>
                <w:sz w:val="20"/>
                <w:szCs w:val="20"/>
                <w:color w:val="auto"/>
              </w:rPr>
            </w:pPr>
            <w:r>
              <w:rPr>
                <w:rFonts w:ascii="Arial" w:cs="Arial" w:eastAsia="Arial" w:hAnsi="Arial"/>
                <w:sz w:val="18"/>
                <w:szCs w:val="18"/>
                <w:b w:val="1"/>
                <w:bCs w:val="1"/>
                <w:color w:val="auto"/>
                <w:w w:val="87"/>
              </w:rPr>
              <w:t>20-5093315</w:t>
            </w:r>
          </w:p>
        </w:tc>
      </w:tr>
      <w:tr>
        <w:trPr>
          <w:trHeight w:val="216"/>
        </w:trPr>
        <w:tc>
          <w:tcPr>
            <w:tcW w:w="4180" w:type="dxa"/>
            <w:vAlign w:val="bottom"/>
          </w:tcPr>
          <w:p>
            <w:pPr>
              <w:jc w:val="center"/>
              <w:ind w:right="1902"/>
              <w:spacing w:after="0"/>
              <w:rPr>
                <w:sz w:val="20"/>
                <w:szCs w:val="20"/>
                <w:color w:val="auto"/>
              </w:rPr>
            </w:pPr>
            <w:r>
              <w:rPr>
                <w:rFonts w:ascii="Arial" w:cs="Arial" w:eastAsia="Arial" w:hAnsi="Arial"/>
                <w:sz w:val="18"/>
                <w:szCs w:val="18"/>
                <w:i w:val="1"/>
                <w:iCs w:val="1"/>
                <w:color w:val="auto"/>
                <w:w w:val="91"/>
              </w:rPr>
              <w:t>(State or other jurisdiction of</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40" w:type="dxa"/>
            <w:vAlign w:val="bottom"/>
          </w:tcPr>
          <w:p>
            <w:pPr>
              <w:jc w:val="center"/>
              <w:ind w:left="352"/>
              <w:spacing w:after="0"/>
              <w:rPr>
                <w:sz w:val="20"/>
                <w:szCs w:val="20"/>
                <w:color w:val="auto"/>
              </w:rPr>
            </w:pPr>
            <w:r>
              <w:rPr>
                <w:rFonts w:ascii="Arial" w:cs="Arial" w:eastAsia="Arial" w:hAnsi="Arial"/>
                <w:sz w:val="18"/>
                <w:szCs w:val="18"/>
                <w:i w:val="1"/>
                <w:iCs w:val="1"/>
                <w:color w:val="auto"/>
                <w:w w:val="89"/>
              </w:rPr>
              <w:t>(I.R.S. Employer</w:t>
            </w:r>
          </w:p>
        </w:tc>
      </w:tr>
      <w:tr>
        <w:trPr>
          <w:trHeight w:val="222"/>
        </w:trPr>
        <w:tc>
          <w:tcPr>
            <w:tcW w:w="4180" w:type="dxa"/>
            <w:vAlign w:val="bottom"/>
          </w:tcPr>
          <w:p>
            <w:pPr>
              <w:jc w:val="center"/>
              <w:ind w:right="1902"/>
              <w:spacing w:after="0"/>
              <w:rPr>
                <w:sz w:val="20"/>
                <w:szCs w:val="20"/>
                <w:color w:val="auto"/>
              </w:rPr>
            </w:pPr>
            <w:r>
              <w:rPr>
                <w:rFonts w:ascii="Arial" w:cs="Arial" w:eastAsia="Arial" w:hAnsi="Arial"/>
                <w:sz w:val="18"/>
                <w:szCs w:val="18"/>
                <w:i w:val="1"/>
                <w:iCs w:val="1"/>
                <w:color w:val="auto"/>
                <w:w w:val="93"/>
              </w:rPr>
              <w:t>incorporation or organization)</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jc w:val="center"/>
              <w:ind w:left="352"/>
              <w:spacing w:after="0"/>
              <w:rPr>
                <w:sz w:val="20"/>
                <w:szCs w:val="20"/>
                <w:color w:val="auto"/>
              </w:rPr>
            </w:pPr>
            <w:r>
              <w:rPr>
                <w:rFonts w:ascii="Arial" w:cs="Arial" w:eastAsia="Arial" w:hAnsi="Arial"/>
                <w:sz w:val="18"/>
                <w:szCs w:val="18"/>
                <w:i w:val="1"/>
                <w:iCs w:val="1"/>
                <w:color w:val="auto"/>
                <w:w w:val="92"/>
              </w:rPr>
              <w:t>Identification No.)</w:t>
            </w: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343 Allerton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19"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93" w:right="239" w:bottom="1440" w:gutter="0" w:footer="0" w:header="0"/>
        </w:sectPr>
      </w:pP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9" w:lineRule="exact"/>
        <w:rPr>
          <w:sz w:val="24"/>
          <w:szCs w:val="24"/>
          <w:color w:val="auto"/>
        </w:rPr>
      </w:pPr>
    </w:p>
    <w:p>
      <w:pPr>
        <w:sectPr>
          <w:pgSz w:w="11900" w:h="16838" w:orient="portrait"/>
          <w:cols w:equalWidth="0" w:num="4">
            <w:col w:w="2540" w:space="720"/>
            <w:col w:w="2920" w:space="720"/>
            <w:col w:w="2740" w:space="720"/>
            <w:col w:w="1060"/>
          </w:cols>
          <w:pgMar w:left="240" w:top="693"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693" w:right="239" w:bottom="1440" w:gutter="0" w:footer="0" w:header="0"/>
          <w:type w:val="continuous"/>
        </w:sectPr>
      </w:pPr>
    </w:p>
    <w:p>
      <w:pPr>
        <w:spacing w:after="0" w:line="209"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2"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10, 2017, 8,581,471 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2016</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0" w:type="dxa"/>
            <w:vAlign w:val="bottom"/>
            <w:gridSpan w:val="10"/>
          </w:tcPr>
          <w:p>
            <w:pPr>
              <w:ind w:left="52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gridSpan w:val="11"/>
            <w:vMerge w:val="restart"/>
          </w:tcPr>
          <w:p>
            <w:pPr>
              <w:jc w:val="center"/>
              <w:ind w:right="336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980" w:type="dxa"/>
            <w:vAlign w:val="bottom"/>
          </w:tcPr>
          <w:p>
            <w:pPr>
              <w:jc w:val="center"/>
              <w:ind w:right="92"/>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340" w:type="dxa"/>
            <w:vAlign w:val="bottom"/>
            <w:gridSpan w:val="11"/>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5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December 31, 2016 and March 31, 2016</w:t>
              </w:r>
            </w:hyperlink>
          </w:p>
        </w:tc>
        <w:tc>
          <w:tcPr>
            <w:tcW w:w="980" w:type="dxa"/>
            <w:vAlign w:val="bottom"/>
            <w:shd w:val="clear" w:color="auto" w:fill="CCEEFF"/>
          </w:tcPr>
          <w:p>
            <w:pPr>
              <w:jc w:val="center"/>
              <w:ind w:right="92"/>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980" w:type="dxa"/>
            <w:vAlign w:val="bottom"/>
            <w:tcBorders>
              <w:bottom w:val="single" w:sz="8" w:color="0000EE"/>
            </w:tcBorders>
            <w:gridSpan w:val="19"/>
          </w:tcPr>
          <w:p>
            <w:pPr>
              <w:spacing w:after="0" w:line="17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and Comprehensive Loss for the three and nine months ended December 31,</w:t>
              </w:r>
            </w:hyperlink>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2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2016 and 2015</w:t>
              </w:r>
            </w:hyperlink>
          </w:p>
        </w:tc>
        <w:tc>
          <w:tcPr>
            <w:tcW w:w="980" w:type="dxa"/>
            <w:vAlign w:val="bottom"/>
          </w:tcPr>
          <w:p>
            <w:pPr>
              <w:jc w:val="center"/>
              <w:ind w:right="92"/>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18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 for the nine months ended December 31, 2016 and 2015</w:t>
              </w:r>
            </w:hyperlink>
          </w:p>
        </w:tc>
        <w:tc>
          <w:tcPr>
            <w:tcW w:w="980" w:type="dxa"/>
            <w:vAlign w:val="bottom"/>
            <w:shd w:val="clear" w:color="auto" w:fill="CCEEFF"/>
          </w:tcPr>
          <w:p>
            <w:pPr>
              <w:jc w:val="center"/>
              <w:ind w:right="92"/>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7600" w:type="dxa"/>
            <w:vAlign w:val="bottom"/>
            <w:tcBorders>
              <w:top w:val="single" w:sz="8" w:color="0000EE"/>
            </w:tcBorders>
            <w:gridSpan w:val="18"/>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Condensed Consolidated Financial Statements</w:t>
              </w:r>
            </w:hyperlink>
          </w:p>
        </w:tc>
        <w:tc>
          <w:tcPr>
            <w:tcW w:w="1580" w:type="dxa"/>
            <w:vAlign w:val="bottom"/>
            <w:tcBorders>
              <w:top w:val="single" w:sz="8" w:color="CCEEFF"/>
            </w:tcBorders>
            <w:gridSpan w:val="2"/>
          </w:tcPr>
          <w:p>
            <w:pPr>
              <w:spacing w:after="0"/>
              <w:rPr>
                <w:sz w:val="15"/>
                <w:szCs w:val="15"/>
                <w:color w:val="auto"/>
              </w:rPr>
            </w:pPr>
          </w:p>
        </w:tc>
        <w:tc>
          <w:tcPr>
            <w:tcW w:w="980" w:type="dxa"/>
            <w:vAlign w:val="bottom"/>
            <w:tcBorders>
              <w:top w:val="single" w:sz="8" w:color="CCEEFF"/>
            </w:tcBorders>
          </w:tcPr>
          <w:p>
            <w:pPr>
              <w:jc w:val="center"/>
              <w:ind w:right="92"/>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9520" w:type="dxa"/>
            <w:vAlign w:val="bottom"/>
            <w:gridSpan w:val="22"/>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980" w:type="dxa"/>
            <w:vAlign w:val="bottom"/>
            <w:shd w:val="clear" w:color="auto" w:fill="CCEEFF"/>
          </w:tcPr>
          <w:p>
            <w:pPr>
              <w:jc w:val="center"/>
              <w:ind w:right="92"/>
              <w:spacing w:after="0" w:line="176" w:lineRule="exact"/>
              <w:rPr>
                <w:sz w:val="20"/>
                <w:szCs w:val="20"/>
                <w:color w:val="auto"/>
              </w:rPr>
            </w:pPr>
            <w:r>
              <w:rPr>
                <w:rFonts w:ascii="Arial" w:cs="Arial" w:eastAsia="Arial" w:hAnsi="Arial"/>
                <w:sz w:val="18"/>
                <w:szCs w:val="18"/>
                <w:color w:val="auto"/>
                <w:w w:val="7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4.</w:t>
              </w:r>
            </w:hyperlink>
          </w:p>
        </w:tc>
        <w:tc>
          <w:tcPr>
            <w:tcW w:w="9520" w:type="dxa"/>
            <w:vAlign w:val="bottom"/>
            <w:gridSpan w:val="22"/>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980" w:type="dxa"/>
            <w:vAlign w:val="bottom"/>
          </w:tcPr>
          <w:p>
            <w:pPr>
              <w:jc w:val="center"/>
              <w:ind w:right="92"/>
              <w:spacing w:after="0" w:line="176" w:lineRule="exact"/>
              <w:rPr>
                <w:sz w:val="20"/>
                <w:szCs w:val="20"/>
                <w:color w:val="auto"/>
              </w:rPr>
            </w:pPr>
            <w:r>
              <w:rPr>
                <w:rFonts w:ascii="Arial" w:cs="Arial" w:eastAsia="Arial" w:hAnsi="Arial"/>
                <w:sz w:val="18"/>
                <w:szCs w:val="18"/>
                <w:color w:val="auto"/>
                <w:w w:val="79"/>
              </w:rPr>
              <w:t>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0" w:type="dxa"/>
            <w:vAlign w:val="bottom"/>
            <w:gridSpan w:val="10"/>
          </w:tcPr>
          <w:p>
            <w:pPr>
              <w:jc w:val="center"/>
              <w:ind w:right="3500"/>
              <w:spacing w:after="0" w:line="17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PART II. OTHER INFORMATION</w:t>
              </w:r>
            </w:hyperlink>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Item 1.</w:t>
              </w:r>
            </w:hyperlink>
          </w:p>
        </w:tc>
        <w:tc>
          <w:tcPr>
            <w:tcW w:w="9520" w:type="dxa"/>
            <w:vAlign w:val="bottom"/>
            <w:gridSpan w:val="22"/>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980" w:type="dxa"/>
            <w:vAlign w:val="bottom"/>
          </w:tcPr>
          <w:p>
            <w:pPr>
              <w:jc w:val="center"/>
              <w:ind w:right="92"/>
              <w:spacing w:after="0" w:line="176" w:lineRule="exact"/>
              <w:rPr>
                <w:sz w:val="20"/>
                <w:szCs w:val="20"/>
                <w:color w:val="auto"/>
              </w:rPr>
            </w:pPr>
            <w:r>
              <w:rPr>
                <w:rFonts w:ascii="Arial" w:cs="Arial" w:eastAsia="Arial" w:hAnsi="Arial"/>
                <w:sz w:val="18"/>
                <w:szCs w:val="18"/>
                <w:color w:val="auto"/>
                <w:w w:val="7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shd w:val="clear" w:color="auto" w:fill="CCEEFF"/>
          </w:tcPr>
          <w:p>
            <w:pPr>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Item 1A.</w:t>
              </w:r>
            </w:hyperlink>
          </w:p>
        </w:tc>
        <w:tc>
          <w:tcPr>
            <w:tcW w:w="280" w:type="dxa"/>
            <w:vAlign w:val="bottom"/>
            <w:shd w:val="clear" w:color="auto" w:fill="CCEEFF"/>
          </w:tcPr>
          <w:p>
            <w:pPr>
              <w:spacing w:after="0"/>
              <w:rPr>
                <w:sz w:val="15"/>
                <w:szCs w:val="15"/>
                <w:color w:val="auto"/>
              </w:rPr>
            </w:pPr>
          </w:p>
        </w:tc>
        <w:tc>
          <w:tcPr>
            <w:tcW w:w="9520" w:type="dxa"/>
            <w:vAlign w:val="bottom"/>
            <w:gridSpan w:val="2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980" w:type="dxa"/>
            <w:vAlign w:val="bottom"/>
            <w:shd w:val="clear" w:color="auto" w:fill="CCEEFF"/>
          </w:tcPr>
          <w:p>
            <w:pPr>
              <w:jc w:val="center"/>
              <w:ind w:right="92"/>
              <w:spacing w:after="0" w:line="176" w:lineRule="exact"/>
              <w:rPr>
                <w:sz w:val="20"/>
                <w:szCs w:val="20"/>
                <w:color w:val="auto"/>
              </w:rPr>
            </w:pPr>
            <w:r>
              <w:rPr>
                <w:rFonts w:ascii="Arial" w:cs="Arial" w:eastAsia="Arial" w:hAnsi="Arial"/>
                <w:sz w:val="18"/>
                <w:szCs w:val="18"/>
                <w:color w:val="auto"/>
                <w:w w:val="79"/>
              </w:rPr>
              <w:t>31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0" w:type="dxa"/>
            <w:vAlign w:val="bottom"/>
            <w:gridSpan w:val="2"/>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280" w:type="dxa"/>
            <w:vAlign w:val="bottom"/>
          </w:tcPr>
          <w:p>
            <w:pPr>
              <w:spacing w:after="0"/>
              <w:rPr>
                <w:sz w:val="15"/>
                <w:szCs w:val="15"/>
                <w:color w:val="auto"/>
              </w:rPr>
            </w:pPr>
          </w:p>
        </w:tc>
        <w:tc>
          <w:tcPr>
            <w:tcW w:w="9520" w:type="dxa"/>
            <w:vAlign w:val="bottom"/>
            <w:gridSpan w:val="22"/>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980" w:type="dxa"/>
            <w:vAlign w:val="bottom"/>
          </w:tcPr>
          <w:p>
            <w:pPr>
              <w:jc w:val="center"/>
              <w:ind w:right="92"/>
              <w:spacing w:after="0" w:line="176" w:lineRule="exact"/>
              <w:rPr>
                <w:sz w:val="20"/>
                <w:szCs w:val="20"/>
                <w:color w:val="auto"/>
              </w:rPr>
            </w:pPr>
            <w:r>
              <w:rPr>
                <w:rFonts w:ascii="Arial" w:cs="Arial" w:eastAsia="Arial" w:hAnsi="Arial"/>
                <w:sz w:val="18"/>
                <w:szCs w:val="18"/>
                <w:color w:val="auto"/>
                <w:w w:val="7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3.</w:t>
              </w:r>
            </w:hyperlink>
          </w:p>
        </w:tc>
        <w:tc>
          <w:tcPr>
            <w:tcW w:w="9520" w:type="dxa"/>
            <w:vAlign w:val="bottom"/>
            <w:gridSpan w:val="22"/>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Defaults Upon Senior Secured Securities</w:t>
              </w:r>
            </w:hyperlink>
          </w:p>
        </w:tc>
        <w:tc>
          <w:tcPr>
            <w:tcW w:w="980" w:type="dxa"/>
            <w:vAlign w:val="bottom"/>
            <w:shd w:val="clear" w:color="auto" w:fill="CCEEFF"/>
          </w:tcPr>
          <w:p>
            <w:pPr>
              <w:jc w:val="center"/>
              <w:ind w:right="92"/>
              <w:spacing w:after="0" w:line="176"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3"/>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Item 6.</w:t>
              </w:r>
            </w:hyperlink>
          </w:p>
        </w:tc>
        <w:tc>
          <w:tcPr>
            <w:tcW w:w="9520" w:type="dxa"/>
            <w:vAlign w:val="bottom"/>
            <w:gridSpan w:val="22"/>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980" w:type="dxa"/>
            <w:vAlign w:val="bottom"/>
          </w:tcPr>
          <w:p>
            <w:pPr>
              <w:jc w:val="center"/>
              <w:ind w:right="92"/>
              <w:spacing w:after="0" w:line="176"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360" w:type="dxa"/>
            <w:vAlign w:val="bottom"/>
            <w:gridSpan w:val="21"/>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SIGNATURES</w:t>
              </w:r>
            </w:hyperlink>
          </w:p>
        </w:tc>
        <w:tc>
          <w:tcPr>
            <w:tcW w:w="980" w:type="dxa"/>
            <w:vAlign w:val="bottom"/>
          </w:tcPr>
          <w:p>
            <w:pPr>
              <w:jc w:val="right"/>
              <w:ind w:right="392"/>
              <w:spacing w:after="0" w:line="17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5580" w:type="dxa"/>
            <w:vAlign w:val="bottom"/>
            <w:gridSpan w:val="2"/>
          </w:tcPr>
          <w:p>
            <w:pPr>
              <w:jc w:val="center"/>
              <w:ind w:right="752"/>
              <w:spacing w:after="0"/>
              <w:rPr>
                <w:sz w:val="20"/>
                <w:szCs w:val="20"/>
                <w:color w:val="auto"/>
              </w:rPr>
            </w:pPr>
            <w:r>
              <w:rPr>
                <w:rFonts w:ascii="Arial" w:cs="Arial" w:eastAsia="Arial" w:hAnsi="Arial"/>
                <w:sz w:val="18"/>
                <w:szCs w:val="18"/>
                <w:b w:val="1"/>
                <w:bCs w:val="1"/>
                <w:color w:val="auto"/>
                <w:w w:val="98"/>
              </w:rPr>
              <w:t>VISTAGEN THERAPEUTICS, INC.</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340" w:type="dxa"/>
            <w:vAlign w:val="bottom"/>
          </w:tcPr>
          <w:p>
            <w:pPr>
              <w:spacing w:after="0"/>
              <w:rPr>
                <w:sz w:val="24"/>
                <w:szCs w:val="24"/>
                <w:color w:val="auto"/>
              </w:rPr>
            </w:pPr>
          </w:p>
        </w:tc>
        <w:tc>
          <w:tcPr>
            <w:tcW w:w="5580" w:type="dxa"/>
            <w:vAlign w:val="bottom"/>
            <w:gridSpan w:val="2"/>
          </w:tcPr>
          <w:p>
            <w:pPr>
              <w:jc w:val="center"/>
              <w:ind w:right="73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5580" w:type="dxa"/>
            <w:vAlign w:val="bottom"/>
            <w:gridSpan w:val="2"/>
          </w:tcPr>
          <w:p>
            <w:pPr>
              <w:jc w:val="center"/>
              <w:ind w:right="732"/>
              <w:spacing w:after="0"/>
              <w:rPr>
                <w:sz w:val="20"/>
                <w:szCs w:val="20"/>
                <w:color w:val="auto"/>
              </w:rPr>
            </w:pPr>
            <w:r>
              <w:rPr>
                <w:rFonts w:ascii="Arial" w:cs="Arial" w:eastAsia="Arial" w:hAnsi="Arial"/>
                <w:sz w:val="18"/>
                <w:szCs w:val="18"/>
                <w:b w:val="1"/>
                <w:bCs w:val="1"/>
                <w:color w:val="auto"/>
                <w:w w:val="86"/>
              </w:rPr>
              <w:t>(Amounts in Dollars, except share amounts)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3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December 31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19"/>
                <w:szCs w:val="19"/>
                <w:color w:val="auto"/>
              </w:rPr>
            </w:pPr>
          </w:p>
        </w:tc>
        <w:tc>
          <w:tcPr>
            <w:tcW w:w="5580" w:type="dxa"/>
            <w:vAlign w:val="bottom"/>
            <w:gridSpan w:val="2"/>
            <w:vMerge w:val="restart"/>
          </w:tcPr>
          <w:p>
            <w:pPr>
              <w:jc w:val="right"/>
              <w:ind w:right="4112"/>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40" w:type="dxa"/>
            <w:vAlign w:val="bottom"/>
            <w:vMerge w:val="restart"/>
          </w:tcPr>
          <w:p>
            <w:pPr>
              <w:spacing w:after="0"/>
              <w:rPr>
                <w:sz w:val="20"/>
                <w:szCs w:val="20"/>
                <w:color w:val="auto"/>
              </w:rPr>
            </w:pPr>
            <w:r>
              <w:rPr>
                <w:rFonts w:ascii="Arial" w:cs="Arial" w:eastAsia="Arial" w:hAnsi="Arial"/>
                <w:sz w:val="18"/>
                <w:szCs w:val="18"/>
                <w:color w:val="auto"/>
              </w:rPr>
              <w:t>Current assets:</w:t>
            </w:r>
          </w:p>
        </w:tc>
        <w:tc>
          <w:tcPr>
            <w:tcW w:w="558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340" w:type="dxa"/>
            <w:vAlign w:val="bottom"/>
            <w:vMerge w:val="continue"/>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5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4,372,000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Sublicense fee receivable</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Prepaid expenses and other current assets</w:t>
            </w:r>
          </w:p>
        </w:tc>
        <w:tc>
          <w:tcPr>
            <w:tcW w:w="5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5,768,400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20"/>
                <w:szCs w:val="20"/>
                <w:color w:val="auto"/>
              </w:rPr>
            </w:pPr>
            <w:r>
              <w:rPr>
                <w:rFonts w:ascii="Arial" w:cs="Arial" w:eastAsia="Arial" w:hAnsi="Arial"/>
                <w:sz w:val="18"/>
                <w:szCs w:val="18"/>
                <w:color w:val="auto"/>
              </w:rPr>
              <w:t>Security deposits and other assets</w:t>
            </w:r>
          </w:p>
        </w:tc>
        <w:tc>
          <w:tcPr>
            <w:tcW w:w="5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54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5,876,100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5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LIABILITIES AND 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Current portion of notes payable and 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lease obligations</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Notes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dividends on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rent liability</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tabs>
          <w:tab w:leader="none" w:pos="500" w:val="left"/>
          <w:tab w:leader="none" w:pos="136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874,400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936,000</w:t>
      </w:r>
    </w:p>
    <w:p>
      <w:pPr>
        <w:spacing w:after="0" w:line="15" w:lineRule="exact"/>
        <w:rPr>
          <w:sz w:val="20"/>
          <w:szCs w:val="20"/>
          <w:color w:val="auto"/>
        </w:rPr>
      </w:pPr>
    </w:p>
    <w:p>
      <w:pPr>
        <w:jc w:val="both"/>
        <w:ind w:left="520"/>
        <w:spacing w:after="0"/>
        <w:tabs>
          <w:tab w:leader="none" w:pos="1880" w:val="left"/>
        </w:tabs>
        <w:rPr>
          <w:sz w:val="20"/>
          <w:szCs w:val="20"/>
          <w:color w:val="auto"/>
        </w:rPr>
      </w:pPr>
      <w:r>
        <w:rPr>
          <w:rFonts w:ascii="Arial" w:cs="Arial" w:eastAsia="Arial" w:hAnsi="Arial"/>
          <w:sz w:val="18"/>
          <w:szCs w:val="18"/>
          <w:color w:val="auto"/>
        </w:rPr>
        <w:t>961,800</w:t>
      </w:r>
      <w:r>
        <w:rPr>
          <w:sz w:val="20"/>
          <w:szCs w:val="20"/>
          <w:color w:val="auto"/>
        </w:rPr>
        <w:tab/>
      </w:r>
      <w:r>
        <w:rPr>
          <w:rFonts w:ascii="Arial" w:cs="Arial" w:eastAsia="Arial" w:hAnsi="Arial"/>
          <w:sz w:val="18"/>
          <w:szCs w:val="18"/>
          <w:color w:val="auto"/>
        </w:rPr>
        <w:t>814,000</w:t>
      </w:r>
    </w:p>
    <w:p>
      <w:pPr>
        <w:spacing w:after="0" w:line="9" w:lineRule="exact"/>
        <w:rPr>
          <w:sz w:val="20"/>
          <w:szCs w:val="20"/>
          <w:color w:val="auto"/>
        </w:rPr>
      </w:pPr>
    </w:p>
    <w:p>
      <w:pPr>
        <w:jc w:val="both"/>
        <w:ind w:left="620"/>
        <w:spacing w:after="0"/>
        <w:tabs>
          <w:tab w:leader="none" w:pos="1960" w:val="left"/>
        </w:tabs>
        <w:rPr>
          <w:sz w:val="20"/>
          <w:szCs w:val="20"/>
          <w:color w:val="auto"/>
        </w:rPr>
      </w:pPr>
      <w:r>
        <w:rPr>
          <w:rFonts w:ascii="Arial" w:cs="Arial" w:eastAsia="Arial" w:hAnsi="Arial"/>
          <w:sz w:val="18"/>
          <w:szCs w:val="18"/>
          <w:color w:val="auto"/>
        </w:rPr>
        <w:t>35,800</w:t>
      </w:r>
      <w:r>
        <w:rPr>
          <w:sz w:val="20"/>
          <w:szCs w:val="20"/>
          <w:color w:val="auto"/>
        </w:rPr>
        <w:tab/>
      </w:r>
      <w:r>
        <w:rPr>
          <w:rFonts w:ascii="Arial" w:cs="Arial" w:eastAsia="Arial" w:hAnsi="Arial"/>
          <w:sz w:val="18"/>
          <w:szCs w:val="18"/>
          <w:color w:val="auto"/>
        </w:rPr>
        <w:t>43,600</w:t>
      </w:r>
    </w:p>
    <w:p>
      <w:pPr>
        <w:spacing w:after="0" w:line="30" w:lineRule="exact"/>
        <w:rPr>
          <w:sz w:val="20"/>
          <w:szCs w:val="20"/>
          <w:color w:val="auto"/>
        </w:rPr>
      </w:pPr>
    </w:p>
    <w:p>
      <w:pPr>
        <w:jc w:val="both"/>
        <w:ind w:left="840"/>
        <w:spacing w:after="0"/>
        <w:tabs>
          <w:tab w:leader="none" w:pos="2040" w:val="left"/>
        </w:tabs>
        <w:rPr>
          <w:sz w:val="20"/>
          <w:szCs w:val="20"/>
          <w:color w:val="auto"/>
        </w:rPr>
      </w:pPr>
      <w:r>
        <w:rPr>
          <w:rFonts w:ascii="Arial" w:cs="Arial" w:eastAsia="Arial" w:hAnsi="Arial"/>
          <w:sz w:val="18"/>
          <w:szCs w:val="18"/>
          <w:color w:val="auto"/>
        </w:rPr>
        <w:t>300</w:t>
      </w:r>
      <w:r>
        <w:rPr>
          <w:sz w:val="20"/>
          <w:szCs w:val="20"/>
          <w:color w:val="auto"/>
        </w:rPr>
        <w:tab/>
      </w:r>
      <w:r>
        <w:rPr>
          <w:rFonts w:ascii="Arial" w:cs="Arial" w:eastAsia="Arial" w:hAnsi="Arial"/>
          <w:sz w:val="18"/>
          <w:szCs w:val="18"/>
          <w:color w:val="auto"/>
        </w:rPr>
        <w:t>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15608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0830" cy="17145"/>
                    </a:xfrm>
                    <a:prstGeom prst="rect">
                      <a:avLst/>
                    </a:prstGeom>
                    <a:noFill/>
                  </pic:spPr>
                </pic:pic>
              </a:graphicData>
            </a:graphic>
          </wp:anchor>
        </w:drawing>
      </w:r>
    </w:p>
    <w:p>
      <w:pPr>
        <w:spacing w:after="0" w:line="43" w:lineRule="exact"/>
        <w:rPr>
          <w:sz w:val="20"/>
          <w:szCs w:val="20"/>
          <w:color w:val="auto"/>
        </w:rPr>
      </w:pPr>
    </w:p>
    <w:p>
      <w:pPr>
        <w:jc w:val="both"/>
        <w:ind w:left="400"/>
        <w:spacing w:after="0"/>
        <w:tabs>
          <w:tab w:leader="none" w:pos="1740" w:val="left"/>
        </w:tabs>
        <w:rPr>
          <w:sz w:val="20"/>
          <w:szCs w:val="20"/>
          <w:color w:val="auto"/>
        </w:rPr>
      </w:pPr>
      <w:r>
        <w:rPr>
          <w:rFonts w:ascii="Arial" w:cs="Arial" w:eastAsia="Arial" w:hAnsi="Arial"/>
          <w:sz w:val="18"/>
          <w:szCs w:val="18"/>
          <w:color w:val="auto"/>
        </w:rPr>
        <w:t>1,872,300</w:t>
      </w:r>
      <w:r>
        <w:rPr>
          <w:sz w:val="20"/>
          <w:szCs w:val="20"/>
          <w:color w:val="auto"/>
        </w:rPr>
        <w:tab/>
      </w:r>
      <w:r>
        <w:rPr>
          <w:rFonts w:ascii="Arial" w:cs="Arial" w:eastAsia="Arial" w:hAnsi="Arial"/>
          <w:sz w:val="18"/>
          <w:szCs w:val="18"/>
          <w:color w:val="auto"/>
        </w:rPr>
        <w:t>1,794,700</w:t>
      </w:r>
    </w:p>
    <w:p>
      <w:pPr>
        <w:spacing w:after="0" w:line="200" w:lineRule="exact"/>
        <w:rPr>
          <w:sz w:val="20"/>
          <w:szCs w:val="20"/>
          <w:color w:val="auto"/>
        </w:rPr>
      </w:pPr>
    </w:p>
    <w:p>
      <w:pPr>
        <w:spacing w:after="0" w:line="268" w:lineRule="exact"/>
        <w:rPr>
          <w:sz w:val="20"/>
          <w:szCs w:val="20"/>
          <w:color w:val="auto"/>
        </w:rPr>
      </w:pPr>
    </w:p>
    <w:p>
      <w:pPr>
        <w:ind w:left="1980" w:hanging="939"/>
        <w:spacing w:after="0"/>
        <w:tabs>
          <w:tab w:leader="none" w:pos="1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27,200</w:t>
      </w:r>
    </w:p>
    <w:p>
      <w:pPr>
        <w:spacing w:after="0" w:line="49" w:lineRule="exact"/>
        <w:rPr>
          <w:rFonts w:ascii="Arial" w:cs="Arial" w:eastAsia="Arial" w:hAnsi="Arial"/>
          <w:sz w:val="15"/>
          <w:szCs w:val="15"/>
          <w:color w:val="auto"/>
        </w:rPr>
      </w:pPr>
    </w:p>
    <w:p>
      <w:pPr>
        <w:ind w:left="400"/>
        <w:spacing w:after="0"/>
        <w:rPr>
          <w:rFonts w:ascii="Arial" w:cs="Arial" w:eastAsia="Arial" w:hAnsi="Arial"/>
          <w:sz w:val="15"/>
          <w:szCs w:val="15"/>
          <w:color w:val="auto"/>
        </w:rPr>
      </w:pPr>
      <w:r>
        <w:rPr>
          <w:rFonts w:ascii="Arial" w:cs="Arial" w:eastAsia="Arial" w:hAnsi="Arial"/>
          <w:sz w:val="18"/>
          <w:szCs w:val="18"/>
          <w:color w:val="auto"/>
        </w:rPr>
        <w:t>1,339,300</w:t>
      </w:r>
      <w:r>
        <w:rPr>
          <w:rFonts w:ascii="Arial" w:cs="Arial" w:eastAsia="Arial" w:hAnsi="Arial"/>
          <w:sz w:val="15"/>
          <w:szCs w:val="15"/>
          <w:color w:val="auto"/>
        </w:rPr>
        <w:t>2,089,600</w:t>
      </w:r>
    </w:p>
    <w:p>
      <w:pPr>
        <w:spacing w:after="0" w:line="29" w:lineRule="exact"/>
        <w:rPr>
          <w:rFonts w:ascii="Arial" w:cs="Arial" w:eastAsia="Arial" w:hAnsi="Arial"/>
          <w:sz w:val="15"/>
          <w:szCs w:val="15"/>
          <w:color w:val="auto"/>
        </w:rPr>
      </w:pPr>
    </w:p>
    <w:p>
      <w:pPr>
        <w:ind w:left="620"/>
        <w:spacing w:after="0"/>
        <w:rPr>
          <w:rFonts w:ascii="Arial" w:cs="Arial" w:eastAsia="Arial" w:hAnsi="Arial"/>
          <w:sz w:val="15"/>
          <w:szCs w:val="15"/>
          <w:color w:val="auto"/>
        </w:rPr>
      </w:pPr>
      <w:r>
        <w:rPr>
          <w:rFonts w:ascii="Arial" w:cs="Arial" w:eastAsia="Arial" w:hAnsi="Arial"/>
          <w:sz w:val="18"/>
          <w:szCs w:val="18"/>
          <w:color w:val="auto"/>
        </w:rPr>
        <w:t>75,900</w:t>
      </w:r>
      <w:r>
        <w:rPr>
          <w:rFonts w:ascii="Arial" w:cs="Arial" w:eastAsia="Arial" w:hAnsi="Arial"/>
          <w:sz w:val="15"/>
          <w:szCs w:val="15"/>
          <w:color w:val="auto"/>
        </w:rPr>
        <w:t>55,500</w:t>
      </w:r>
    </w:p>
    <w:p>
      <w:pPr>
        <w:spacing w:after="0" w:line="15" w:lineRule="exact"/>
        <w:rPr>
          <w:sz w:val="20"/>
          <w:szCs w:val="20"/>
          <w:color w:val="auto"/>
        </w:rPr>
      </w:pPr>
    </w:p>
    <w:p>
      <w:pPr>
        <w:sectPr>
          <w:pgSz w:w="11900" w:h="16838" w:orient="portrait"/>
          <w:cols w:equalWidth="0" w:num="2">
            <w:col w:w="8100" w:space="720"/>
            <w:col w:w="2600"/>
          </w:cols>
          <w:pgMar w:left="240" w:top="131" w:right="239" w:bottom="1440" w:gutter="0" w:footer="0" w:header="0"/>
          <w:type w:val="continuous"/>
        </w:sectPr>
      </w:pPr>
    </w:p>
    <w:tbl>
      <w:tblPr>
        <w:tblLayout w:type="fixed"/>
        <w:tblInd w:w="0" w:type="dxa"/>
        <w:tblCellMar>
          <w:top w:w="0" w:type="dxa"/>
          <w:left w:w="0" w:type="dxa"/>
          <w:bottom w:w="0" w:type="dxa"/>
          <w:right w:w="0" w:type="dxa"/>
        </w:tblCellMar>
      </w:tblPr>
      <w:tr>
        <w:trPr>
          <w:trHeight w:val="259"/>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2,172,300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3,287,500</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3,967,000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Preferred stock, $0.001 par value; 10,000,000 shares authorized at December 31, 2016 and March 31, 2016: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99"/>
              </w:rPr>
              <w:t>Series A Preferred, 500,000 shares authorized and outstanding at December 31, 2016 and March 31, 2016</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2"/>
              </w:rPr>
              <w:t>Series B Preferred; 4,000,000 shares authorized at December 31, 2016 and March 31, 2016; 1,160,240 shares and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3,663,077 shares issued and outstanding at December 31, 2016 and March 31, 2016, 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w w:val="89"/>
              </w:rPr>
              <w:t>Series C Preferred; 3,000,000 shares authorized at December 31, 2016 and March 31, 2016; 2,318,012 shares issued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color w:val="auto"/>
              </w:rPr>
              <w:t>and outstanding at December 31, 2016 and March 31, 2016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Common stock, $0.001 par value; 30,000,000 shares authorized at December 31, 2016 and March 31, 2016; 8,717,136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2,623,145 shares issued at December 31, 2016 and March 31, 2016, respectivtly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145,993,900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132,725,000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Treasury stock, at cost, 135,665 shares of common stock held at December 31, 2016 and March 31, 2016</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(139,449,900)</w:t>
            </w:r>
          </w:p>
        </w:tc>
        <w:tc>
          <w:tcPr>
            <w:tcW w:w="12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(131,743,200)</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2,588,600</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(2,977,200)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5,876,100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989,800</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89"/>
              </w:rPr>
              <w:t>Three Months Ended December</w:t>
            </w:r>
          </w:p>
        </w:tc>
        <w:tc>
          <w:tcPr>
            <w:tcW w:w="100" w:type="dxa"/>
            <w:vAlign w:val="bottom"/>
          </w:tcPr>
          <w:p>
            <w:pPr>
              <w:spacing w:after="0"/>
              <w:rPr>
                <w:sz w:val="18"/>
                <w:szCs w:val="18"/>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0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Sublicense fees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1,611,000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806,300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4,042,800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2,835,000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2,276,600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1,335,500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4,907,800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6,514,500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3,887,600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2,141,800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8,950,600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9,349,500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(2,637,600)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(2,141,800)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(7,700,600)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expenses, net: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Change in warrant liability</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(26,700,200)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(2,638,500)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(2,146,600)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(7,704,300)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(38,716,500)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(2,638,500)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(2,146,600)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(7,706,700)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(38,718,800)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Accrued dividend on Series B Preferred stock</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(237,700)</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(631,300)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(1,018,500)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Deemed dividend on Series B Preferred Units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(668,700)</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(111,100)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(1,811,800)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(2,876,200)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(3,446,600)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(8,836,300)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(41,989,900)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stockholders per common share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Weighted average shares used in computing basic and diluted net 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attributable to common stockholders per common share</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8,381,824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1,765,641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7,181,307</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1,650,160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(2,638,500)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(2,146,600)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(7,706,700)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(38,718,800)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7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3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(7,706,700)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(38,718,800)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w w:val="95"/>
              </w:rPr>
              <w:t>Adjustments to reconcile net loss to net cash used in operating activities: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Amortization of discounts on convertible and promissory notes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564,800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 in warrant liability</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573,900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3,868,300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Expense related to modification of warrants, including exchange of warrants</w:t>
            </w:r>
          </w:p>
        </w:tc>
        <w:tc>
          <w:tcPr>
            <w:tcW w:w="3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88"/>
              </w:rPr>
              <w:t>for Series C Preferred and common</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w:t>
            </w:r>
          </w:p>
        </w:tc>
        <w:tc>
          <w:tcPr>
            <w:tcW w:w="3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427,500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Amortization of deferred rent</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of common stock granted for services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Fair value of Series B Preferred stock granted for services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Fair value of warrants granted for services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Gain on currency fluctuation</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disposition of fixed assets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Sublicense fee receivable</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(1,250,000)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80"/>
              <w:spacing w:after="0"/>
              <w:rPr>
                <w:sz w:val="20"/>
                <w:szCs w:val="20"/>
                <w:color w:val="auto"/>
              </w:rPr>
            </w:pPr>
            <w:r>
              <w:rPr>
                <w:rFonts w:ascii="Arial" w:cs="Arial" w:eastAsia="Arial" w:hAnsi="Arial"/>
                <w:sz w:val="18"/>
                <w:szCs w:val="18"/>
                <w:color w:val="auto"/>
              </w:rPr>
              <w:t>Prepaid expenses, security deposit and other current assets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Accounts payable and accrued expenses, including accrued interest</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Net cash used in operating activities</w:t>
            </w: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(5,968,300)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(3,498,900)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(9,900)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Net proceeds from issuance of common stock and warrants, including Units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Net proceeds from issuance of Series B Preferred Units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278,000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4,397,800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capital lease obligations</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Repayment of notes</w:t>
            </w:r>
          </w:p>
        </w:tc>
        <w:tc>
          <w:tcPr>
            <w:tcW w:w="3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(140,500)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(85,200)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cash provided by financing activities</w:t>
            </w:r>
          </w:p>
        </w:tc>
        <w:tc>
          <w:tcPr>
            <w:tcW w:w="3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9,921,700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4,591,900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3,943,500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1,088,400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30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3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4,372,000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1,158,400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Conversion of Senior Secured Notes, Subordinate Convertible Notes, Promissory</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Notes, Accounts payable and other debt into Series B Preferred</w:t>
            </w:r>
          </w:p>
        </w:tc>
        <w:tc>
          <w:tcPr>
            <w:tcW w:w="3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18,891,400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rPr>
              <w:t>Insurance premiums settled by issuing note payable</w:t>
            </w:r>
          </w:p>
        </w:tc>
        <w:tc>
          <w:tcPr>
            <w:tcW w:w="3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117,500</w:t>
            </w:r>
          </w:p>
        </w:tc>
        <w:tc>
          <w:tcPr>
            <w:tcW w:w="2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dividends on Series B Preferred</w:t>
            </w:r>
          </w:p>
        </w:tc>
        <w:tc>
          <w:tcPr>
            <w:tcW w:w="3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20" w:type="dxa"/>
            <w:vAlign w:val="bottom"/>
          </w:tcPr>
          <w:p>
            <w:pPr>
              <w:ind w:left="160"/>
              <w:spacing w:after="0"/>
              <w:rPr>
                <w:sz w:val="20"/>
                <w:szCs w:val="20"/>
                <w:color w:val="auto"/>
              </w:rPr>
            </w:pPr>
            <w:r>
              <w:rPr>
                <w:rFonts w:ascii="Arial" w:cs="Arial" w:eastAsia="Arial" w:hAnsi="Arial"/>
                <w:sz w:val="18"/>
                <w:szCs w:val="18"/>
                <w:color w:val="auto"/>
                <w:w w:val="89"/>
              </w:rPr>
              <w:t>Accrued dividends on Series B Preferred settled upon conversion by issuance</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Pr>
          <w:p>
            <w:pPr>
              <w:ind w:left="320"/>
              <w:spacing w:after="0"/>
              <w:rPr>
                <w:sz w:val="20"/>
                <w:szCs w:val="20"/>
                <w:color w:val="auto"/>
              </w:rPr>
            </w:pPr>
            <w:r>
              <w:rPr>
                <w:rFonts w:ascii="Arial" w:cs="Arial" w:eastAsia="Arial" w:hAnsi="Arial"/>
                <w:sz w:val="18"/>
                <w:szCs w:val="18"/>
                <w:color w:val="auto"/>
              </w:rPr>
              <w:t>of common stock</w:t>
            </w:r>
          </w:p>
        </w:tc>
        <w:tc>
          <w:tcPr>
            <w:tcW w:w="3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1,768,800</w:t>
            </w:r>
          </w:p>
        </w:tc>
        <w:tc>
          <w:tcPr>
            <w:tcW w:w="280" w:type="dxa"/>
            <w:vAlign w:val="bottom"/>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43,500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VistaGen Therapeutics, Inc. (NASDAQ: VTGN), a Nevada corporation, is a clinical-stage biopharmaceutical company focused on developing new generation medicines for depression and other central nervous system (</w:t>
      </w:r>
      <w:r>
        <w:rPr>
          <w:rFonts w:ascii="Arial" w:cs="Arial" w:eastAsia="Arial" w:hAnsi="Arial"/>
          <w:sz w:val="16"/>
          <w:szCs w:val="16"/>
          <w:i w:val="1"/>
          <w:iCs w:val="1"/>
          <w:color w:val="auto"/>
        </w:rPr>
        <w:t>CNS</w:t>
      </w:r>
      <w:r>
        <w:rPr>
          <w:rFonts w:ascii="Arial" w:cs="Arial" w:eastAsia="Arial" w:hAnsi="Arial"/>
          <w:sz w:val="16"/>
          <w:szCs w:val="16"/>
          <w:color w:val="auto"/>
        </w:rPr>
        <w:t xml:space="preserve">) disorders.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Unless the context otherwise requires, the words “</w:t>
      </w:r>
      <w:r>
        <w:rPr>
          <w:rFonts w:ascii="Arial" w:cs="Arial" w:eastAsia="Arial" w:hAnsi="Arial"/>
          <w:sz w:val="16"/>
          <w:szCs w:val="16"/>
          <w:i w:val="1"/>
          <w:iCs w:val="1"/>
          <w:color w:val="auto"/>
        </w:rPr>
        <w:t>VistaGen Therapeutics, Inc.</w:t>
      </w:r>
      <w:r>
        <w:rPr>
          <w:rFonts w:ascii="Arial" w:cs="Arial" w:eastAsia="Arial" w:hAnsi="Arial"/>
          <w:sz w:val="16"/>
          <w:szCs w:val="16"/>
          <w:color w:val="auto"/>
        </w:rPr>
        <w:t>” “</w:t>
      </w:r>
      <w:r>
        <w:rPr>
          <w:rFonts w:ascii="Arial" w:cs="Arial" w:eastAsia="Arial" w:hAnsi="Arial"/>
          <w:sz w:val="16"/>
          <w:szCs w:val="16"/>
          <w:i w:val="1"/>
          <w:iCs w:val="1"/>
          <w:color w:val="auto"/>
        </w:rPr>
        <w:t>VistaGen</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the Company</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 a Nevada corporation.</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AV-101, our lead CNS product candidate, is a new generation oral antidepressant drug candidate in Phase 2 development, initially as an adjunctive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We believe AV-101 may also have the potential to treat additional CNS indications, including chronic neuropathic pain, epilepsy, Huntington’s disease and Parkinson’s disease.</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often used adjunctively with standard antidepressants.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Phase 2a clinical study of AV-101 as a monotherapy in subjects with treatment-resistant MDD is being conducted and fully funded by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under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NIMH (</w:t>
      </w:r>
      <w:r>
        <w:rPr>
          <w:rFonts w:ascii="Arial" w:cs="Arial" w:eastAsia="Arial" w:hAnsi="Arial"/>
          <w:sz w:val="16"/>
          <w:szCs w:val="16"/>
          <w:i w:val="1"/>
          <w:iCs w:val="1"/>
          <w:color w:val="auto"/>
        </w:rPr>
        <w:t>Phase 2a Study</w:t>
      </w:r>
      <w:r>
        <w:rPr>
          <w:rFonts w:ascii="Arial" w:cs="Arial" w:eastAsia="Arial" w:hAnsi="Arial"/>
          <w:sz w:val="16"/>
          <w:szCs w:val="16"/>
          <w:color w:val="auto"/>
        </w:rPr>
        <w:t>). The Principal Investigator of the Phase 2a Study is Dr. Carlos Zarate, Jr., Chief of the NIMH’s Experimental Therapeutics &amp; Pathophysiology Branch and its Section on Neurobiology and Treatment of Mood and Anxiety Disorders. Previous NIMH studies, including studies conducted by Dr. Zarate,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ketamine, a NMDAR antagonist, in patients with treatment-resistant MDD. These NIMH studies, as well as clinical research by Yale University and other academic institutions, have demonstrated robust antidepressant effects in MDD patients within twenty-four hours of a single low dose of I.V. ketamine. We believe orally-administered AV-101 may have potential to deliver ketamine-like fast-acting antidepressant effects without ketamine’s serious side effects. We currently anticipate that the NIMH will complete the Phase 2a Study by the end of 2017.</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2b clinical study of AV-101 as a new generation adjunctive treatment of MDD in adult patients with an inadequate response to standard, FDA-approved antidepressants (</w:t>
      </w:r>
      <w:r>
        <w:rPr>
          <w:rFonts w:ascii="Arial" w:cs="Arial" w:eastAsia="Arial" w:hAnsi="Arial"/>
          <w:sz w:val="16"/>
          <w:szCs w:val="16"/>
          <w:i w:val="1"/>
          <w:iCs w:val="1"/>
          <w:color w:val="auto"/>
        </w:rPr>
        <w:t>Phase 2b Study</w:t>
      </w:r>
      <w:r>
        <w:rPr>
          <w:rFonts w:ascii="Arial" w:cs="Arial" w:eastAsia="Arial" w:hAnsi="Arial"/>
          <w:sz w:val="16"/>
          <w:szCs w:val="16"/>
          <w:color w:val="auto"/>
        </w:rPr>
        <w:t>). We currently anticipate commencement of this multi-center, multi-dose, double blind, placebo-controlled efficacy and safety study of AV-101 by the end of the second quarter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the Phase 2b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of the Phase 2b Study by the end of 2018.</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or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small molecule drug rescue programs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NCEs for our pipeline. In December 2016, we exclusively sublicensed to BlueRock Therapeutics LP, a next generation regenerative medicine company established in December 2016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350 million people worldwide are affected by depression. According to the NIH,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 standard, FDA-approved antidepressant.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Most standard, FDA-approved antidepressants target neurotransmitter reuptake inhibition – either serotonin (antidepressants known as </w:t>
      </w:r>
      <w:r>
        <w:rPr>
          <w:rFonts w:ascii="Arial" w:cs="Arial" w:eastAsia="Arial" w:hAnsi="Arial"/>
          <w:sz w:val="16"/>
          <w:szCs w:val="16"/>
          <w:i w:val="1"/>
          <w:iCs w:val="1"/>
          <w:color w:val="auto"/>
        </w:rPr>
        <w:t>SSRIs</w:t>
      </w:r>
      <w:r>
        <w:rPr>
          <w:rFonts w:ascii="Arial" w:cs="Arial" w:eastAsia="Arial" w:hAnsi="Arial"/>
          <w:sz w:val="16"/>
          <w:szCs w:val="16"/>
          <w:color w:val="auto"/>
        </w:rPr>
        <w:t xml:space="preserve">) or serotonin/norepinephrine (antidepressants known as </w:t>
      </w:r>
      <w:r>
        <w:rPr>
          <w:rFonts w:ascii="Arial" w:cs="Arial" w:eastAsia="Arial" w:hAnsi="Arial"/>
          <w:sz w:val="16"/>
          <w:szCs w:val="16"/>
          <w:i w:val="1"/>
          <w:iCs w:val="1"/>
          <w:color w:val="auto"/>
        </w:rPr>
        <w:t>SNRIs</w:t>
      </w:r>
      <w:r>
        <w:rPr>
          <w:rFonts w:ascii="Arial" w:cs="Arial" w:eastAsia="Arial" w:hAnsi="Arial"/>
          <w:sz w:val="16"/>
          <w:szCs w:val="16"/>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still do not achieve adequate therapeutic benefits. Such patients with an inadequate response to standard antidepressants often seek to augment their treatment regimen by adding an atypical antipsychotic (such as, for example, aripiprazole), despite only modest potential therapeutic benefit and the risk of additional side effects from atypical antipsychotics.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standard, FDA-approved antidepressants have risks of significant side effects, including, among others, potential anxiety, metabolic syndrome, sleep disturbance and sexual dysfunction. Adjunctive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our oral new generation antidepressant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6"/>
          <w:szCs w:val="16"/>
          <w:i w:val="1"/>
          <w:iCs w:val="1"/>
          <w:color w:val="auto"/>
        </w:rPr>
        <w:t>Journal of Pharmacology and Experimental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 statistically</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antidepressant-like responses following a single treatment. These responses were equivalent to those seen with a single sub-anesthetic control dose of ketamine, a NMDAR antagonist.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 We believe activation of the AMPA receptor pathway is a key final common pathway feature of new generation antidepressants.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Following the completion of our NIH-funded, randomized, double blind, placebo-controlled AV-101 Phase 1a and Phase 1b safety studies, the NIMH initiated and is fully funding the Phase 2a study of AV-101 as a monotherapy in subjects with treatment-resistant MDD under our February 2015 CRADA with the NIMH. Dr. Carlos Zarate Jr. of the NIMH is the Principal Investigator conducting the Phase 2a Study at the NIMH. The trial is expected to enroll up to 25 patients. We currently anticipate that the NIMH will complete the Phase 2a Study by the end of 2017.</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approximately 280-patient Phase 2b Study of AV-101 as an adjunctive treatment of MDD in patients with an inadequate response to standard, FDA-approved antidepressants. We currently anticipate the launch of the Phase 2b Study, with Dr. Maurizio Fava of Harvard Medical School serving as Principal Investigator, by the end of the second quarter of 2017. We currently anticipate top line results of the Phase 2b Study by the end of 2018.</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preclinical studies support the hypothesis that AV-101 may also have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 However, human clinical studies will be required before this therapeutic potential could be demonstrated. There is no guarantee that human clinical trials would be successful or that the FDA would approve the use of AV-101 for the treatment of one or more of these additional CNS indications.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NCEs, including small molecule NCEs with regenerative potential, for CNS and other diseases, as well as potential cellular therapies involving stem cell-derived blood, cartilage, heart and liver cells.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long before they are ever tested in animal and human studies. We are currently focused on potential commercial applications of our stem cell technology platform involving (i) use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internal small molecule NCE drug discovery and drug rescue to expand our proprietary drug candidate pipeline, leveraging substantial prior research and development investments by pharmaceutical companies and others related to public domain NCEs terminated before FDA approval due to heart toxicity risks and (ii) RM. With respect to RM, in December 2016, we exclusively sublicensed to BlueRock Therapeutics LP, a next generation regenerative medicine company established in December 2016 by Bayer AG and Versant Ventures, rights to certain proprietary technologies relating to the production of cardiac stem cells for the treatment of heart disease (</w:t>
      </w:r>
      <w:r>
        <w:rPr>
          <w:rFonts w:ascii="Arial" w:cs="Arial" w:eastAsia="Arial" w:hAnsi="Arial"/>
          <w:sz w:val="16"/>
          <w:szCs w:val="16"/>
          <w:i w:val="1"/>
          <w:iCs w:val="1"/>
          <w:color w:val="auto"/>
        </w:rPr>
        <w:t>BlueRock Therapeutics Agreement</w:t>
      </w:r>
      <w:r>
        <w:rPr>
          <w:rFonts w:ascii="Arial" w:cs="Arial" w:eastAsia="Arial" w:hAnsi="Arial"/>
          <w:sz w:val="16"/>
          <w:szCs w:val="16"/>
          <w:color w:val="auto"/>
        </w:rPr>
        <w:t xml:space="preserv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the BlueRock Therapeutics Agreement, we may pursue these additional RM applications in collaboration with third-parties.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Therapeutics, Inc., a California corporation dba VistaStem Therapeutics (</w:t>
      </w:r>
      <w:r>
        <w:rPr>
          <w:rFonts w:ascii="Arial" w:cs="Arial" w:eastAsia="Arial" w:hAnsi="Arial"/>
          <w:sz w:val="18"/>
          <w:szCs w:val="18"/>
          <w:i w:val="1"/>
          <w:iCs w:val="1"/>
          <w:color w:val="auto"/>
        </w:rPr>
        <w:t>VistaStem</w:t>
      </w:r>
      <w:r>
        <w:rPr>
          <w:rFonts w:ascii="Arial" w:cs="Arial" w:eastAsia="Arial" w:hAnsi="Arial"/>
          <w:sz w:val="18"/>
          <w:szCs w:val="18"/>
          <w:color w:val="auto"/>
        </w:rPr>
        <w:t>), is our wholly-owned subsidiary. Our Condensed Consolidated Financial Statements in this Report also include the accounts of VistaStem’s two wholly-owned inactive subsidiaries, Artemis Neuroscience, Inc., a Maryland corporation, and VistaStem Canada, Inc., a corporation organized under the laws of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w:t>
      </w:r>
      <w:r>
        <w:rPr>
          <w:rFonts w:ascii="Arial" w:cs="Arial" w:eastAsia="Arial" w:hAnsi="Arial"/>
          <w:sz w:val="16"/>
          <w:szCs w:val="16"/>
          <w:i w:val="1"/>
          <w:iCs w:val="1"/>
          <w:color w:val="auto"/>
        </w:rPr>
        <w:t>U.S. GAAP</w:t>
      </w:r>
      <w:r>
        <w:rPr>
          <w:rFonts w:ascii="Arial" w:cs="Arial" w:eastAsia="Arial" w:hAnsi="Arial"/>
          <w:sz w:val="16"/>
          <w:szCs w:val="16"/>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at March 31, 2016 has been derived from our audited consolidated financial statements at that date but does not include all disclosures required by U.S. GAAP. The operating results for the three and nine months ended December 31, 2016 are not necessarily indicative of the operating results to be expected for our fiscal year ending March 31, 2017 or for any other interim period or any other future period.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notes to Condensed Consolidated Financial Statements should be read in conjunction with our audited Consolidated Financial Statements for the fiscal year ended March 31, 2016 contained in our Annual Report on Form 10-K, as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24, 2016.</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accompanying unaudited Condensed Consolidated Financial Statements have been prepared assuming we will continue as a going concern. As a developing-technology company having not yet developed commercial products or achieved sustainable revenues, we have experienced recurring losses and negative cash flows from operations resulting in a deficit of $139.4 million accumulated from inception through December 31, 2016. We expect losses and negative cash flows from operations to continue for the foreseeable future as we engage in further potential development of AV-101, including conducting clinical trials, and pursue potential drug rescue, drug development and regenerative medicine opportunities.</w:t>
      </w:r>
    </w:p>
    <w:p>
      <w:pPr>
        <w:spacing w:after="0" w:line="17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Since our inception in May 1998 through December 31, 2016, we have financed our operations and technology acquisitions primarily through the issuance and sale of our equity and debt securities, including convertible promissory notes and short-term promissory notes, for cash proceeds of approximately $44.5 million, as well as from an aggregate of approximately $17.6 million of government research grant awards, strategic collaboration payments, intellectual property sublicensing and other revenues. Additionally, we have issued equity securities with an approximate value at issuance of $30.4 million in non-cash settlements of certain liabilities, including liabilities for professional services rendered to us or as compensation for such services.</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Between April 1, 2016 and May 4, 2016, we sold to accredited investors Series B Preferred Units consisting of 39,714 unregistered shares of our Series B Preferred Stock, par value $0.001 per share (</w:t>
      </w:r>
      <w:r>
        <w:rPr>
          <w:rFonts w:ascii="Arial" w:cs="Arial" w:eastAsia="Arial" w:hAnsi="Arial"/>
          <w:sz w:val="16"/>
          <w:szCs w:val="16"/>
          <w:i w:val="1"/>
          <w:iCs w:val="1"/>
          <w:color w:val="auto"/>
        </w:rPr>
        <w:t>Series B Preferred</w:t>
      </w:r>
      <w:r>
        <w:rPr>
          <w:rFonts w:ascii="Arial" w:cs="Arial" w:eastAsia="Arial" w:hAnsi="Arial"/>
          <w:sz w:val="16"/>
          <w:szCs w:val="16"/>
          <w:color w:val="auto"/>
        </w:rPr>
        <w:t>), and five year warrants exercisable at $7.00 per share (</w:t>
      </w:r>
      <w:r>
        <w:rPr>
          <w:rFonts w:ascii="Arial" w:cs="Arial" w:eastAsia="Arial" w:hAnsi="Arial"/>
          <w:sz w:val="16"/>
          <w:szCs w:val="16"/>
          <w:i w:val="1"/>
          <w:iCs w:val="1"/>
          <w:color w:val="auto"/>
        </w:rPr>
        <w:t>Series B Preferred Warrants</w:t>
      </w:r>
      <w:r>
        <w:rPr>
          <w:rFonts w:ascii="Arial" w:cs="Arial" w:eastAsia="Arial" w:hAnsi="Arial"/>
          <w:sz w:val="16"/>
          <w:szCs w:val="16"/>
          <w:color w:val="auto"/>
        </w:rPr>
        <w:t xml:space="preserve">) to purchase 39,714 shares of our common stock, from which we received cash proceeds of $278,000. Further, on May 16, 2016 we consummated an underwritten public offering pursuant to which we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(the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We received net cash proceeds of approximately $9.5 million from the May 2016 Public Offering after deducting fees and expenses. During the quarter ended December 31, 2016, we received aggregate cash proceeds of $247,900 from the sale of an aggregate of 67,000 shares of our unregistered common stock and warrants exercisable through November 30, 2019 to purchase 16,750 unregistered shares of our common stock to two accredited investors in private placement transactions. As described in greater detail in Note 5</w:t>
      </w:r>
      <w:r>
        <w:rPr>
          <w:rFonts w:ascii="Arial" w:cs="Arial" w:eastAsia="Arial" w:hAnsi="Arial"/>
          <w:sz w:val="16"/>
          <w:szCs w:val="16"/>
          <w:i w:val="1"/>
          <w:iCs w:val="1"/>
          <w:color w:val="auto"/>
        </w:rPr>
        <w:t>, Sublicense Fee Receivable and Sublicense Revenue,</w:t>
      </w:r>
      <w:r>
        <w:rPr>
          <w:rFonts w:ascii="Arial" w:cs="Arial" w:eastAsia="Arial" w:hAnsi="Arial"/>
          <w:sz w:val="16"/>
          <w:szCs w:val="16"/>
          <w:color w:val="auto"/>
        </w:rPr>
        <w:t xml:space="preserve"> we received a cash payment of $1.25 million under the BlueRock Therapeutics Agreement in January 2017. We believe that we currently have sufficient financial resources to fund our expected operations at least through the first half of 2017, including preparation for and launch of the Phase 2b Study. Although our current financial resources are not yet sufficient to fully fund completion of the Phase 2b Study, we anticipate raising sufficient additional capital as and when necessary and advisable to satisfy our key corporate objectives, including conducting and completing the Phase 2b Study in an ordinary course manner. In furtherance of that objective, on January 23, 2017, we filed a Registration Statement on Form S-3 (Registration No. 333-215671) with the Securities and Exchange Commission (the </w:t>
      </w:r>
      <w:r>
        <w:rPr>
          <w:rFonts w:ascii="Arial" w:cs="Arial" w:eastAsia="Arial" w:hAnsi="Arial"/>
          <w:sz w:val="16"/>
          <w:szCs w:val="16"/>
          <w:i w:val="1"/>
          <w:iCs w:val="1"/>
          <w:color w:val="auto"/>
        </w:rPr>
        <w:t>Commission</w:t>
      </w:r>
      <w:r>
        <w:rPr>
          <w:rFonts w:ascii="Arial" w:cs="Arial" w:eastAsia="Arial" w:hAnsi="Arial"/>
          <w:sz w:val="16"/>
          <w:szCs w:val="16"/>
          <w:color w:val="auto"/>
        </w:rPr>
        <w:t>) covering the potential future sale of up to $100 million of our equity and/or debt securities or combinations thereof. There can be no assurance, however, that future financing will be available in sufficient amounts, in a timely manner, or on terms acceptable to us, if at all. We may also seek research and development collaborations that could generate revenue, funding for development of AV-101 and additional product candidates, as well as additional government grant awards and agreements similar to our current CRADA with the NIMH, which provides for the NIMH to fully fund the ongoing Phase 2a study of AV-101 as a monotherapy for MDD. Such strategic collaborations may provide non-dilutive resources to advance our strategic initiatives while reducing a portion of our future cash outlays and working capital requirements. In a manner similar to the BlueRock Therapeutics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 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intellectual property, accounting, public company compliance and other professional services and working capital costs.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 These unaudited Condensed Consolidated Financial Statements do not include any adjustments that might result from the outcome of this uncertainty.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share-based compensation, and assumptions that have been used to value warrants, warrant modifications, warrant liabilities. With the exception of the $1.25 million of sublicense revenue recorded in the quarter ended December 31, 2016 under the BlueRock Therapeutics Agreement, which agreement is described in greater detail under Note 5</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Sublicense Fee Receivable and Sublicense Revenue </w:t>
      </w:r>
      <w:r>
        <w:rPr>
          <w:rFonts w:ascii="Arial" w:cs="Arial" w:eastAsia="Arial" w:hAnsi="Arial"/>
          <w:sz w:val="16"/>
          <w:szCs w:val="16"/>
          <w:color w:val="auto"/>
        </w:rPr>
        <w:t>below, we do not currently have, nor have we had during the periods covered by this report, any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requiring the recognition of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expenses are composed of both internal and external costs. Internal costs include salaries and employment-related expenses of scientific personnel and direct project costs. External research and development expenses consist primarily of costs associated with nonclinical and clinical development of AV-101, now in Phase 2 clinical development, initially for Major Depressive Disorder, stem cell technology-related research and development costs, and costs related to the filing, maintenance and prosecution of patents and patent applications and technology licenses. All such costs are charged to expense as incurred.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recognize compensation cost for all stock-based awards to employees or consultants based on the grant date fair value of the award. Non-cash, stock-based compensation expense is recognized over the period during which the employee or consultant is required to perform services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stock-based compensation expense included in the accompanying Condensed Consolidated Statements of Operations and Comprehensive Loss for the three and nine months ended December 31,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4"/>
          </w:tcPr>
          <w:p>
            <w:pPr>
              <w:jc w:val="right"/>
              <w:ind w:right="332"/>
              <w:spacing w:after="0"/>
              <w:rPr>
                <w:sz w:val="20"/>
                <w:szCs w:val="20"/>
                <w:color w:val="auto"/>
              </w:rPr>
            </w:pPr>
            <w:r>
              <w:rPr>
                <w:rFonts w:ascii="Arial" w:cs="Arial" w:eastAsia="Arial" w:hAnsi="Arial"/>
                <w:sz w:val="18"/>
                <w:szCs w:val="18"/>
                <w:b w:val="1"/>
                <w:bCs w:val="1"/>
                <w:color w:val="auto"/>
                <w:w w:val="99"/>
              </w:rPr>
              <w:t>Three Months Ended</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Nine Months Ended</w:t>
            </w:r>
          </w:p>
        </w:tc>
      </w:tr>
      <w:tr>
        <w:trPr>
          <w:trHeight w:val="237"/>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7"/>
              </w:rPr>
              <w:t>December 31,</w:t>
            </w:r>
          </w:p>
        </w:tc>
      </w:tr>
      <w:tr>
        <w:trPr>
          <w:trHeight w:val="223"/>
        </w:trPr>
        <w:tc>
          <w:tcPr>
            <w:tcW w:w="60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w w:val="79"/>
              </w:rPr>
              <w:t>2015</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r>
      <w:tr>
        <w:trPr>
          <w:trHeight w:val="214"/>
        </w:trPr>
        <w:tc>
          <w:tcPr>
            <w:tcW w:w="6080" w:type="dxa"/>
            <w:vAlign w:val="bottom"/>
          </w:tcPr>
          <w:p>
            <w:pPr>
              <w:ind w:left="60"/>
              <w:spacing w:after="0"/>
              <w:rPr>
                <w:sz w:val="20"/>
                <w:szCs w:val="20"/>
                <w:color w:val="auto"/>
              </w:rPr>
            </w:pPr>
            <w:r>
              <w:rPr>
                <w:rFonts w:ascii="Arial" w:cs="Arial" w:eastAsia="Arial" w:hAnsi="Arial"/>
                <w:sz w:val="18"/>
                <w:szCs w:val="18"/>
                <w:color w:val="auto"/>
              </w:rPr>
              <w:t>Research and development expense: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8"/>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grants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113,900</w:t>
            </w:r>
          </w:p>
        </w:tc>
        <w:tc>
          <w:tcPr>
            <w:tcW w:w="66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5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118,700</w:t>
            </w: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Warrants granted to officer in March 2014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8"/>
                <w:szCs w:val="18"/>
                <w:color w:val="auto"/>
              </w:rPr>
            </w:pPr>
          </w:p>
        </w:tc>
      </w:tr>
      <w:tr>
        <w:trPr>
          <w:trHeight w:val="223"/>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 granted to officer in September 2015</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852,200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113,900</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74,100</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239,900</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979,400</w:t>
            </w:r>
          </w:p>
        </w:tc>
        <w:tc>
          <w:tcPr>
            <w:tcW w:w="14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Stock option grants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153,300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36,500</w:t>
            </w:r>
          </w:p>
        </w:tc>
        <w:tc>
          <w:tcPr>
            <w:tcW w:w="140" w:type="dxa"/>
            <w:vAlign w:val="bottom"/>
          </w:tcPr>
          <w:p>
            <w:pPr>
              <w:spacing w:after="0"/>
              <w:rPr>
                <w:sz w:val="18"/>
                <w:szCs w:val="18"/>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granted to officers and directors in March 2014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140" w:type="dxa"/>
            <w:vAlign w:val="bottom"/>
            <w:shd w:val="clear" w:color="auto" w:fill="CCEEFF"/>
          </w:tcPr>
          <w:p>
            <w:pPr>
              <w:spacing w:after="0"/>
              <w:rPr>
                <w:sz w:val="18"/>
                <w:szCs w:val="18"/>
                <w:color w:val="auto"/>
              </w:rPr>
            </w:pPr>
          </w:p>
        </w:tc>
      </w:tr>
      <w:tr>
        <w:trPr>
          <w:trHeight w:val="223"/>
        </w:trPr>
        <w:tc>
          <w:tcPr>
            <w:tcW w:w="6080" w:type="dxa"/>
            <w:vAlign w:val="bottom"/>
          </w:tcPr>
          <w:p>
            <w:pPr>
              <w:ind w:left="180"/>
              <w:spacing w:after="0"/>
              <w:rPr>
                <w:sz w:val="20"/>
                <w:szCs w:val="20"/>
                <w:color w:val="auto"/>
              </w:rPr>
            </w:pPr>
            <w:r>
              <w:rPr>
                <w:rFonts w:ascii="Arial" w:cs="Arial" w:eastAsia="Arial" w:hAnsi="Arial"/>
                <w:sz w:val="18"/>
                <w:szCs w:val="18"/>
                <w:color w:val="auto"/>
                <w:w w:val="99"/>
              </w:rPr>
              <w:t>Warrants granted to officers, directors and consultants in September 2015</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2,840,700</w:t>
            </w:r>
          </w:p>
        </w:tc>
        <w:tc>
          <w:tcPr>
            <w:tcW w:w="140" w:type="dxa"/>
            <w:vAlign w:val="bottom"/>
          </w:tcPr>
          <w:p>
            <w:pPr>
              <w:spacing w:after="0"/>
              <w:rPr>
                <w:sz w:val="19"/>
                <w:szCs w:val="19"/>
                <w:color w:val="auto"/>
              </w:rPr>
            </w:pPr>
          </w:p>
        </w:tc>
      </w:tr>
      <w:tr>
        <w:trPr>
          <w:trHeight w:val="223"/>
        </w:trPr>
        <w:tc>
          <w:tcPr>
            <w:tcW w:w="6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153,300</w:t>
            </w:r>
          </w:p>
        </w:tc>
        <w:tc>
          <w:tcPr>
            <w:tcW w:w="2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24,300</w:t>
            </w:r>
          </w:p>
        </w:tc>
        <w:tc>
          <w:tcPr>
            <w:tcW w:w="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6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267,200</w:t>
            </w:r>
          </w:p>
        </w:tc>
        <w:tc>
          <w:tcPr>
            <w:tcW w:w="2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573,900</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3,868,300</w:t>
            </w:r>
          </w:p>
        </w:tc>
        <w:tc>
          <w:tcPr>
            <w:tcW w:w="140" w:type="dxa"/>
            <w:vAlign w:val="bottom"/>
            <w:shd w:val="clear" w:color="auto" w:fill="CCEEFF"/>
          </w:tcPr>
          <w:p>
            <w:pPr>
              <w:spacing w:after="0"/>
              <w:rPr>
                <w:sz w:val="20"/>
                <w:szCs w:val="20"/>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2016, our Board of Directors (</w:t>
      </w:r>
      <w:r>
        <w:rPr>
          <w:rFonts w:ascii="Arial" w:cs="Arial" w:eastAsia="Arial" w:hAnsi="Arial"/>
          <w:sz w:val="16"/>
          <w:szCs w:val="16"/>
          <w:i w:val="1"/>
          <w:iCs w:val="1"/>
          <w:color w:val="auto"/>
        </w:rPr>
        <w:t>the Board</w:t>
      </w:r>
      <w:r>
        <w:rPr>
          <w:rFonts w:ascii="Arial" w:cs="Arial" w:eastAsia="Arial" w:hAnsi="Arial"/>
          <w:sz w:val="16"/>
          <w:szCs w:val="16"/>
          <w:color w:val="auto"/>
        </w:rPr>
        <w:t>) approved the grant of options to purchase an aggregate of 655,000 shares of our common stock at an exercise price of $3.49 per share to the independent members of our Board and to our officers, including our newly-hired Chief Medical Officer. In September 2016, the Board approved the grant of an option to purchase 125,000 shares of our common stock at an exercise price of $4.27 per share to another newly-hired officer. In November 2016, the Board authorized the grant of stock options to independent members of the Board and to our officers and employees to purchase an aggregate of 560,000 shares of our common stock at an exercise price of $3.80 per share. At December 31, 2016, there were stock options outstanding to purchase 1,659,324 shares of our common stock at a weighted average exercise price of $4.76 per share. We valued the options granted in June, September and November 2016 using the Black-Scholes Option Pricing Model and the following weighted average assumptions: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June</w:t>
            </w:r>
          </w:p>
        </w:tc>
        <w:tc>
          <w:tcPr>
            <w:tcW w:w="12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8"/>
              </w:rPr>
              <w:t>September</w:t>
            </w:r>
          </w:p>
        </w:tc>
        <w:tc>
          <w:tcPr>
            <w:tcW w:w="1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November</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September 2015, the Board approved the grant of options to purchase an aggregate of 90,000 shares of our common stock at an exercise price of $9.25 per share to our non-officer employees and certain consultants. The Board also granted immediately vested warrants to purchase an aggregate of 650,000 shares of our common stock to our executive officers, independent members of the Board and certain consultants. We valued the warrants and options granted in September 2015 using the Black-Scholes Option Pricing Model and the following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Employee</w:t>
            </w: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6"/>
              </w:rPr>
              <w:t>Non-employee</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Assumption:</w:t>
            </w:r>
          </w:p>
        </w:tc>
        <w:tc>
          <w:tcPr>
            <w:tcW w:w="16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Warrants</w:t>
            </w:r>
          </w:p>
        </w:tc>
        <w:tc>
          <w:tcPr>
            <w:tcW w:w="14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Options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 at grant date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w:t>
            </w:r>
          </w:p>
        </w:tc>
        <w:tc>
          <w:tcPr>
            <w:tcW w:w="2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Contractual or estimated term in years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rate</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per Common Share</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Basic net income (loss) per share of common stock excludes the effect of dilution and is computed by dividing net income (loss) by the weighted-average number of shares of common stock outstanding for the period. Diluted net income (loss) per share of common stock reflects the potential dilution that could occur if securities or other contracts to issue shares of common stock were exercised or converted into shares of common stock. In calculating diluted net income (loss) per share, we have historically adjusted the numerator for the change in the fair value of the warrant liability attributable to outstanding warrants, only if dilutive, and increased the denominator to include the number of potentially dilutive common shares assumed to be outstanding during the period using the treasury stock method. The change in the fair value of the warrant liability, which was eliminated in May 2015, had no impact on the diluted net earnings per share calculation in any period included in these unaudited Condensed Consolidated Financial Statements.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result of our net loss for the periods presented, potentially dilutive securities were excluded from the computation of net loss per share, as their effect would be antidilutive. For the three and nine month periods ended December 31, 2016 and 2015, the accrual for dividends on our Series B Preferred and the deemed dividend attributable to the issuance of our Series B Preferred Units represent deductions from our net loss to arrive at net loss attributable to common stockholders for those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Potentially dilutive securities excluded in determining diluted net loss attributable to common stockholders per common share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0" w:type="dxa"/>
            <w:vAlign w:val="bottom"/>
            <w:gridSpan w:val="4"/>
          </w:tcPr>
          <w:p>
            <w:pPr>
              <w:ind w:left="50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10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3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A Preferred stock issued and outstanding </w:t>
            </w:r>
            <w:r>
              <w:rPr>
                <w:rFonts w:ascii="Arial" w:cs="Arial" w:eastAsia="Arial" w:hAnsi="Arial"/>
                <w:sz w:val="24"/>
                <w:szCs w:val="24"/>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B Preferred stock issued and outstanding </w:t>
            </w:r>
            <w:r>
              <w:rPr>
                <w:rFonts w:ascii="Arial" w:cs="Arial" w:eastAsia="Arial" w:hAnsi="Arial"/>
                <w:sz w:val="24"/>
                <w:szCs w:val="24"/>
                <w:color w:val="auto"/>
                <w:vertAlign w:val="superscript"/>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1,160,240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3,588,863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Series C Preferred stock issued and outstanding </w:t>
            </w:r>
            <w:r>
              <w:rPr>
                <w:rFonts w:ascii="Arial" w:cs="Arial" w:eastAsia="Arial" w:hAnsi="Arial"/>
                <w:sz w:val="24"/>
                <w:szCs w:val="24"/>
                <w:color w:val="auto"/>
                <w:vertAlign w:val="superscript"/>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2,318,012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 under the 2016 (formerly 2008) and 1999 Stock Incentive Plans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296,738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warrants to purchase common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4,550,370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4,971,497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w w:val="93"/>
              </w:rPr>
              <w:t>Warrant shares issuable to PLTG upon exchange of Series A Preferred under the terms of the October 11, 2012 Note</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 and Purchase Agreement, as subsequently amended</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535,715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10,437,946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10,142,813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____________</w:t>
            </w: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ind w:left="200" w:hanging="192"/>
        <w:spacing w:after="0" w:line="195" w:lineRule="auto"/>
        <w:tabs>
          <w:tab w:leader="none" w:pos="20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Assumes exchange under the terms of the October 11, 2012 Note Exchange and Purchase Agreement with PLTG, as amended</w:t>
      </w:r>
    </w:p>
    <w:p>
      <w:pPr>
        <w:spacing w:after="0" w:line="8" w:lineRule="exact"/>
        <w:rPr>
          <w:rFonts w:ascii="Arial" w:cs="Arial" w:eastAsia="Arial" w:hAnsi="Arial"/>
          <w:sz w:val="23"/>
          <w:szCs w:val="23"/>
          <w:color w:val="auto"/>
          <w:vertAlign w:val="superscript"/>
        </w:rPr>
      </w:pPr>
    </w:p>
    <w:p>
      <w:pPr>
        <w:ind w:right="180" w:firstLine="8"/>
        <w:spacing w:after="0" w:line="239"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B 10% Convertible Preferred Stock, effective May 5, 2015</w:t>
      </w:r>
    </w:p>
    <w:p>
      <w:pPr>
        <w:ind w:right="560" w:firstLine="8"/>
        <w:spacing w:after="0" w:line="248" w:lineRule="auto"/>
        <w:tabs>
          <w:tab w:leader="none" w:pos="187"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Assumes exchange under the terms of the Certificate of Designation of the Relative Rights and Preferences of the Series C Convertible Preferred Stock, effective January 25,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Other than as identified below, there have been no recent accounting pronouncements or changes in accounting pronouncements during the nine months ended December 31, 2016, as compared to the recent accounting pronouncements described in the Company’s Form 10-K for the fiscal year ended March 31, 2016, that are of significance or potential significance to the Company.</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2016, the Financial Accounting Standards Board issued guidance to reduce the diversity in the presentation of certain cash receipts and cash payments presented and classified in the statement of cash flows. The guidance addresses the following eight specific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settlement of corporate-owned life insurance policies, including bank-owned life insurance policies, (6) distributions received from equity method investees, (7) beneficial interests in securitization transitions and (8) separately identifiable cash flows and application of predominance principle. The guidance will be effective for fiscal years and interim periods beginning after December 15, 2017, and early adoption is permitted. The guidance requires retrospective adoption. We are evaluating the effect that ASU No. 2016-15 will have on our consolidated financial statements and related disclosures.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 instruments for hedging of market risks or for trading or speculative purposes.</w:t>
      </w:r>
    </w:p>
    <w:p>
      <w:pPr>
        <w:spacing w:after="0" w:line="225"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In conjunction with certain Senior Secured Convertible Promissory Notes that we issued to Platinum Long Term Growth VII, LLC (</w:t>
      </w:r>
      <w:r>
        <w:rPr>
          <w:rFonts w:ascii="Arial" w:cs="Arial" w:eastAsia="Arial" w:hAnsi="Arial"/>
          <w:sz w:val="15"/>
          <w:szCs w:val="15"/>
          <w:i w:val="1"/>
          <w:iCs w:val="1"/>
          <w:color w:val="auto"/>
        </w:rPr>
        <w:t>PLTG</w:t>
      </w:r>
      <w:r>
        <w:rPr>
          <w:rFonts w:ascii="Arial" w:cs="Arial" w:eastAsia="Arial" w:hAnsi="Arial"/>
          <w:sz w:val="15"/>
          <w:szCs w:val="15"/>
          <w:color w:val="auto"/>
        </w:rPr>
        <w:t>) between October 2012 and July 2013 and the related PLTG Warrants, and the contingently issuable Series A Exchange Warrant, we determined that the warrants included certain exercise price and other adjustment features requiring the warrants to be treated as liabilities, which were recorded at their issuance-date estimated fair values and marked to market at each subsequent reporting period. We determined the fair value of the warrant liabilities using Level 3 (unobservable) inputs, since there was minimal comparable external market data available. Inputs used to determine fair value included the remaining contractual term of the warrants, risk-free interest rates, expected volatility of the price of the underlying common stock, and the probability of a financing transaction that would trigger a reset in the warrant exercise price, and, in the case of the Series A Exchange Warrant, the probability of PLTG’s exchange of the shares of Series A Preferred it holds into shares of common stock. The change in the fair value of these warrant liabilities between March 31, 2015 and their subsequent elimination (described below) was recognized as a non-cash expense in the Condensed Consolidated Statement of Operations and Comprehensive Loss for the three months ended June 30, 2015.</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May 12, 2015, we entered into an agreement with PLTG pursuant to which PLTG agreed to amend the PLTG Warrants to (i) fix the exercise price thereof at $7.00 per share, (ii) eliminate the exercise price reset features and (iii) fix the number of shares of our common stock issuable thereunder. This agreement and the related modification of the PLTG Warrants resulted in the elimination of the warrant liability with respect to the PLTG Warrants during the quarter ended June 30, 2015.</w:t>
      </w:r>
    </w:p>
    <w:p>
      <w:pPr>
        <w:spacing w:after="0" w:line="197"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In January 2016, we entered into an Exchange Agreement with PLTG pursuant to which PLTG exchanged all outstanding PLTG Warrants plus the shares issuable pursuant to the Series A Preferred Exchange Warrant for unregistered shares of our Series C Convertible Preferred Stock (</w:t>
      </w:r>
      <w:r>
        <w:rPr>
          <w:rFonts w:ascii="Arial" w:cs="Arial" w:eastAsia="Arial" w:hAnsi="Arial"/>
          <w:sz w:val="15"/>
          <w:szCs w:val="15"/>
          <w:i w:val="1"/>
          <w:iCs w:val="1"/>
          <w:color w:val="auto"/>
        </w:rPr>
        <w:t>Series C Preferred</w:t>
      </w:r>
      <w:r>
        <w:rPr>
          <w:rFonts w:ascii="Arial" w:cs="Arial" w:eastAsia="Arial" w:hAnsi="Arial"/>
          <w:sz w:val="15"/>
          <w:szCs w:val="15"/>
          <w:color w:val="auto"/>
        </w:rPr>
        <w:t>) in the ratio of 0.75 share of Series C Preferred for each warrant share cancelled. As a result of the Exchange Agreement, all warrants previously issued to PLTG have been cancelled.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carried no assets or liabilities at fair value at December 31, 2016 or March 31, 2016.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Sublicense Fee Receivable and Sublicense Revenue</w:t>
      </w:r>
    </w:p>
    <w:p>
      <w:pPr>
        <w:spacing w:after="0" w:line="231"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On December 9, 2016, we entered into an Exclusive License and Sublicense Agreement with BlueRock Therapeutics, LP, a next generation regenerative medicine company established in December 2016 by Bayer AG and Versant Ventures (</w:t>
      </w:r>
      <w:r>
        <w:rPr>
          <w:rFonts w:ascii="Arial" w:cs="Arial" w:eastAsia="Arial" w:hAnsi="Arial"/>
          <w:sz w:val="15"/>
          <w:szCs w:val="15"/>
          <w:i w:val="1"/>
          <w:iCs w:val="1"/>
          <w:color w:val="auto"/>
        </w:rPr>
        <w:t>BlueRock Therapeutics</w:t>
      </w:r>
      <w:r>
        <w:rPr>
          <w:rFonts w:ascii="Arial" w:cs="Arial" w:eastAsia="Arial" w:hAnsi="Arial"/>
          <w:sz w:val="15"/>
          <w:szCs w:val="15"/>
          <w:color w:val="auto"/>
        </w:rPr>
        <w:t>), pursuant to which BlueRock received exclusive rights to utilize certain technologies exclusively licensed by us from University Health Network (</w:t>
      </w:r>
      <w:r>
        <w:rPr>
          <w:rFonts w:ascii="Arial" w:cs="Arial" w:eastAsia="Arial" w:hAnsi="Arial"/>
          <w:sz w:val="15"/>
          <w:szCs w:val="15"/>
          <w:i w:val="1"/>
          <w:iCs w:val="1"/>
          <w:color w:val="auto"/>
        </w:rPr>
        <w:t>UHN</w:t>
      </w:r>
      <w:r>
        <w:rPr>
          <w:rFonts w:ascii="Arial" w:cs="Arial" w:eastAsia="Arial" w:hAnsi="Arial"/>
          <w:sz w:val="15"/>
          <w:szCs w:val="15"/>
          <w:color w:val="auto"/>
        </w:rPr>
        <w:t>) for the production of cardiac stem cells for the treatment of heart disease. We retained rights to cardiac stem cell technology licensed from UHN related to small molecule, protein and antibody drug discovery, drug rescue and drug development, including small molecules with cardiac regenerative potential, as well as small molecule, protein and antibody testing involving cardiac cells.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BlueRock Therapeutics Agreement, we are entitled to receive an upfront payment of $1.25 million and we have the potential to receive additional milestone payments and royalties in the future, in the event certain performance-based milestones and commercial sales are achieved. At December 31, 2016, we had no further obligations under the BlueRock Therapeutics Agreement and, accordingly, we recorded a receivable for the $1.25 million upfront payment with a corresponding recognition of the sublicense revenue. We received the $1.25 million cash payment due under the BlueRock Therapeutics Agreement on January 5, 2017.</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Also on December 9, 2016, we entered into a series of agreements with UHN pursuant to which we (i) executed two new exclusive patent license agreements related to certain cardiac stem cell technologies discovered by Dr. Gordon Keller, Director of UHN's McEwen Centre for Regenerative Medicine, under our Sponsored Research Agreement with Dr. Keller and UHN, originally executed on September 18, 2007 (the </w:t>
      </w:r>
      <w:r>
        <w:rPr>
          <w:rFonts w:ascii="Arial" w:cs="Arial" w:eastAsia="Arial" w:hAnsi="Arial"/>
          <w:sz w:val="18"/>
          <w:szCs w:val="18"/>
          <w:i w:val="1"/>
          <w:iCs w:val="1"/>
          <w:color w:val="auto"/>
        </w:rPr>
        <w:t>SRA</w:t>
      </w:r>
      <w:r>
        <w:rPr>
          <w:rFonts w:ascii="Arial" w:cs="Arial" w:eastAsia="Arial" w:hAnsi="Arial"/>
          <w:sz w:val="18"/>
          <w:szCs w:val="18"/>
          <w:color w:val="auto"/>
        </w:rPr>
        <w:t>); (ii) amended two exclusive cardiac stem cell technology patent license agreements previously entered into between us and UHN under the SRA; (iii) terminated the SRA to facilitate the BlueRock Therapeutics Agreement; and (iv) agreed to make a sublicense consideration payment to UHN with respect to the upfront payment we received under the BlueRock Therapeutics Agreement. All financial obligations related to the agreements with UHN, aggregating $233,400, were reflected in accounts payable at December 31,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Prepaid Expenses and Other Current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are composed of the following at December 31, 2016 and March 31, 2016: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60" w:type="dxa"/>
            <w:vAlign w:val="bottom"/>
            <w:gridSpan w:val="6"/>
          </w:tcPr>
          <w:p>
            <w:pPr>
              <w:jc w:val="center"/>
              <w:ind w:right="60"/>
              <w:spacing w:after="0"/>
              <w:rPr>
                <w:sz w:val="20"/>
                <w:szCs w:val="20"/>
                <w:color w:val="auto"/>
              </w:rPr>
            </w:pPr>
            <w:r>
              <w:rPr>
                <w:rFonts w:ascii="Arial" w:cs="Arial" w:eastAsia="Arial" w:hAnsi="Arial"/>
                <w:sz w:val="18"/>
                <w:szCs w:val="18"/>
                <w:b w:val="1"/>
                <w:bCs w:val="1"/>
                <w:color w:val="auto"/>
                <w:w w:val="87"/>
              </w:rPr>
              <w:t>December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ind w:left="120"/>
              <w:spacing w:after="0"/>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8"/>
                <w:szCs w:val="18"/>
                <w:b w:val="1"/>
                <w:bCs w:val="1"/>
                <w:color w:val="auto"/>
                <w:w w:val="94"/>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27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58,300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Prepaid AV-101 development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82,300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compensation under financial advisory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other consulting agreements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0"/>
              <w:spacing w:after="0"/>
              <w:rPr>
                <w:sz w:val="20"/>
                <w:szCs w:val="20"/>
                <w:color w:val="auto"/>
              </w:rPr>
            </w:pPr>
            <w:r>
              <w:rPr>
                <w:rFonts w:ascii="Arial" w:cs="Arial" w:eastAsia="Arial" w:hAnsi="Arial"/>
                <w:sz w:val="18"/>
                <w:szCs w:val="18"/>
                <w:color w:val="auto"/>
              </w:rPr>
              <w:t>Public offering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left w:val="single" w:sz="8" w:color="CCEEFF"/>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146,400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Accrued Expenses</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4"/>
        </w:trPr>
        <w:tc>
          <w:tcPr>
            <w:tcW w:w="45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10"/>
          </w:tcPr>
          <w:p>
            <w:pPr>
              <w:spacing w:after="0"/>
              <w:rPr>
                <w:sz w:val="20"/>
                <w:szCs w:val="20"/>
                <w:color w:val="auto"/>
              </w:rPr>
            </w:pPr>
            <w:r>
              <w:rPr>
                <w:rFonts w:ascii="Arial" w:cs="Arial" w:eastAsia="Arial" w:hAnsi="Arial"/>
                <w:sz w:val="18"/>
                <w:szCs w:val="18"/>
                <w:color w:val="auto"/>
                <w:w w:val="93"/>
              </w:rPr>
              <w:t>Accrued expenses are composed of the following at December 31, 2016 and March 31, 2016:</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December 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1"/>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232"/>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34,700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Accrued AV-101 development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918,300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8"/>
                <w:szCs w:val="18"/>
                <w:color w:val="auto"/>
              </w:rPr>
              <w:t>All other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961,800</w:t>
            </w:r>
          </w:p>
        </w:tc>
        <w:tc>
          <w:tcPr>
            <w:tcW w:w="1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Note 8. Notes Payable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gridSpan w:val="13"/>
          </w:tcPr>
          <w:p>
            <w:pPr>
              <w:spacing w:after="0"/>
              <w:rPr>
                <w:sz w:val="20"/>
                <w:szCs w:val="20"/>
                <w:color w:val="auto"/>
              </w:rPr>
            </w:pPr>
            <w:r>
              <w:rPr>
                <w:rFonts w:ascii="Arial" w:cs="Arial" w:eastAsia="Arial" w:hAnsi="Arial"/>
                <w:sz w:val="18"/>
                <w:szCs w:val="18"/>
                <w:color w:val="auto"/>
                <w:w w:val="93"/>
              </w:rPr>
              <w:t>The following table summarizes our unsecured promissory notes at December 31, 2016 and March 31, 2016.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w w:val="93"/>
              </w:rPr>
              <w:t>December 31, 2016</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8"/>
                <w:szCs w:val="18"/>
                <w:b w:val="1"/>
                <w:bCs w:val="1"/>
                <w:color w:val="auto"/>
              </w:rPr>
              <w:t>March 31, 2016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60"/>
              <w:spacing w:after="0" w:line="201" w:lineRule="exact"/>
              <w:rPr>
                <w:sz w:val="20"/>
                <w:szCs w:val="20"/>
                <w:color w:val="auto"/>
              </w:rPr>
            </w:pPr>
            <w:r>
              <w:rPr>
                <w:rFonts w:ascii="Arial" w:cs="Arial" w:eastAsia="Arial" w:hAnsi="Arial"/>
                <w:sz w:val="18"/>
                <w:szCs w:val="18"/>
                <w:b w:val="1"/>
                <w:bCs w:val="1"/>
                <w:color w:val="auto"/>
                <w:w w:val="89"/>
              </w:rPr>
              <w:t>Principal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340"/>
              <w:spacing w:after="0" w:line="201" w:lineRule="exact"/>
              <w:rPr>
                <w:sz w:val="20"/>
                <w:szCs w:val="20"/>
                <w:color w:val="auto"/>
              </w:rPr>
            </w:pPr>
            <w:r>
              <w:rPr>
                <w:rFonts w:ascii="Arial" w:cs="Arial" w:eastAsia="Arial" w:hAnsi="Arial"/>
                <w:sz w:val="18"/>
                <w:szCs w:val="18"/>
                <w:b w:val="1"/>
                <w:bCs w:val="1"/>
                <w:color w:val="auto"/>
                <w:w w:val="86"/>
              </w:rPr>
              <w:t>Accrued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200"/>
              <w:spacing w:after="0" w:line="201" w:lineRule="exact"/>
              <w:rPr>
                <w:sz w:val="20"/>
                <w:szCs w:val="20"/>
                <w:color w:val="auto"/>
              </w:rPr>
            </w:pPr>
            <w:r>
              <w:rPr>
                <w:rFonts w:ascii="Arial" w:cs="Arial" w:eastAsia="Arial" w:hAnsi="Arial"/>
                <w:sz w:val="18"/>
                <w:szCs w:val="18"/>
                <w:b w:val="1"/>
                <w:bCs w:val="1"/>
                <w:color w:val="auto"/>
                <w:w w:val="92"/>
              </w:rPr>
              <w:t>Principal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0"/>
              <w:spacing w:after="0" w:line="201" w:lineRule="exact"/>
              <w:rPr>
                <w:sz w:val="20"/>
                <w:szCs w:val="20"/>
                <w:color w:val="auto"/>
              </w:rPr>
            </w:pPr>
            <w:r>
              <w:rPr>
                <w:rFonts w:ascii="Arial" w:cs="Arial" w:eastAsia="Arial" w:hAnsi="Arial"/>
                <w:sz w:val="18"/>
                <w:szCs w:val="18"/>
                <w:b w:val="1"/>
                <w:bCs w:val="1"/>
                <w:color w:val="auto"/>
                <w:w w:val="88"/>
              </w:rPr>
              <w:t>Accrued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Balance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Interest</w:t>
            </w: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5.75% Note payable to insurance premium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financing company (current)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 payable to Progressive Medical Research</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(31,600)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7.0% Notes payable - non-current portion</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2"/>
                <w:szCs w:val="2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notes payable to unrelated parties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58,800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less: current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(35,800)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(35,800)</w:t>
            </w: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(31,600)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non-current portion</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Between May 2015 and August 2015, we extinguished the outstanding balances of approximately $17,200,000 of indebtedness, including all senior secured promissory notes and a substantial portion of other indebtedness that was either due and payable or would have become due and payable prior to March 31, 2016, by converting such indebtedness into shares of our Series B Preferred at a Conversion Price (or stated value) of $7.00 per share.</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Evaluating each converted note or debt class separately, we determined that the conversion of each of such notes and other debt instruments into Series B Preferred should be accounted for as an extinguishment of debt. Because the fair value of the Series B Preferred into which the debt instruments were converted in all cases exceeded the carrying value of the debt, we recorded an aggregate, non-recurring, non-cash loss on extinguishment of debt of $26,700,200, in our fiscal year ended March 31, 2016, as reflected in the accompanying Condensed Consolidated Statement of Operations and Comprehensive Loss for the nine months ended December 31, 2015.</w:t>
      </w:r>
    </w:p>
    <w:p>
      <w:pPr>
        <w:spacing w:after="0" w:line="19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On January 5, 2016, we paid in full the $33,300 outstanding balance (principal and accrued but unpaid interest) of the promissory note previously issued to the University of California in connection with our collaborative research and development relationship with the University of California at Davis.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June 13, 2016, we paid in full the $71,600 outstanding balance (principal and accrued but unpaid interest) of the promissory note we issued to Progressive Medical Research (</w:t>
      </w:r>
      <w:r>
        <w:rPr>
          <w:rFonts w:ascii="Arial" w:cs="Arial" w:eastAsia="Arial" w:hAnsi="Arial"/>
          <w:sz w:val="18"/>
          <w:szCs w:val="18"/>
          <w:i w:val="1"/>
          <w:iCs w:val="1"/>
          <w:color w:val="auto"/>
        </w:rPr>
        <w:t>PMR</w:t>
      </w:r>
      <w:r>
        <w:rPr>
          <w:rFonts w:ascii="Arial" w:cs="Arial" w:eastAsia="Arial" w:hAnsi="Arial"/>
          <w:sz w:val="18"/>
          <w:szCs w:val="18"/>
          <w:color w:val="auto"/>
        </w:rPr>
        <w:t>) in connection with our clinical development relationship with PMR.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we executed a promissory note in the face amount of $117,500 in connection with certain insurance policy premiums. The note is payable in monthly installments of $12,100, including principal and interest, through March 2017, and the remaining balance of such note as of December 31, 2016 was $35,800.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Preferred Unit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Prior to the consummation of our May 2016 Public Offering, we sold to accredited investors in self-placed private placement transactions an aggregate of $278,000 of units in our Series B Preferred Unit offering in April and May 2016, which units consisted of Series B Preferred and Series B Warrants (together </w:t>
      </w:r>
      <w:r>
        <w:rPr>
          <w:rFonts w:ascii="Arial" w:cs="Arial" w:eastAsia="Arial" w:hAnsi="Arial"/>
          <w:sz w:val="18"/>
          <w:szCs w:val="18"/>
          <w:i w:val="1"/>
          <w:iCs w:val="1"/>
          <w:color w:val="auto"/>
        </w:rPr>
        <w:t>Series B Preferred Units</w:t>
      </w:r>
      <w:r>
        <w:rPr>
          <w:rFonts w:ascii="Arial" w:cs="Arial" w:eastAsia="Arial" w:hAnsi="Arial"/>
          <w:sz w:val="18"/>
          <w:szCs w:val="18"/>
          <w:color w:val="auto"/>
        </w:rPr>
        <w:t>). We issued 39,714 shares of Series B Preferred and Series B Warrants to purchase 39,714 shares of our common stock. From May 2015</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termination of the Series B Preferred Unit offering in May 2016, we received an aggregate of $5,303,800 in cash proceeds from our self-placed private placement and sale of the Series B Preferred Units.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allocated the proceeds from the sale of the Series B Preferred Units during April and May 2016 to the Series B Preferred and the Series B Warrants based on their relative fair values on the dates of the sales. We determined that the fair value of a share of Series B Preferred was equal to the quoted market value of a share of our common stock on the date of a Series B Preferred Unit sale. We calculated the fair value of the Series B Warrants using the Black Scholes Option Pricing Model and the weighted average assumptions indicated in the table below. The table below also presents the aggregate allocation of the Series B Preferred Unit sales proceeds based on the relative fair values of the Series B Preferred and the Series B Warrants as of their respective Series B Preferred Unit sales dates. The difference between the relative fair value per share of the Series B Preferred, approximately $4.20 per share, and its Conversion Price (or stated value) of $7.00 per share represents a deemed dividend to the purchasers of the Series B Preferred Units. Accordingly, we have recognized a deemed dividend in the aggregate amount of $111,100 in arriving at net loss attributable to common stockholders in the accompanying Condensed Consolidated Statement of Operations and Comprehensive Loss for the nine months ended December 31, 2016.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40" w:type="dxa"/>
            <w:vAlign w:val="bottom"/>
            <w:gridSpan w:val="3"/>
          </w:tcPr>
          <w:p>
            <w:pPr>
              <w:ind w:left="540"/>
              <w:spacing w:after="0"/>
              <w:rPr>
                <w:sz w:val="20"/>
                <w:szCs w:val="20"/>
                <w:color w:val="auto"/>
              </w:rPr>
            </w:pPr>
            <w:r>
              <w:rPr>
                <w:rFonts w:ascii="Arial" w:cs="Arial" w:eastAsia="Arial" w:hAnsi="Arial"/>
                <w:sz w:val="18"/>
                <w:szCs w:val="18"/>
                <w:b w:val="1"/>
                <w:bCs w:val="1"/>
                <w:color w:val="auto"/>
              </w:rPr>
              <w:t>Unit Warrants</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780" w:type="dxa"/>
            <w:vAlign w:val="bottom"/>
            <w:tcBorders>
              <w:bottom w:val="single" w:sz="8" w:color="auto"/>
            </w:tcBorders>
            <w:gridSpan w:val="6"/>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6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780" w:type="dxa"/>
            <w:vAlign w:val="bottom"/>
            <w:tcBorders>
              <w:bottom w:val="single" w:sz="8" w:color="auto"/>
            </w:tcBorders>
            <w:gridSpan w:val="6"/>
          </w:tcPr>
          <w:p>
            <w:pPr>
              <w:ind w:left="280"/>
              <w:spacing w:after="0"/>
              <w:rPr>
                <w:sz w:val="20"/>
                <w:szCs w:val="20"/>
                <w:color w:val="auto"/>
              </w:rPr>
            </w:pPr>
            <w:r>
              <w:rPr>
                <w:rFonts w:ascii="Arial" w:cs="Arial" w:eastAsia="Arial" w:hAnsi="Arial"/>
                <w:sz w:val="18"/>
                <w:szCs w:val="18"/>
                <w:b w:val="1"/>
                <w:bCs w:val="1"/>
                <w:color w:val="auto"/>
                <w:w w:val="91"/>
              </w:rPr>
              <w:t>Weighted Average Issuance Date Valuation Assumptions</w:t>
            </w:r>
          </w:p>
        </w:tc>
        <w:tc>
          <w:tcPr>
            <w:tcW w:w="40" w:type="dxa"/>
            <w:vAlign w:val="bottom"/>
          </w:tcPr>
          <w:p>
            <w:pPr>
              <w:spacing w:after="0"/>
              <w:rPr>
                <w:sz w:val="19"/>
                <w:szCs w:val="19"/>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Per Share</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100" w:type="dxa"/>
            <w:vAlign w:val="bottom"/>
          </w:tcPr>
          <w:p>
            <w:pPr>
              <w:spacing w:after="0"/>
              <w:rPr>
                <w:sz w:val="19"/>
                <w:szCs w:val="19"/>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Aggregate</w:t>
            </w:r>
          </w:p>
        </w:tc>
        <w:tc>
          <w:tcPr>
            <w:tcW w:w="2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Aggregate Allocation of Proceeds</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6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8"/>
              </w:rPr>
              <w:t>Based on Relative Fair Value of:</w:t>
            </w:r>
          </w:p>
        </w:tc>
        <w:tc>
          <w:tcPr>
            <w:tcW w:w="0" w:type="dxa"/>
            <w:vAlign w:val="bottom"/>
          </w:tcPr>
          <w:p>
            <w:pPr>
              <w:spacing w:after="0"/>
              <w:rPr>
                <w:sz w:val="1"/>
                <w:szCs w:val="1"/>
                <w:color w:val="auto"/>
              </w:rPr>
            </w:pPr>
          </w:p>
        </w:tc>
      </w:tr>
      <w:tr>
        <w:trPr>
          <w:trHeight w:val="215"/>
        </w:trPr>
        <w:tc>
          <w:tcPr>
            <w:tcW w:w="920" w:type="dxa"/>
            <w:vAlign w:val="bottom"/>
            <w:gridSpan w:val="2"/>
          </w:tcPr>
          <w:p>
            <w:pPr>
              <w:jc w:val="center"/>
              <w:ind w:right="60"/>
              <w:spacing w:after="0" w:line="203" w:lineRule="exact"/>
              <w:rPr>
                <w:sz w:val="20"/>
                <w:szCs w:val="20"/>
                <w:color w:val="auto"/>
              </w:rPr>
            </w:pPr>
            <w:r>
              <w:rPr>
                <w:rFonts w:ascii="Arial" w:cs="Arial" w:eastAsia="Arial" w:hAnsi="Arial"/>
                <w:sz w:val="18"/>
                <w:szCs w:val="18"/>
                <w:b w:val="1"/>
                <w:bCs w:val="1"/>
                <w:color w:val="auto"/>
                <w:w w:val="96"/>
              </w:rPr>
              <w:t>Warrant</w:t>
            </w:r>
          </w:p>
        </w:tc>
        <w:tc>
          <w:tcPr>
            <w:tcW w:w="9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89"/>
              </w:rPr>
              <w:t>Risk free</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6"/>
              </w:rPr>
              <w:t>Fair</w:t>
            </w:r>
          </w:p>
        </w:tc>
        <w:tc>
          <w:tcPr>
            <w:tcW w:w="100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90"/>
              </w:rPr>
              <w:t>Fair Value</w:t>
            </w:r>
          </w:p>
        </w:tc>
        <w:tc>
          <w:tcPr>
            <w:tcW w:w="100" w:type="dxa"/>
            <w:vAlign w:val="bottom"/>
          </w:tcPr>
          <w:p>
            <w:pPr>
              <w:spacing w:after="0"/>
              <w:rPr>
                <w:sz w:val="18"/>
                <w:szCs w:val="18"/>
                <w:color w:val="auto"/>
              </w:rPr>
            </w:pPr>
          </w:p>
        </w:tc>
        <w:tc>
          <w:tcPr>
            <w:tcW w:w="1040" w:type="dxa"/>
            <w:vAlign w:val="bottom"/>
          </w:tcPr>
          <w:p>
            <w:pPr>
              <w:jc w:val="center"/>
              <w:spacing w:after="0" w:line="203" w:lineRule="exact"/>
              <w:rPr>
                <w:sz w:val="20"/>
                <w:szCs w:val="20"/>
                <w:color w:val="auto"/>
              </w:rPr>
            </w:pPr>
            <w:r>
              <w:rPr>
                <w:rFonts w:ascii="Arial" w:cs="Arial" w:eastAsia="Arial" w:hAnsi="Arial"/>
                <w:sz w:val="18"/>
                <w:szCs w:val="18"/>
                <w:b w:val="1"/>
                <w:bCs w:val="1"/>
                <w:color w:val="auto"/>
                <w:w w:val="83"/>
              </w:rPr>
              <w:t>Proceeds</w:t>
            </w:r>
          </w:p>
        </w:tc>
        <w:tc>
          <w:tcPr>
            <w:tcW w:w="260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gridSpan w:val="2"/>
          </w:tcPr>
          <w:p>
            <w:pPr>
              <w:jc w:val="center"/>
              <w:ind w:right="60"/>
              <w:spacing w:after="0" w:line="201" w:lineRule="exact"/>
              <w:rPr>
                <w:sz w:val="20"/>
                <w:szCs w:val="20"/>
                <w:color w:val="auto"/>
              </w:rPr>
            </w:pPr>
            <w:r>
              <w:rPr>
                <w:rFonts w:ascii="Arial" w:cs="Arial" w:eastAsia="Arial" w:hAnsi="Arial"/>
                <w:sz w:val="18"/>
                <w:szCs w:val="18"/>
                <w:b w:val="1"/>
                <w:bCs w:val="1"/>
                <w:color w:val="auto"/>
                <w:w w:val="83"/>
              </w:rPr>
              <w:t>Shares</w:t>
            </w:r>
          </w:p>
        </w:tc>
        <w:tc>
          <w:tcPr>
            <w:tcW w:w="90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Market</w:t>
            </w:r>
          </w:p>
        </w:tc>
        <w:tc>
          <w:tcPr>
            <w:tcW w:w="940" w:type="dxa"/>
            <w:vAlign w:val="bottom"/>
          </w:tcPr>
          <w:p>
            <w:pPr>
              <w:ind w:left="140"/>
              <w:spacing w:after="0" w:line="201" w:lineRule="exact"/>
              <w:rPr>
                <w:sz w:val="20"/>
                <w:szCs w:val="20"/>
                <w:color w:val="auto"/>
              </w:rPr>
            </w:pPr>
            <w:r>
              <w:rPr>
                <w:rFonts w:ascii="Arial" w:cs="Arial" w:eastAsia="Arial" w:hAnsi="Arial"/>
                <w:sz w:val="18"/>
                <w:szCs w:val="18"/>
                <w:b w:val="1"/>
                <w:bCs w:val="1"/>
                <w:color w:val="auto"/>
              </w:rPr>
              <w:t>Exercise</w:t>
            </w:r>
          </w:p>
        </w:tc>
        <w:tc>
          <w:tcPr>
            <w:tcW w:w="86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5"/>
              </w:rPr>
              <w:t>Term</w:t>
            </w:r>
          </w:p>
        </w:tc>
        <w:tc>
          <w:tcPr>
            <w:tcW w:w="7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9"/>
              </w:rPr>
              <w:t>Interest</w:t>
            </w:r>
          </w:p>
        </w:tc>
        <w:tc>
          <w:tcPr>
            <w:tcW w:w="68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2"/>
              </w:rPr>
              <w:t>Dividend</w:t>
            </w:r>
          </w:p>
        </w:tc>
        <w:tc>
          <w:tcPr>
            <w:tcW w:w="40" w:type="dxa"/>
            <w:vAlign w:val="bottom"/>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85"/>
              </w:rPr>
              <w:t>Value of</w:t>
            </w:r>
          </w:p>
        </w:tc>
        <w:tc>
          <w:tcPr>
            <w:tcW w:w="10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of Unit</w:t>
            </w:r>
          </w:p>
        </w:tc>
        <w:tc>
          <w:tcPr>
            <w:tcW w:w="100" w:type="dxa"/>
            <w:vAlign w:val="bottom"/>
          </w:tcPr>
          <w:p>
            <w:pPr>
              <w:spacing w:after="0"/>
              <w:rPr>
                <w:sz w:val="17"/>
                <w:szCs w:val="17"/>
                <w:color w:val="auto"/>
              </w:rPr>
            </w:pPr>
          </w:p>
        </w:tc>
        <w:tc>
          <w:tcPr>
            <w:tcW w:w="10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of Unit</w:t>
            </w:r>
          </w:p>
        </w:tc>
        <w:tc>
          <w:tcPr>
            <w:tcW w:w="13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Unit</w:t>
            </w:r>
          </w:p>
        </w:tc>
        <w:tc>
          <w:tcPr>
            <w:tcW w:w="13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1"/>
              </w:rPr>
              <w:t>Unit</w:t>
            </w:r>
          </w:p>
        </w:tc>
        <w:tc>
          <w:tcPr>
            <w:tcW w:w="0" w:type="dxa"/>
            <w:vAlign w:val="bottom"/>
          </w:tcPr>
          <w:p>
            <w:pPr>
              <w:spacing w:after="0"/>
              <w:rPr>
                <w:sz w:val="1"/>
                <w:szCs w:val="1"/>
                <w:color w:val="auto"/>
              </w:rPr>
            </w:pPr>
          </w:p>
        </w:tc>
      </w:tr>
      <w:tr>
        <w:trPr>
          <w:trHeight w:val="237"/>
        </w:trPr>
        <w:tc>
          <w:tcPr>
            <w:tcW w:w="9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4"/>
              </w:rPr>
              <w:t>Issued</w:t>
            </w:r>
          </w:p>
        </w:tc>
        <w:tc>
          <w:tcPr>
            <w:tcW w:w="900" w:type="dxa"/>
            <w:vAlign w:val="bottom"/>
          </w:tcPr>
          <w:p>
            <w:pPr>
              <w:ind w:left="260"/>
              <w:spacing w:after="0"/>
              <w:rPr>
                <w:sz w:val="20"/>
                <w:szCs w:val="20"/>
                <w:color w:val="auto"/>
              </w:rPr>
            </w:pPr>
            <w:r>
              <w:rPr>
                <w:rFonts w:ascii="Arial" w:cs="Arial" w:eastAsia="Arial" w:hAnsi="Arial"/>
                <w:sz w:val="18"/>
                <w:szCs w:val="18"/>
                <w:b w:val="1"/>
                <w:bCs w:val="1"/>
                <w:color w:val="auto"/>
              </w:rPr>
              <w:t>Price</w:t>
            </w:r>
          </w:p>
        </w:tc>
        <w:tc>
          <w:tcPr>
            <w:tcW w:w="940" w:type="dxa"/>
            <w:vAlign w:val="bottom"/>
          </w:tcPr>
          <w:p>
            <w:pPr>
              <w:ind w:left="260"/>
              <w:spacing w:after="0"/>
              <w:rPr>
                <w:sz w:val="20"/>
                <w:szCs w:val="20"/>
                <w:color w:val="auto"/>
              </w:rPr>
            </w:pPr>
            <w:r>
              <w:rPr>
                <w:rFonts w:ascii="Arial" w:cs="Arial" w:eastAsia="Arial" w:hAnsi="Arial"/>
                <w:sz w:val="18"/>
                <w:szCs w:val="18"/>
                <w:b w:val="1"/>
                <w:bCs w:val="1"/>
                <w:color w:val="auto"/>
              </w:rPr>
              <w:t>Price</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2"/>
              </w:rPr>
              <w:t>Rate</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Volatility</w:t>
            </w: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Rate</w:t>
            </w:r>
          </w:p>
        </w:tc>
        <w:tc>
          <w:tcPr>
            <w:tcW w:w="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4"/>
              </w:rPr>
              <w:t>Warrant</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10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0"/>
              </w:rPr>
              <w:t>Sales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4"/>
              </w:rPr>
              <w:t>Warrant</w:t>
            </w:r>
          </w:p>
        </w:tc>
        <w:tc>
          <w:tcPr>
            <w:tcW w:w="0" w:type="dxa"/>
            <w:vAlign w:val="bottom"/>
          </w:tcPr>
          <w:p>
            <w:pPr>
              <w:spacing w:after="0"/>
              <w:rPr>
                <w:sz w:val="1"/>
                <w:szCs w:val="1"/>
                <w:color w:val="auto"/>
              </w:rPr>
            </w:pPr>
          </w:p>
        </w:tc>
      </w:tr>
      <w:tr>
        <w:trPr>
          <w:trHeight w:val="216"/>
        </w:trPr>
        <w:tc>
          <w:tcPr>
            <w:tcW w:w="8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39,714</w:t>
            </w:r>
          </w:p>
        </w:tc>
        <w:tc>
          <w:tcPr>
            <w:tcW w:w="60" w:type="dxa"/>
            <w:vAlign w:val="bottom"/>
            <w:shd w:val="clear" w:color="auto" w:fill="CCEEFF"/>
          </w:tcPr>
          <w:p>
            <w:pPr>
              <w:spacing w:after="0"/>
              <w:rPr>
                <w:sz w:val="18"/>
                <w:szCs w:val="18"/>
                <w:color w:val="auto"/>
              </w:rPr>
            </w:pPr>
          </w:p>
        </w:tc>
        <w:tc>
          <w:tcPr>
            <w:tcW w:w="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$ 8.45</w:t>
            </w:r>
          </w:p>
        </w:tc>
        <w:tc>
          <w:tcPr>
            <w:tcW w:w="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$ 7.00</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5"/>
              </w:rPr>
              <w:t>5.00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78.43%</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9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$ 5.63</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$ 223,500</w:t>
            </w:r>
          </w:p>
        </w:tc>
        <w:tc>
          <w:tcPr>
            <w:tcW w:w="11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$ 278,000</w:t>
            </w:r>
          </w:p>
        </w:tc>
        <w:tc>
          <w:tcPr>
            <w:tcW w:w="13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$ 166,900</w:t>
            </w:r>
          </w:p>
        </w:tc>
        <w:tc>
          <w:tcPr>
            <w:tcW w:w="13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$ 61,100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2016 Public Offering and Listing of our Common Stock on The NASDAQ Capital Market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Effective on May 16, 2016, we consummated an underwritten public offering of our securities, pursuant to which we issued units consisting of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in June 2016 pursuant to the exercise of the underwriters’ over-allotment option. We received gross proceeds of approximately $10.9 million and net proceeds of approximately $9.5 million from the May 2016 Public Offering, after deducting underwriters’ commissions and other offering expenses. The warrants issued in the May 2016 Public Offering have no anti-dilution or other exercise price or share reset features, except as is customary with respect to a change in our capital structure in the event of a stock split or dividend, and, accordingly, we have accounted for them as equity warrants.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securities included in the May 2016 Public Offering Warrants were offered, issued and sold under a prospectus filed with the Commission pursuant to an effective registration statement (</w:t>
      </w:r>
      <w:r>
        <w:rPr>
          <w:rFonts w:ascii="Arial" w:cs="Arial" w:eastAsia="Arial" w:hAnsi="Arial"/>
          <w:sz w:val="16"/>
          <w:szCs w:val="16"/>
          <w:i w:val="1"/>
          <w:iCs w:val="1"/>
          <w:color w:val="auto"/>
        </w:rPr>
        <w:t>Registration Statement</w:t>
      </w:r>
      <w:r>
        <w:rPr>
          <w:rFonts w:ascii="Arial" w:cs="Arial" w:eastAsia="Arial" w:hAnsi="Arial"/>
          <w:sz w:val="16"/>
          <w:szCs w:val="16"/>
          <w:color w:val="auto"/>
        </w:rPr>
        <w:t>) filed with the Commission on Form S-1 (File No. 333-210152) pursuant to the Securities Act of 1933, as amended (</w:t>
      </w:r>
      <w:r>
        <w:rPr>
          <w:rFonts w:ascii="Arial" w:cs="Arial" w:eastAsia="Arial" w:hAnsi="Arial"/>
          <w:sz w:val="16"/>
          <w:szCs w:val="16"/>
          <w:i w:val="1"/>
          <w:iCs w:val="1"/>
          <w:color w:val="auto"/>
        </w:rPr>
        <w:t>Securities Act</w:t>
      </w:r>
      <w:r>
        <w:rPr>
          <w:rFonts w:ascii="Arial" w:cs="Arial" w:eastAsia="Arial" w:hAnsi="Arial"/>
          <w:sz w:val="16"/>
          <w:szCs w:val="16"/>
          <w:color w:val="auto"/>
        </w:rPr>
        <w:t>). The Registration Statement was first filed with the Commission on March 14, 2016, and was declared effective on May 10, 2016.</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connection with the completion of our May 2016 Public Offering, NASDAQ approved our common stock for listing on The NASDAQ Capital Market. Our common stock began trading on The NASDAQ Capital Market under the symbol “VTGN” on May 11,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B Preferred into Common Stock</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During April 2016, prior to the consummation of the May 2016 Public Offering, holders of an aggregate of 7,500 shares of Series B Preferred voluntarily converted such shares into an equivalent number of registered shares of our common stock. In connection with such conversions, we issued an aggregate of 510 shares of our unregistered common stock as payment in full of $4,000 in accrued dividends on the Series B Preferred that was voluntarily converted.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On May 19, 2016, upon the consummation of the May 2016 Public Offering, an aggregate of 2,403,051 shares of Series B Preferred were automatically converted into an aggregate of 2,192,847 registered shares of our common stock and an aggregate of 210,204 shares of our unregistered common stock. Additionally, we issued an aggregate of 416,806 shares of our unregistered common stock as payment in full of $1,642,100 in accrued dividends on the Series B Preferred that was automatically converted on May 19, 2016, at the rate of one share of common stock for each $3.94 of accrued Series B Preferred dividends. On June 15, 2016, pursuant to the underwriters’ exercise of their over-allotment option, an additional 44,500 shares of Series B Preferred were converted into 44,500 shares of our registered common stock. We issued an additional 9,580 shares of our unregistered common stock as payment in full of $37,400 of accrued dividends on the Series B Preferred that was automatically converted on June 15, 2016, at the rate of one share of common stock for each $3.90 in accrued dividends.</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2016, one of the remaining holders of our Series B Preferred voluntarily converted 87,500 shares of Series B Preferred into an equivalent number of registered shares of our common stock. In connection with this conversion, we issued 26,258 shares of our unregistered common stock as payment in full of $85,300 in accrued dividends on the Series B Preferred that was voluntarily converted, at the rate of one share of common stock for each $3.25 in accrued dividends.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Warrants Issued in Private Placement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December 2016, in self-placed private transactions, we accepted subscription agreements from two individual accredited investors, pursuant to which we sold to such investors units, at a purchase price of $3.70 per unit, consisting of an aggregate of 67,000 unregistered shares of our common stock and warrants, exercisable through November 30, 2019, to purchase an aggregate of 16,750 unregistered shares of our common stock at an exercise price of $6.00 per share. The purchasers of the units have no registration rights with respect to the shares of common stock, warrants or the shares of common stock issuable upon exercise of the warrants comprising the units sold. We received aggregate cash proceeds of $247,900 in connection with this private placement of the units, of which the entire amount was credited to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September 2016, we issued an aggregate of 170,000 shares of our unregistered common stock having an aggregate fair value on the date of issuance of $737,800 as compensation to certain entities previously engaged as professional services providers. Of that amount, we issued 120,000 shares having a fair value of $520,800 on the date of issuance for services to be rendered from October 2016 to December 2016. The value of these shares was recorded as a prepaid expense at September 30, 2016 and was fully expensed as a component of general and administrative expense during the quarter ended December 31, 2016. In November and December 2016, we issued an aggregate of 135,000 shares of our unregistered common stock having an aggregate fair value on the respective dates of issuance of $479,800 as compensation to professional services providers.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Exchanges and Other Warrant Modifications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December 31, 2016, we entered into Warrant Exchange Agreements with certain holders of outstanding warrants to purchase an aggregate of 224,693 shares of our common stock pursuant to which the holders agreed to cancel such warrants in exchange for the issuance of an aggregate of 156,246 unregistered shares of common stock.</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accounted for the exchanges of these warrants as warrant modifications, comparing the fair value of the warrants immediately prior to the exchanges with the fair value of the unregistered common stock issued. We calculated the weighted average fair value of the warrants prior to the respective exchanges using the Black Scholes Option Pricing Model and the weighted average assumptions indicated in the table below. We determined the post-modification fair value based on the quoted market price of our common stock on the effective date of each exchange and the number of unregistered shares issued in the exchange, as also indicated in the table below. We recognized the amount of the incremental fair value of the unregistered common stock issued in excess of the fair value of the warrants cancelled, $293,300 and $350,700 for the three and nine months ended December 31, 2016, respectively, as warrant modification expense, which is included as a component of general and administrative expenses in our Condensed Consolidated Statement of Operations and Comprehensive Loss for the three and nine months ended December 31, 2016.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4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2"/>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gridSpan w:val="5"/>
          </w:tcPr>
          <w:p>
            <w:pPr>
              <w:jc w:val="right"/>
              <w:ind w:right="314"/>
              <w:spacing w:after="0"/>
              <w:rPr>
                <w:sz w:val="20"/>
                <w:szCs w:val="20"/>
                <w:color w:val="auto"/>
              </w:rPr>
            </w:pPr>
            <w:r>
              <w:rPr>
                <w:rFonts w:ascii="Arial" w:cs="Arial" w:eastAsia="Arial" w:hAnsi="Arial"/>
                <w:sz w:val="18"/>
                <w:szCs w:val="18"/>
                <w:b w:val="1"/>
                <w:bCs w:val="1"/>
                <w:color w:val="auto"/>
              </w:rPr>
              <w:t>April - May 2016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4"/>
          </w:tcPr>
          <w:p>
            <w:pPr>
              <w:jc w:val="right"/>
              <w:ind w:right="494"/>
              <w:spacing w:after="0"/>
              <w:rPr>
                <w:sz w:val="20"/>
                <w:szCs w:val="20"/>
                <w:color w:val="auto"/>
              </w:rPr>
            </w:pPr>
            <w:r>
              <w:rPr>
                <w:rFonts w:ascii="Arial" w:cs="Arial" w:eastAsia="Arial" w:hAnsi="Arial"/>
                <w:sz w:val="18"/>
                <w:szCs w:val="18"/>
                <w:b w:val="1"/>
                <w:bCs w:val="1"/>
                <w:color w:val="auto"/>
              </w:rPr>
              <w:t>August 2016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4"/>
          </w:tcPr>
          <w:p>
            <w:pPr>
              <w:jc w:val="right"/>
              <w:ind w:right="434"/>
              <w:spacing w:after="0"/>
              <w:rPr>
                <w:sz w:val="20"/>
                <w:szCs w:val="20"/>
                <w:color w:val="auto"/>
              </w:rPr>
            </w:pPr>
            <w:r>
              <w:rPr>
                <w:rFonts w:ascii="Arial" w:cs="Arial" w:eastAsia="Arial" w:hAnsi="Arial"/>
                <w:sz w:val="18"/>
                <w:szCs w:val="18"/>
                <w:b w:val="1"/>
                <w:bCs w:val="1"/>
                <w:color w:val="auto"/>
              </w:rPr>
              <w:t>October 2016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ind w:left="240"/>
              <w:spacing w:after="0"/>
              <w:rPr>
                <w:sz w:val="20"/>
                <w:szCs w:val="20"/>
                <w:color w:val="auto"/>
              </w:rPr>
            </w:pPr>
            <w:r>
              <w:rPr>
                <w:rFonts w:ascii="Arial" w:cs="Arial" w:eastAsia="Arial" w:hAnsi="Arial"/>
                <w:sz w:val="18"/>
                <w:szCs w:val="18"/>
                <w:b w:val="1"/>
                <w:bCs w:val="1"/>
                <w:color w:val="auto"/>
              </w:rPr>
              <w:t>December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Pre-</w:t>
            </w: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Post-</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Pre-</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Post-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Pre-</w:t>
            </w: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Post-</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Pre-</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Post-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6"/>
                <w:szCs w:val="16"/>
                <w:b w:val="1"/>
                <w:bCs w:val="1"/>
                <w:color w:val="auto"/>
              </w:rPr>
              <w:t>modification</w:t>
            </w:r>
          </w:p>
        </w:tc>
        <w:tc>
          <w:tcPr>
            <w:tcW w:w="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modification</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2"/>
              </w:rPr>
              <w:t>modification</w:t>
            </w: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modification</w:t>
            </w:r>
          </w:p>
        </w:tc>
        <w:tc>
          <w:tcPr>
            <w:tcW w:w="220" w:type="dxa"/>
            <w:vAlign w:val="bottom"/>
          </w:tcPr>
          <w:p>
            <w:pPr>
              <w:spacing w:after="0"/>
              <w:rPr>
                <w:sz w:val="19"/>
                <w:szCs w:val="19"/>
                <w:color w:val="auto"/>
              </w:rPr>
            </w:pPr>
          </w:p>
        </w:tc>
        <w:tc>
          <w:tcPr>
            <w:tcW w:w="1120" w:type="dxa"/>
            <w:vAlign w:val="bottom"/>
            <w:gridSpan w:val="3"/>
          </w:tcPr>
          <w:p>
            <w:pPr>
              <w:ind w:left="20"/>
              <w:spacing w:after="0"/>
              <w:rPr>
                <w:sz w:val="20"/>
                <w:szCs w:val="20"/>
                <w:color w:val="auto"/>
              </w:rPr>
            </w:pPr>
            <w:r>
              <w:rPr>
                <w:rFonts w:ascii="Arial" w:cs="Arial" w:eastAsia="Arial" w:hAnsi="Arial"/>
                <w:sz w:val="16"/>
                <w:szCs w:val="16"/>
                <w:b w:val="1"/>
                <w:bCs w:val="1"/>
                <w:color w:val="auto"/>
              </w:rPr>
              <w:t>modification</w:t>
            </w:r>
          </w:p>
        </w:tc>
        <w:tc>
          <w:tcPr>
            <w:tcW w:w="92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modification</w:t>
            </w:r>
          </w:p>
        </w:tc>
        <w:tc>
          <w:tcPr>
            <w:tcW w:w="22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modification</w:t>
            </w: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modification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Exercise price per share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0.77%</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Contractual term (years)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Weighted average fair value per</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w w:val="99"/>
              </w:rPr>
              <w:t>Warrant shares cancelled and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20" w:type="dxa"/>
            <w:vAlign w:val="bottom"/>
            <w:gridSpan w:val="3"/>
          </w:tcPr>
          <w:p>
            <w:pPr>
              <w:spacing w:after="0"/>
              <w:rPr>
                <w:sz w:val="20"/>
                <w:szCs w:val="20"/>
                <w:color w:val="auto"/>
              </w:rPr>
            </w:pPr>
            <w:r>
              <w:rPr>
                <w:rFonts w:ascii="Arial" w:cs="Arial" w:eastAsia="Arial" w:hAnsi="Arial"/>
                <w:sz w:val="18"/>
                <w:szCs w:val="18"/>
                <w:color w:val="auto"/>
              </w:rPr>
              <w:t>exchanged</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41,649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113,944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issued in</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31,238</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85,458</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223,700</w:t>
            </w:r>
          </w:p>
        </w:tc>
        <w:tc>
          <w:tcPr>
            <w:tcW w:w="180" w:type="dxa"/>
            <w:vAlign w:val="bottom"/>
          </w:tcPr>
          <w:p>
            <w:pPr>
              <w:spacing w:after="0"/>
              <w:rPr>
                <w:sz w:val="18"/>
                <w:szCs w:val="18"/>
                <w:color w:val="auto"/>
              </w:rPr>
            </w:pPr>
          </w:p>
        </w:tc>
        <w:tc>
          <w:tcPr>
            <w:tcW w:w="2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264,000</w:t>
            </w:r>
          </w:p>
        </w:tc>
        <w:tc>
          <w:tcPr>
            <w:tcW w:w="42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32,900</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144,400</w:t>
            </w:r>
          </w:p>
        </w:tc>
        <w:tc>
          <w:tcPr>
            <w:tcW w:w="22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346,100</w:t>
            </w:r>
          </w:p>
        </w:tc>
        <w:tc>
          <w:tcPr>
            <w:tcW w:w="4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91,600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8"/>
              </w:rPr>
              <w:t>Incremental fair value recognized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2016, the Board authorized the modification of an outstanding warrant to both alter the exercise terms and increase the number of shares for which the warrant was exercisable. We calculated the fair value of the warrant immediately before and after the modification using the Black Scholes Option Pricing Model and the assumptions indicated in the table below. As indicated, we recognized the additional fair value, $76,900, as warrant modification expense, included as a component of general and administrative expenses, in our Condensed Consolidated Statement of Operations and Comprehensive Loss for the quarter ended December 31, 2016.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Pre-</w:t>
            </w:r>
          </w:p>
        </w:tc>
        <w:tc>
          <w:tcPr>
            <w:tcW w:w="2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Post-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3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3"/>
              </w:rPr>
              <w:t>modification</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modification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Market Price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Exercise price per share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28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Contractual term (years)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Dividend Rate</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per share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Number of warrant shares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00" w:type="dxa"/>
            <w:vAlign w:val="bottom"/>
          </w:tcPr>
          <w:p>
            <w:pPr>
              <w:ind w:left="40"/>
              <w:spacing w:after="0"/>
              <w:rPr>
                <w:sz w:val="20"/>
                <w:szCs w:val="20"/>
                <w:color w:val="auto"/>
              </w:rPr>
            </w:pPr>
            <w:r>
              <w:rPr>
                <w:rFonts w:ascii="Arial" w:cs="Arial" w:eastAsia="Arial" w:hAnsi="Arial"/>
                <w:sz w:val="18"/>
                <w:szCs w:val="18"/>
                <w:color w:val="auto"/>
              </w:rPr>
              <w:t>Incremental fair value recognized</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76,900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Following the warrant issuances in the May 2016 Public Offering, the Series B Warrant issuances and the warrant exchanges and modification described above, at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we had outstanding warrants to purchase shares of our common stock at a weighted average exercise price of $6.31 per share as follows: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2"/>
              <w:spacing w:after="0"/>
              <w:rPr>
                <w:sz w:val="20"/>
                <w:szCs w:val="20"/>
                <w:color w:val="auto"/>
              </w:rPr>
            </w:pPr>
            <w:r>
              <w:rPr>
                <w:rFonts w:ascii="Arial" w:cs="Arial" w:eastAsia="Arial" w:hAnsi="Arial"/>
                <w:sz w:val="18"/>
                <w:szCs w:val="18"/>
                <w:b w:val="1"/>
                <w:bCs w:val="1"/>
                <w:color w:val="auto"/>
                <w:w w:val="83"/>
              </w:rPr>
              <w:t>Exercise</w:t>
            </w:r>
          </w:p>
        </w:tc>
        <w:tc>
          <w:tcPr>
            <w:tcW w:w="320" w:type="dxa"/>
            <w:vAlign w:val="bottom"/>
          </w:tcPr>
          <w:p>
            <w:pPr>
              <w:spacing w:after="0"/>
              <w:rPr>
                <w:sz w:val="18"/>
                <w:szCs w:val="18"/>
                <w:color w:val="auto"/>
              </w:rPr>
            </w:pPr>
          </w:p>
        </w:tc>
        <w:tc>
          <w:tcPr>
            <w:tcW w:w="21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3"/>
              </w:rPr>
              <w:t>Expiration</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Shares Subject to</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ind w:right="12"/>
              <w:spacing w:after="0" w:line="189" w:lineRule="exact"/>
              <w:rPr>
                <w:sz w:val="20"/>
                <w:szCs w:val="20"/>
                <w:color w:val="auto"/>
              </w:rPr>
            </w:pPr>
            <w:r>
              <w:rPr>
                <w:rFonts w:ascii="Arial" w:cs="Arial" w:eastAsia="Arial" w:hAnsi="Arial"/>
                <w:sz w:val="18"/>
                <w:szCs w:val="18"/>
                <w:b w:val="1"/>
                <w:bCs w:val="1"/>
                <w:color w:val="auto"/>
                <w:w w:val="86"/>
              </w:rPr>
              <w:t>Price</w:t>
            </w:r>
          </w:p>
        </w:tc>
        <w:tc>
          <w:tcPr>
            <w:tcW w:w="320" w:type="dxa"/>
            <w:vAlign w:val="bottom"/>
          </w:tcPr>
          <w:p>
            <w:pPr>
              <w:spacing w:after="0"/>
              <w:rPr>
                <w:sz w:val="16"/>
                <w:szCs w:val="16"/>
                <w:color w:val="auto"/>
              </w:rPr>
            </w:pPr>
          </w:p>
        </w:tc>
        <w:tc>
          <w:tcPr>
            <w:tcW w:w="2160" w:type="dxa"/>
            <w:vAlign w:val="bottom"/>
            <w:gridSpan w:val="2"/>
            <w:vMerge w:val="continue"/>
          </w:tcPr>
          <w:p>
            <w:pPr>
              <w:spacing w:after="0"/>
              <w:rPr>
                <w:sz w:val="16"/>
                <w:szCs w:val="16"/>
                <w:color w:val="auto"/>
              </w:rPr>
            </w:pPr>
          </w:p>
        </w:tc>
        <w:tc>
          <w:tcPr>
            <w:tcW w:w="1920" w:type="dxa"/>
            <w:vAlign w:val="bottom"/>
            <w:gridSpan w:val="2"/>
          </w:tcPr>
          <w:p>
            <w:pPr>
              <w:jc w:val="center"/>
              <w:ind w:right="240"/>
              <w:spacing w:after="0" w:line="189" w:lineRule="exact"/>
              <w:rPr>
                <w:sz w:val="20"/>
                <w:szCs w:val="20"/>
                <w:color w:val="auto"/>
              </w:rPr>
            </w:pPr>
            <w:r>
              <w:rPr>
                <w:rFonts w:ascii="Arial" w:cs="Arial" w:eastAsia="Arial" w:hAnsi="Arial"/>
                <w:sz w:val="18"/>
                <w:szCs w:val="18"/>
                <w:b w:val="1"/>
                <w:bCs w:val="1"/>
                <w:color w:val="auto"/>
                <w:w w:val="86"/>
              </w:rPr>
              <w:t>Purchase at</w:t>
            </w:r>
          </w:p>
        </w:tc>
        <w:tc>
          <w:tcPr>
            <w:tcW w:w="0" w:type="dxa"/>
            <w:vAlign w:val="bottom"/>
          </w:tcPr>
          <w:p>
            <w:pPr>
              <w:spacing w:after="0"/>
              <w:rPr>
                <w:sz w:val="1"/>
                <w:szCs w:val="1"/>
                <w:color w:val="auto"/>
              </w:rPr>
            </w:pPr>
          </w:p>
        </w:tc>
      </w:tr>
      <w:tr>
        <w:trPr>
          <w:trHeight w:val="264"/>
        </w:trPr>
        <w:tc>
          <w:tcPr>
            <w:tcW w:w="100" w:type="dxa"/>
            <w:vAlign w:val="bottom"/>
          </w:tcPr>
          <w:p>
            <w:pPr>
              <w:spacing w:after="0"/>
              <w:rPr>
                <w:sz w:val="22"/>
                <w:szCs w:val="22"/>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320" w:type="dxa"/>
            <w:vAlign w:val="bottom"/>
          </w:tcPr>
          <w:p>
            <w:pPr>
              <w:spacing w:after="0"/>
              <w:rPr>
                <w:sz w:val="22"/>
                <w:szCs w:val="22"/>
                <w:color w:val="auto"/>
              </w:rPr>
            </w:pPr>
          </w:p>
        </w:tc>
        <w:tc>
          <w:tcPr>
            <w:tcW w:w="2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Date</w:t>
            </w:r>
          </w:p>
        </w:tc>
        <w:tc>
          <w:tcPr>
            <w:tcW w:w="1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December 31, 2016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3.51</w:t>
            </w:r>
          </w:p>
        </w:tc>
        <w:tc>
          <w:tcPr>
            <w:tcW w:w="2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12/31/2021</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50,000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4.50</w:t>
            </w:r>
          </w:p>
        </w:tc>
        <w:tc>
          <w:tcPr>
            <w:tcW w:w="2040" w:type="dxa"/>
            <w:vAlign w:val="bottom"/>
            <w:gridSpan w:val="2"/>
          </w:tcPr>
          <w:p>
            <w:pPr>
              <w:jc w:val="center"/>
              <w:ind w:left="372"/>
              <w:spacing w:after="0"/>
              <w:rPr>
                <w:sz w:val="20"/>
                <w:szCs w:val="20"/>
                <w:color w:val="auto"/>
              </w:rPr>
            </w:pPr>
            <w:r>
              <w:rPr>
                <w:rFonts w:ascii="Arial" w:cs="Arial" w:eastAsia="Arial" w:hAnsi="Arial"/>
                <w:sz w:val="18"/>
                <w:szCs w:val="18"/>
                <w:color w:val="auto"/>
                <w:w w:val="87"/>
              </w:rPr>
              <w:t>9/26/2019</w:t>
            </w:r>
          </w:p>
        </w:tc>
        <w:tc>
          <w:tcPr>
            <w:tcW w:w="440" w:type="dxa"/>
            <w:vAlign w:val="bottom"/>
          </w:tcPr>
          <w:p>
            <w:pPr>
              <w:spacing w:after="0"/>
              <w:rPr>
                <w:sz w:val="18"/>
                <w:szCs w:val="18"/>
                <w:color w:val="auto"/>
              </w:rPr>
            </w:pPr>
          </w:p>
        </w:tc>
        <w:tc>
          <w:tcPr>
            <w:tcW w:w="1700" w:type="dxa"/>
            <w:vAlign w:val="bottom"/>
          </w:tcPr>
          <w:p>
            <w:pPr>
              <w:jc w:val="center"/>
              <w:ind w:left="12"/>
              <w:spacing w:after="0"/>
              <w:rPr>
                <w:sz w:val="20"/>
                <w:szCs w:val="20"/>
                <w:color w:val="auto"/>
              </w:rPr>
            </w:pPr>
            <w:r>
              <w:rPr>
                <w:rFonts w:ascii="Arial" w:cs="Arial" w:eastAsia="Arial" w:hAnsi="Arial"/>
                <w:sz w:val="18"/>
                <w:szCs w:val="18"/>
                <w:color w:val="auto"/>
                <w:w w:val="87"/>
              </w:rPr>
              <w:t>25,000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5.30</w:t>
            </w:r>
          </w:p>
        </w:tc>
        <w:tc>
          <w:tcPr>
            <w:tcW w:w="2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7"/>
              </w:rPr>
              <w:t>5/16/2021</w:t>
            </w:r>
          </w:p>
        </w:tc>
        <w:tc>
          <w:tcPr>
            <w:tcW w:w="4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2,705,883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6.00</w:t>
            </w:r>
          </w:p>
        </w:tc>
        <w:tc>
          <w:tcPr>
            <w:tcW w:w="24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9/26/2019 to 11/30/2019</w:t>
            </w:r>
          </w:p>
        </w:tc>
        <w:tc>
          <w:tcPr>
            <w:tcW w:w="1700" w:type="dxa"/>
            <w:vAlign w:val="bottom"/>
          </w:tcPr>
          <w:p>
            <w:pPr>
              <w:jc w:val="center"/>
              <w:ind w:left="12"/>
              <w:spacing w:after="0"/>
              <w:rPr>
                <w:sz w:val="20"/>
                <w:szCs w:val="20"/>
                <w:color w:val="auto"/>
              </w:rPr>
            </w:pPr>
            <w:r>
              <w:rPr>
                <w:rFonts w:ascii="Arial" w:cs="Arial" w:eastAsia="Arial" w:hAnsi="Arial"/>
                <w:sz w:val="18"/>
                <w:szCs w:val="18"/>
                <w:color w:val="auto"/>
                <w:w w:val="87"/>
              </w:rPr>
              <w:t>97,750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w:t>
            </w:r>
          </w:p>
        </w:tc>
        <w:tc>
          <w:tcPr>
            <w:tcW w:w="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12/11/2018 to 3/3/2023</w:t>
            </w:r>
          </w:p>
        </w:tc>
        <w:tc>
          <w:tcPr>
            <w:tcW w:w="170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1,346,931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8.00</w:t>
            </w:r>
          </w:p>
        </w:tc>
        <w:tc>
          <w:tcPr>
            <w:tcW w:w="2040" w:type="dxa"/>
            <w:vAlign w:val="bottom"/>
            <w:gridSpan w:val="2"/>
          </w:tcPr>
          <w:p>
            <w:pPr>
              <w:ind w:left="880"/>
              <w:spacing w:after="0"/>
              <w:rPr>
                <w:sz w:val="20"/>
                <w:szCs w:val="20"/>
                <w:color w:val="auto"/>
              </w:rPr>
            </w:pPr>
            <w:r>
              <w:rPr>
                <w:rFonts w:ascii="Arial" w:cs="Arial" w:eastAsia="Arial" w:hAnsi="Arial"/>
                <w:sz w:val="18"/>
                <w:szCs w:val="18"/>
                <w:color w:val="auto"/>
              </w:rPr>
              <w:t>3/25/2021</w:t>
            </w:r>
          </w:p>
        </w:tc>
        <w:tc>
          <w:tcPr>
            <w:tcW w:w="440" w:type="dxa"/>
            <w:vAlign w:val="bottom"/>
          </w:tcPr>
          <w:p>
            <w:pPr>
              <w:spacing w:after="0"/>
              <w:rPr>
                <w:sz w:val="18"/>
                <w:szCs w:val="18"/>
                <w:color w:val="auto"/>
              </w:rPr>
            </w:pPr>
          </w:p>
        </w:tc>
        <w:tc>
          <w:tcPr>
            <w:tcW w:w="1700" w:type="dxa"/>
            <w:vAlign w:val="bottom"/>
          </w:tcPr>
          <w:p>
            <w:pPr>
              <w:jc w:val="center"/>
              <w:ind w:left="12"/>
              <w:spacing w:after="0"/>
              <w:rPr>
                <w:sz w:val="20"/>
                <w:szCs w:val="20"/>
                <w:color w:val="auto"/>
              </w:rPr>
            </w:pPr>
            <w:r>
              <w:rPr>
                <w:rFonts w:ascii="Arial" w:cs="Arial" w:eastAsia="Arial" w:hAnsi="Arial"/>
                <w:sz w:val="18"/>
                <w:szCs w:val="18"/>
                <w:color w:val="auto"/>
                <w:w w:val="86"/>
              </w:rPr>
              <w:t>185,000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3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2/28/2017 to 1/11/2020</w:t>
            </w:r>
          </w:p>
        </w:tc>
        <w:tc>
          <w:tcPr>
            <w:tcW w:w="170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7"/>
              </w:rPr>
              <w:t>25,758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9/15/19</w:t>
            </w:r>
          </w:p>
        </w:tc>
        <w:tc>
          <w:tcPr>
            <w:tcW w:w="440" w:type="dxa"/>
            <w:vAlign w:val="bottom"/>
          </w:tcPr>
          <w:p>
            <w:pPr>
              <w:spacing w:after="0"/>
              <w:rPr>
                <w:sz w:val="18"/>
                <w:szCs w:val="18"/>
                <w:color w:val="auto"/>
              </w:rPr>
            </w:pPr>
          </w:p>
        </w:tc>
        <w:tc>
          <w:tcPr>
            <w:tcW w:w="1700" w:type="dxa"/>
            <w:vAlign w:val="bottom"/>
          </w:tcPr>
          <w:p>
            <w:pPr>
              <w:jc w:val="center"/>
              <w:ind w:left="12"/>
              <w:spacing w:after="0"/>
              <w:rPr>
                <w:sz w:val="20"/>
                <w:szCs w:val="20"/>
                <w:color w:val="auto"/>
              </w:rPr>
            </w:pPr>
            <w:r>
              <w:rPr>
                <w:rFonts w:ascii="Arial" w:cs="Arial" w:eastAsia="Arial" w:hAnsi="Arial"/>
                <w:sz w:val="18"/>
                <w:szCs w:val="18"/>
                <w:color w:val="auto"/>
                <w:w w:val="86"/>
              </w:rPr>
              <w:t>110,448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2040" w:type="dxa"/>
            <w:vAlign w:val="bottom"/>
            <w:tcBorders>
              <w:bottom w:val="single" w:sz="8" w:color="CCEEFF"/>
            </w:tcBorders>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6"/>
              </w:rPr>
              <w:t>11/20/2017</w:t>
            </w:r>
          </w:p>
        </w:tc>
        <w:tc>
          <w:tcPr>
            <w:tcW w:w="4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8"/>
              </w:rPr>
              <w:t>3,600</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00" w:type="dxa"/>
            <w:vAlign w:val="bottom"/>
            <w:tcBorders>
              <w:bottom w:val="single" w:sz="8" w:color="auto"/>
            </w:tcBorders>
          </w:tcPr>
          <w:p>
            <w:pPr>
              <w:jc w:val="center"/>
              <w:ind w:left="32"/>
              <w:spacing w:after="0"/>
              <w:rPr>
                <w:sz w:val="20"/>
                <w:szCs w:val="20"/>
                <w:color w:val="auto"/>
              </w:rPr>
            </w:pPr>
            <w:r>
              <w:rPr>
                <w:rFonts w:ascii="Arial" w:cs="Arial" w:eastAsia="Arial" w:hAnsi="Arial"/>
                <w:sz w:val="18"/>
                <w:szCs w:val="18"/>
                <w:color w:val="auto"/>
                <w:w w:val="87"/>
              </w:rPr>
              <w:t>4,550,370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With the exception of 2,705,883 shares of common stock underlying the warrants issued in the May 2016 Public Offering, all of the common shares issuable upon exercise of our outstanding warrants are unregistered.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Party Transactions</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Cato Holding Company (</w:t>
      </w:r>
      <w:r>
        <w:rPr>
          <w:rFonts w:ascii="Arial" w:cs="Arial" w:eastAsia="Arial" w:hAnsi="Arial"/>
          <w:sz w:val="16"/>
          <w:szCs w:val="16"/>
          <w:i w:val="1"/>
          <w:iCs w:val="1"/>
          <w:color w:val="auto"/>
        </w:rPr>
        <w:t>CHC</w:t>
      </w:r>
      <w:r>
        <w:rPr>
          <w:rFonts w:ascii="Arial" w:cs="Arial" w:eastAsia="Arial" w:hAnsi="Arial"/>
          <w:sz w:val="16"/>
          <w:szCs w:val="16"/>
          <w:color w:val="auto"/>
        </w:rPr>
        <w:t>), doing business as Cato BioVentures (</w:t>
      </w:r>
      <w:r>
        <w:rPr>
          <w:rFonts w:ascii="Arial" w:cs="Arial" w:eastAsia="Arial" w:hAnsi="Arial"/>
          <w:sz w:val="16"/>
          <w:szCs w:val="16"/>
          <w:i w:val="1"/>
          <w:iCs w:val="1"/>
          <w:color w:val="auto"/>
        </w:rPr>
        <w:t>CBV</w:t>
      </w:r>
      <w:r>
        <w:rPr>
          <w:rFonts w:ascii="Arial" w:cs="Arial" w:eastAsia="Arial" w:hAnsi="Arial"/>
          <w:sz w:val="16"/>
          <w:szCs w:val="16"/>
          <w:color w:val="auto"/>
        </w:rPr>
        <w:t>), is the parent of Cato Research Ltd (</w:t>
      </w:r>
      <w:r>
        <w:rPr>
          <w:rFonts w:ascii="Arial" w:cs="Arial" w:eastAsia="Arial" w:hAnsi="Arial"/>
          <w:sz w:val="16"/>
          <w:szCs w:val="16"/>
          <w:i w:val="1"/>
          <w:iCs w:val="1"/>
          <w:color w:val="auto"/>
        </w:rPr>
        <w:t>CRL</w:t>
      </w:r>
      <w:r>
        <w:rPr>
          <w:rFonts w:ascii="Arial" w:cs="Arial" w:eastAsia="Arial" w:hAnsi="Arial"/>
          <w:sz w:val="16"/>
          <w:szCs w:val="16"/>
          <w:color w:val="auto"/>
        </w:rPr>
        <w:t>). CRL is a contract research, development and regulatory services organization (</w:t>
      </w:r>
      <w:r>
        <w:rPr>
          <w:rFonts w:ascii="Arial" w:cs="Arial" w:eastAsia="Arial" w:hAnsi="Arial"/>
          <w:sz w:val="16"/>
          <w:szCs w:val="16"/>
          <w:i w:val="1"/>
          <w:iCs w:val="1"/>
          <w:color w:val="auto"/>
        </w:rPr>
        <w:t>CRO</w:t>
      </w:r>
      <w:r>
        <w:rPr>
          <w:rFonts w:ascii="Arial" w:cs="Arial" w:eastAsia="Arial" w:hAnsi="Arial"/>
          <w:sz w:val="16"/>
          <w:szCs w:val="16"/>
          <w:color w:val="auto"/>
        </w:rPr>
        <w:t xml:space="preserve">) engaged by us for certain aspects of the development of AV-101. CBV is among our largest institutional stockholders at December 31, 2016, holding approximately 7.0% of our outstanding common stock. In October 2012 we issued certain unsecured promissory notes in the aggregate face amount of approximately $1.3 million to CBV and CRL (the </w:t>
      </w:r>
      <w:r>
        <w:rPr>
          <w:rFonts w:ascii="Arial" w:cs="Arial" w:eastAsia="Arial" w:hAnsi="Arial"/>
          <w:sz w:val="16"/>
          <w:szCs w:val="16"/>
          <w:i w:val="1"/>
          <w:iCs w:val="1"/>
          <w:color w:val="auto"/>
        </w:rPr>
        <w:t>Cato Notes</w:t>
      </w:r>
      <w:r>
        <w:rPr>
          <w:rFonts w:ascii="Arial" w:cs="Arial" w:eastAsia="Arial" w:hAnsi="Arial"/>
          <w:sz w:val="16"/>
          <w:szCs w:val="16"/>
          <w:color w:val="auto"/>
        </w:rPr>
        <w:t>) as payment in full for all contract research and development services and regulatory advice previously rendered to us by CRL. The Cato Notes and additional amounts payable to CRL for CRO services were extinguished in June 2015 in exchange for our issuance of an aggregate of 328,571 shares of Series B Preferred to CBV, which shares of Series B Preferred were automatically converted into an equal number of registered shares of our common stock in connection with the May 2016 Public Offering.</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terms of our CRO arrangement with CRL related to the development of AV-101, we incurred expenses of $101,900 and $19,400 for the quarters ended December 31, 2016 and 2015, respectively, and $180,100 and $41,500 in the nine month periods ended December 31, 2016 and 2015, respectively. Total interest expense, including amortization of note discount, on the Cato Notes was $28,200 for the three-month period ended June 30, 2015 during which the notes were extinguished.</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xml:space="preserve">) holds approximately 2.0% of our outstanding common stock at December 31, 2016. As described more completely in Note 5, </w:t>
      </w:r>
      <w:r>
        <w:rPr>
          <w:rFonts w:ascii="Arial" w:cs="Arial" w:eastAsia="Arial" w:hAnsi="Arial"/>
          <w:sz w:val="16"/>
          <w:szCs w:val="16"/>
          <w:i w:val="1"/>
          <w:iCs w:val="1"/>
          <w:color w:val="auto"/>
        </w:rPr>
        <w:t>Sublicense Fee Receivable and Sublicense Revenue</w:t>
      </w:r>
      <w:r>
        <w:rPr>
          <w:rFonts w:ascii="Arial" w:cs="Arial" w:eastAsia="Arial" w:hAnsi="Arial"/>
          <w:sz w:val="16"/>
          <w:szCs w:val="16"/>
          <w:color w:val="auto"/>
        </w:rPr>
        <w:t>, in December 2016, we entered into certain agreements with UHN pursuant to which we acquired two</w:t>
      </w:r>
      <w:r>
        <w:rPr>
          <w:rFonts w:ascii="Arial" w:cs="Arial" w:eastAsia="Arial" w:hAnsi="Arial"/>
          <w:sz w:val="16"/>
          <w:szCs w:val="16"/>
          <w:i w:val="1"/>
          <w:iCs w:val="1"/>
          <w:color w:val="auto"/>
        </w:rPr>
        <w:t xml:space="preserve"> </w:t>
      </w:r>
      <w:r>
        <w:rPr>
          <w:rFonts w:ascii="Arial" w:cs="Arial" w:eastAsia="Arial" w:hAnsi="Arial"/>
          <w:sz w:val="16"/>
          <w:szCs w:val="16"/>
          <w:color w:val="auto"/>
        </w:rPr>
        <w:t>exclusive patent licenses from UHN and became obligated to make a payment to UHN with respect to our sublicense to BlueRock Therapeutics of cardiac stem cell production technology licensed to us by UHN. At December 31, 2016, we had recorded a liability to UHN of $233,400 related to these agreements. In the nine months ended December 31, 2015, we had incurred approximately $153,000 related to the acquisition of three stem cell technology licenses from UHN.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Lease Extension</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Effective on November 10, 2016, we executed an amendment to the lease of our headquarters facility, pursuant to which the term of the lease was extended from July 31, 2017 to July 31, 2022 and the base rent for the five-year extension period was specified. The lease amendment also provides for a two-month period of rent abatement and an allowance for tenant improvements, which allowance may be disbursed between January 1, 2017 and August 1, 2018. We have recognized the effect of the amendment in the balance reported as Deferred Rent Liability in the accompanying Condensed Consolidated Balance Sheet at December 31, 2016 and in rent expense in the Condensed Consolidated Statement of Operations for the quarter ended December 31, 2016.</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evaluated subsequent events through February 10, 2017 and have identified no matters requiring disclosure.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This Quarterly Report on Form 10-Q (Quarterly Report) includes forward-looking statements. All statements contained in this Quarterly Report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additional financing, the results of our research and development efforts, the results of non-clinical and clinical testing, the effect of regulation by the United States Food and Drug Administration (FDA) and other agencies, the impact of competitive products, product development, commercialization and technological difficulties, the effect of our accounting policies, and other risks as detailed in the section entitled “Risk Factors” in this Quarterly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and stockholders.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may not occur and actual results could differ materially and adversely from those anticipated or implied in the forward-looking statements.</w:t>
      </w:r>
    </w:p>
    <w:p>
      <w:pPr>
        <w:spacing w:after="0" w:line="19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Quarterly Report or to conform these statements to actual results or revised expectations. If we do update one or more forward-looking statements, no inference should be drawn that we will make additional updates with respect to those or other forward-looking statements. ..</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clinical-stage biopharmaceutical company focused on developing new generation medicines for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Unless the context otherwise requires, the words “</w:t>
      </w:r>
      <w:r>
        <w:rPr>
          <w:rFonts w:ascii="Arial" w:cs="Arial" w:eastAsia="Arial" w:hAnsi="Arial"/>
          <w:sz w:val="18"/>
          <w:szCs w:val="18"/>
          <w:i w:val="1"/>
          <w:iCs w:val="1"/>
          <w:color w:val="auto"/>
        </w:rPr>
        <w:t>VistaGen Therapeutics, Inc.</w:t>
      </w:r>
      <w:r>
        <w:rPr>
          <w:rFonts w:ascii="Arial" w:cs="Arial" w:eastAsia="Arial" w:hAnsi="Arial"/>
          <w:sz w:val="18"/>
          <w:szCs w:val="18"/>
          <w:color w:val="auto"/>
        </w:rPr>
        <w:t>” “</w:t>
      </w:r>
      <w:r>
        <w:rPr>
          <w:rFonts w:ascii="Arial" w:cs="Arial" w:eastAsia="Arial" w:hAnsi="Arial"/>
          <w:sz w:val="18"/>
          <w:szCs w:val="18"/>
          <w:i w:val="1"/>
          <w:iCs w:val="1"/>
          <w:color w:val="auto"/>
        </w:rPr>
        <w:t>VistaGen</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the Company</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refer to VistaGen Therapeutics, Inc., a Nevada corporation. All references to future quarters and years in this Item 2 refer to calendar quarters and calendar years, unless reference is made otherwise.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AV-101, our lead CNS product candidate, is a new generation oral antidepressant drug candidate in Phase 2 development, initially as an adjunctive treatment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in patients with an inadequate response to standard antidepressants approved by the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We believe AV-101 may also have the potential to treat additional CNS indications, including chronic neuropathic pain, epilepsy, Huntington’s disease and Parkinson’s disease.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AV-101’s mechanism of action, as an N-methyl D aspartate receptor (</w:t>
      </w:r>
      <w:r>
        <w:rPr>
          <w:rFonts w:ascii="Arial" w:cs="Arial" w:eastAsia="Arial" w:hAnsi="Arial"/>
          <w:sz w:val="18"/>
          <w:szCs w:val="18"/>
          <w:i w:val="1"/>
          <w:iCs w:val="1"/>
          <w:color w:val="auto"/>
        </w:rPr>
        <w:t>NMDAR</w:t>
      </w:r>
      <w:r>
        <w:rPr>
          <w:rFonts w:ascii="Arial" w:cs="Arial" w:eastAsia="Arial" w:hAnsi="Arial"/>
          <w:sz w:val="18"/>
          <w:szCs w:val="18"/>
          <w:color w:val="auto"/>
        </w:rPr>
        <w:t>) antagonist binding selectively at the glycine binding (</w:t>
      </w:r>
      <w:r>
        <w:rPr>
          <w:rFonts w:ascii="Arial" w:cs="Arial" w:eastAsia="Arial" w:hAnsi="Arial"/>
          <w:sz w:val="18"/>
          <w:szCs w:val="18"/>
          <w:i w:val="1"/>
          <w:iCs w:val="1"/>
          <w:color w:val="auto"/>
        </w:rPr>
        <w:t>GlyB</w:t>
      </w:r>
      <w:r>
        <w:rPr>
          <w:rFonts w:ascii="Arial" w:cs="Arial" w:eastAsia="Arial" w:hAnsi="Arial"/>
          <w:sz w:val="18"/>
          <w:szCs w:val="18"/>
          <w:color w:val="auto"/>
        </w:rPr>
        <w:t>) co-agonist site of the NMDAR, is fundamentally differentiated from all FDA-approved antidepressants, as well as all atypical antipsychotics often used adjunctively with standard antidepressants.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Phase 2a clinical study of AV-101 as a monotherapy in subjects with treatment-resistant MDD is being conducted and fully funded by the U.S. National Institute of Mental Health (</w:t>
      </w:r>
      <w:r>
        <w:rPr>
          <w:rFonts w:ascii="Arial" w:cs="Arial" w:eastAsia="Arial" w:hAnsi="Arial"/>
          <w:sz w:val="16"/>
          <w:szCs w:val="16"/>
          <w:i w:val="1"/>
          <w:iCs w:val="1"/>
          <w:color w:val="auto"/>
        </w:rPr>
        <w:t>NIMH</w:t>
      </w:r>
      <w:r>
        <w:rPr>
          <w:rFonts w:ascii="Arial" w:cs="Arial" w:eastAsia="Arial" w:hAnsi="Arial"/>
          <w:sz w:val="16"/>
          <w:szCs w:val="16"/>
          <w:color w:val="auto"/>
        </w:rPr>
        <w:t>), part of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under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NIMH (</w:t>
      </w:r>
      <w:r>
        <w:rPr>
          <w:rFonts w:ascii="Arial" w:cs="Arial" w:eastAsia="Arial" w:hAnsi="Arial"/>
          <w:sz w:val="16"/>
          <w:szCs w:val="16"/>
          <w:i w:val="1"/>
          <w:iCs w:val="1"/>
          <w:color w:val="auto"/>
        </w:rPr>
        <w:t>Phase 2a Study</w:t>
      </w:r>
      <w:r>
        <w:rPr>
          <w:rFonts w:ascii="Arial" w:cs="Arial" w:eastAsia="Arial" w:hAnsi="Arial"/>
          <w:sz w:val="16"/>
          <w:szCs w:val="16"/>
          <w:color w:val="auto"/>
        </w:rPr>
        <w:t>). The Principal Investigator of the Phase 2a Study is Dr. Carlos Zarate, Jr., Chief of the NIMH’s Experimental Therapeutics &amp; Pathophysiology Branch and its Section on Neurobiology and Treatment of Mood and Anxiety Disorders. Previous NIMH studies, including studies conducted by Dr. Zarate, have focused on the antidepressant effects of low dose, intravenous (</w:t>
      </w:r>
      <w:r>
        <w:rPr>
          <w:rFonts w:ascii="Arial" w:cs="Arial" w:eastAsia="Arial" w:hAnsi="Arial"/>
          <w:sz w:val="16"/>
          <w:szCs w:val="16"/>
          <w:i w:val="1"/>
          <w:iCs w:val="1"/>
          <w:color w:val="auto"/>
        </w:rPr>
        <w:t>I.V.</w:t>
      </w:r>
      <w:r>
        <w:rPr>
          <w:rFonts w:ascii="Arial" w:cs="Arial" w:eastAsia="Arial" w:hAnsi="Arial"/>
          <w:sz w:val="16"/>
          <w:szCs w:val="16"/>
          <w:color w:val="auto"/>
        </w:rPr>
        <w:t>) ketamine, a NMDAR antagonist, in patients with treatment-resistant MDD. These NIMH studies, as well as clinical research by Yale University and other academic institutions, have demonstrated robust antidepressant effects in MDD patients within twenty-four hours of a single low dose of I.V. ketamine. We believe orally-administered AV-101 may have potential to deliver ketamine-like fast-acting antidepressant effects without ketamine’s serious side effects. We currently anticipate that the NIMH will complete the Phase 2a Study by the end of 2017.</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preparing to launch our Phase 2b clinical study of AV-101 as a new generation adjunctive treatment of MDD in adult patients with an inadequate response to standard, FDA-approved antidepressants (</w:t>
      </w:r>
      <w:r>
        <w:rPr>
          <w:rFonts w:ascii="Arial" w:cs="Arial" w:eastAsia="Arial" w:hAnsi="Arial"/>
          <w:sz w:val="16"/>
          <w:szCs w:val="16"/>
          <w:i w:val="1"/>
          <w:iCs w:val="1"/>
          <w:color w:val="auto"/>
        </w:rPr>
        <w:t>Phase 2b Study</w:t>
      </w:r>
      <w:r>
        <w:rPr>
          <w:rFonts w:ascii="Arial" w:cs="Arial" w:eastAsia="Arial" w:hAnsi="Arial"/>
          <w:sz w:val="16"/>
          <w:szCs w:val="16"/>
          <w:color w:val="auto"/>
        </w:rPr>
        <w:t>). We currently anticipate commencement of this multi-center, multi-dose, double blind, placebo-controlled efficacy and safety study of AV-101 by the end of the second quarter of 2017. Dr. Maurizio Fava, Professor of Psychiatry at Harvard Medical School and Director, Division of Clinical Research, Massachusetts General Hospital (</w:t>
      </w:r>
      <w:r>
        <w:rPr>
          <w:rFonts w:ascii="Arial" w:cs="Arial" w:eastAsia="Arial" w:hAnsi="Arial"/>
          <w:sz w:val="16"/>
          <w:szCs w:val="16"/>
          <w:i w:val="1"/>
          <w:iCs w:val="1"/>
          <w:color w:val="auto"/>
        </w:rPr>
        <w:t>MGH</w:t>
      </w:r>
      <w:r>
        <w:rPr>
          <w:rFonts w:ascii="Arial" w:cs="Arial" w:eastAsia="Arial" w:hAnsi="Arial"/>
          <w:sz w:val="16"/>
          <w:szCs w:val="16"/>
          <w:color w:val="auto"/>
        </w:rPr>
        <w:t>) Research Institute, will be the Principal Investigator of the Phase 2b Study. Dr. Fava was the co-Principal Investigator with Dr. A. John Rush of the STAR*D study, the largest clinical trial conducted in depression to date, whose findings were published in journals such as the New England Journal of Medicine (</w:t>
      </w:r>
      <w:r>
        <w:rPr>
          <w:rFonts w:ascii="Arial" w:cs="Arial" w:eastAsia="Arial" w:hAnsi="Arial"/>
          <w:sz w:val="16"/>
          <w:szCs w:val="16"/>
          <w:i w:val="1"/>
          <w:iCs w:val="1"/>
          <w:color w:val="auto"/>
        </w:rPr>
        <w:t>NEJM</w:t>
      </w:r>
      <w:r>
        <w:rPr>
          <w:rFonts w:ascii="Arial" w:cs="Arial" w:eastAsia="Arial" w:hAnsi="Arial"/>
          <w:sz w:val="16"/>
          <w:szCs w:val="16"/>
          <w:color w:val="auto"/>
        </w:rPr>
        <w:t>) and the Journal of the American Medical Association (</w:t>
      </w:r>
      <w:r>
        <w:rPr>
          <w:rFonts w:ascii="Arial" w:cs="Arial" w:eastAsia="Arial" w:hAnsi="Arial"/>
          <w:sz w:val="16"/>
          <w:szCs w:val="16"/>
          <w:i w:val="1"/>
          <w:iCs w:val="1"/>
          <w:color w:val="auto"/>
        </w:rPr>
        <w:t>JAMA</w:t>
      </w:r>
      <w:r>
        <w:rPr>
          <w:rFonts w:ascii="Arial" w:cs="Arial" w:eastAsia="Arial" w:hAnsi="Arial"/>
          <w:sz w:val="16"/>
          <w:szCs w:val="16"/>
          <w:color w:val="auto"/>
        </w:rPr>
        <w:t>). We currently anticipate top line results of the Phase 2b Study by the end of 2018.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VistaStem Therapeutics (</w:t>
      </w:r>
      <w:r>
        <w:rPr>
          <w:rFonts w:ascii="Arial" w:cs="Arial" w:eastAsia="Arial" w:hAnsi="Arial"/>
          <w:sz w:val="16"/>
          <w:szCs w:val="16"/>
          <w:i w:val="1"/>
          <w:iCs w:val="1"/>
          <w:color w:val="auto"/>
        </w:rPr>
        <w:t>VistaStem</w:t>
      </w:r>
      <w:r>
        <w:rPr>
          <w:rFonts w:ascii="Arial" w:cs="Arial" w:eastAsia="Arial" w:hAnsi="Arial"/>
          <w:sz w:val="16"/>
          <w:szCs w:val="16"/>
          <w:color w:val="auto"/>
        </w:rPr>
        <w:t>) is our wholly owned subsidiary focused on applying human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internally or with third-party collaborators, to discover, rescue, develop and commercialize (i) proprietary new chemical entities (</w:t>
      </w:r>
      <w:r>
        <w:rPr>
          <w:rFonts w:ascii="Arial" w:cs="Arial" w:eastAsia="Arial" w:hAnsi="Arial"/>
          <w:sz w:val="16"/>
          <w:szCs w:val="16"/>
          <w:i w:val="1"/>
          <w:iCs w:val="1"/>
          <w:color w:val="auto"/>
        </w:rPr>
        <w:t>NCEs</w:t>
      </w:r>
      <w:r>
        <w:rPr>
          <w:rFonts w:ascii="Arial" w:cs="Arial" w:eastAsia="Arial" w:hAnsi="Arial"/>
          <w:sz w:val="16"/>
          <w:szCs w:val="16"/>
          <w:color w:val="auto"/>
        </w:rPr>
        <w:t xml:space="preserve">), including small molecule NCEs with regenerative potential, for CNS and other diseases and (ii) cellular therapies involving stem cell-derived blood, cartilage, heart and liver cells. Our internal small molecule drug rescue programs utilize </w:t>
      </w:r>
      <w:r>
        <w:rPr>
          <w:rFonts w:ascii="Arial" w:cs="Arial" w:eastAsia="Arial" w:hAnsi="Arial"/>
          <w:sz w:val="16"/>
          <w:szCs w:val="16"/>
          <w:i w:val="1"/>
          <w:iCs w:val="1"/>
          <w:color w:val="auto"/>
        </w:rPr>
        <w:t>CardioSafe 3D</w:t>
      </w:r>
      <w:r>
        <w:rPr>
          <w:rFonts w:ascii="Arial" w:cs="Arial" w:eastAsia="Arial" w:hAnsi="Arial"/>
          <w:sz w:val="16"/>
          <w:szCs w:val="16"/>
          <w:color w:val="auto"/>
        </w:rPr>
        <w:t xml:space="preserve">, our customized cardiac bioassay system, to develop NCEs for our pipeline. In December 2016, we exclusively sublicensed to BlueRock Therapeutics LP, a next generation regenerative medicine company established in December 2016 by Bayer AG and Versant Ventures, rights to certain proprietary technologies relating to the production of cardiac stem cells for the treatment of heart disease (the </w:t>
      </w:r>
      <w:r>
        <w:rPr>
          <w:rFonts w:ascii="Arial" w:cs="Arial" w:eastAsia="Arial" w:hAnsi="Arial"/>
          <w:sz w:val="16"/>
          <w:szCs w:val="16"/>
          <w:i w:val="1"/>
          <w:iCs w:val="1"/>
          <w:color w:val="auto"/>
        </w:rPr>
        <w:t>BlueRock</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VistaStem may also pursue additional potential regenerative medicine (</w:t>
      </w:r>
      <w:r>
        <w:rPr>
          <w:rFonts w:ascii="Arial" w:cs="Arial" w:eastAsia="Arial" w:hAnsi="Arial"/>
          <w:sz w:val="16"/>
          <w:szCs w:val="16"/>
          <w:i w:val="1"/>
          <w:iCs w:val="1"/>
          <w:color w:val="auto"/>
        </w:rPr>
        <w:t>RM</w:t>
      </w:r>
      <w:r>
        <w:rPr>
          <w:rFonts w:ascii="Arial" w:cs="Arial" w:eastAsia="Arial" w:hAnsi="Arial"/>
          <w:sz w:val="16"/>
          <w:szCs w:val="16"/>
          <w:color w:val="auto"/>
        </w:rPr>
        <w:t>) applications, including using blood, cartilage, and/or liver cells derived</w:t>
      </w:r>
      <w:r>
        <w:rPr>
          <w:rFonts w:ascii="Arial" w:cs="Arial" w:eastAsia="Arial" w:hAnsi="Arial"/>
          <w:sz w:val="16"/>
          <w:szCs w:val="16"/>
          <w:i w:val="1"/>
          <w:iCs w:val="1"/>
          <w:color w:val="auto"/>
        </w:rPr>
        <w:t xml:space="preserve"> </w:t>
      </w:r>
      <w:r>
        <w:rPr>
          <w:rFonts w:ascii="Arial" w:cs="Arial" w:eastAsia="Arial" w:hAnsi="Arial"/>
          <w:sz w:val="16"/>
          <w:szCs w:val="16"/>
          <w:color w:val="auto"/>
        </w:rPr>
        <w:t>from hPSCs for (A) cell-based therapy, (B) cell repair therapy, and/or (C) tissue engineering. In a manner similar to our exclusive sublicense agreement with BlueRock Therapeutics, VistaStem may pursue these additional RM applications in collaboration with third-parties.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AV-101 and Major Depressive Disorder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World Health Organization (</w:t>
      </w:r>
      <w:r>
        <w:rPr>
          <w:rFonts w:ascii="Arial" w:cs="Arial" w:eastAsia="Arial" w:hAnsi="Arial"/>
          <w:sz w:val="16"/>
          <w:szCs w:val="16"/>
          <w:i w:val="1"/>
          <w:iCs w:val="1"/>
          <w:color w:val="auto"/>
        </w:rPr>
        <w:t>WHO</w:t>
      </w:r>
      <w:r>
        <w:rPr>
          <w:rFonts w:ascii="Arial" w:cs="Arial" w:eastAsia="Arial" w:hAnsi="Arial"/>
          <w:sz w:val="16"/>
          <w:szCs w:val="16"/>
          <w:color w:val="auto"/>
        </w:rPr>
        <w:t>) estimates that 350 million people worldwide are affected by depression. According to the NIH, major depression is one of the most common mental disorders in the U.S. The NIMH reports that, in 2014, an estimated 15.7 million adults aged 18 or older in the U.S. had at least one major depressive episode in the past year. This represented 6.7 percent of all U.S. adults. According to the U.S. Centers for Disease Control and Prevention (</w:t>
      </w:r>
      <w:r>
        <w:rPr>
          <w:rFonts w:ascii="Arial" w:cs="Arial" w:eastAsia="Arial" w:hAnsi="Arial"/>
          <w:sz w:val="16"/>
          <w:szCs w:val="16"/>
          <w:i w:val="1"/>
          <w:iCs w:val="1"/>
          <w:color w:val="auto"/>
        </w:rPr>
        <w:t>CDC</w:t>
      </w:r>
      <w:r>
        <w:rPr>
          <w:rFonts w:ascii="Arial" w:cs="Arial" w:eastAsia="Arial" w:hAnsi="Arial"/>
          <w:sz w:val="16"/>
          <w:szCs w:val="16"/>
          <w:color w:val="auto"/>
        </w:rPr>
        <w:t>) one in 10 Americans over the age of 12 takes a standard, FDA-approved antidepressant.</w:t>
      </w:r>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Most standard, FDA-approved antidepressants target neurotransmitter reuptake inhibition – either serotonin (antidepressants known as </w:t>
      </w:r>
      <w:r>
        <w:rPr>
          <w:rFonts w:ascii="Arial" w:cs="Arial" w:eastAsia="Arial" w:hAnsi="Arial"/>
          <w:sz w:val="16"/>
          <w:szCs w:val="16"/>
          <w:i w:val="1"/>
          <w:iCs w:val="1"/>
          <w:color w:val="auto"/>
        </w:rPr>
        <w:t>SSRIs</w:t>
      </w:r>
      <w:r>
        <w:rPr>
          <w:rFonts w:ascii="Arial" w:cs="Arial" w:eastAsia="Arial" w:hAnsi="Arial"/>
          <w:sz w:val="16"/>
          <w:szCs w:val="16"/>
          <w:color w:val="auto"/>
        </w:rPr>
        <w:t xml:space="preserve">) or serotonin/norepinephrine (antidepressants known as </w:t>
      </w:r>
      <w:r>
        <w:rPr>
          <w:rFonts w:ascii="Arial" w:cs="Arial" w:eastAsia="Arial" w:hAnsi="Arial"/>
          <w:sz w:val="16"/>
          <w:szCs w:val="16"/>
          <w:i w:val="1"/>
          <w:iCs w:val="1"/>
          <w:color w:val="auto"/>
        </w:rPr>
        <w:t>SNRIs</w:t>
      </w:r>
      <w:r>
        <w:rPr>
          <w:rFonts w:ascii="Arial" w:cs="Arial" w:eastAsia="Arial" w:hAnsi="Arial"/>
          <w:sz w:val="16"/>
          <w:szCs w:val="16"/>
          <w:color w:val="auto"/>
        </w:rPr>
        <w:t>). Even when effective, these standard depression medications take many weeks to achieve adequate antidepressant effects. Nearly two out of every three drug-treated depression patients, including an estimated 6.9 million drug-treated MDD patients in the U.S., obtain inadequate therapeutic benefit from initial treatment with a standard antidepressant. Unfortunately, even after treatment with as many as four different standard antidepressants, nearly one out of every three drug-treated depression patients still do not achieve adequate therapeutic benefits. Such patients with an inadequate response to standard antidepressants often seek to augment their treatment regimen by adding an atypical antipsychotic (such as, for example, aripiprazole), despite only modest potential therapeutic benefit and the risk of additional side effects from atypical antipsychotics.</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All standard, FDA-approved antidepressants have risks of significant side effects, including, among others, potential anxiety, metabolic syndrome, sleep disturbance and sexual dysfunction. Adjunctive use of atypical antipsychotics to augment inadequately performing standard antidepressants increases the risk of serious side effects, including, potentially, tardive dyskinesia, significant weight gain, diabetes and heart disease, while offering only a modest potential increase in therapeutic benefit.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AV-101</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AV-101, our oral new generation antidepressant prodrug candidate, is in Phase 2 clinical development for the adjunctive treatment of MDD patients with an inadequate response to standard antidepressants. As published in the October 2015 issue of the peer-reviewed, </w:t>
      </w:r>
      <w:r>
        <w:rPr>
          <w:rFonts w:ascii="Arial" w:cs="Arial" w:eastAsia="Arial" w:hAnsi="Arial"/>
          <w:sz w:val="16"/>
          <w:szCs w:val="16"/>
          <w:i w:val="1"/>
          <w:iCs w:val="1"/>
          <w:color w:val="auto"/>
        </w:rPr>
        <w:t>Journal of Pharmacology and Experimental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Therapeutics, </w:t>
      </w:r>
      <w:r>
        <w:rPr>
          <w:rFonts w:ascii="Arial" w:cs="Arial" w:eastAsia="Arial" w:hAnsi="Arial"/>
          <w:sz w:val="16"/>
          <w:szCs w:val="16"/>
          <w:color w:val="auto"/>
        </w:rPr>
        <w:t>in an article entitled,</w:t>
      </w:r>
      <w:r>
        <w:rPr>
          <w:rFonts w:ascii="Arial" w:cs="Arial" w:eastAsia="Arial" w:hAnsi="Arial"/>
          <w:sz w:val="16"/>
          <w:szCs w:val="16"/>
          <w:i w:val="1"/>
          <w:iCs w:val="1"/>
          <w:color w:val="auto"/>
        </w:rPr>
        <w:t xml:space="preserve"> The prodrug 4-chlorokynurenine causes ketamine-like antidepressant effects, but not side effects, by NMDA/glycineB-site inhibition, </w:t>
      </w:r>
      <w:r>
        <w:rPr>
          <w:rFonts w:ascii="Arial" w:cs="Arial" w:eastAsia="Arial" w:hAnsi="Arial"/>
          <w:sz w:val="16"/>
          <w:szCs w:val="16"/>
          <w:color w:val="auto"/>
        </w:rPr>
        <w:t>using well-established preclinical models of depression, AV-101 was shown to induce fast-acting, dose-dependent, persistent and statistically</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antidepressant-like responses following a single treatment. These responses were equivalent to those seen with a single sub-anesthetic control dose of ketamine, a NMDAR antagonist. In addition, these studies confirmed that the fast-acting antidepressant effects of AV-101 were mediated through the GlyB site and also involved the activation of another key neurological pathway, the alpha-amino-3-hydroxy-5-methyl-4-isoxazolepropionic acid (</w:t>
      </w:r>
      <w:r>
        <w:rPr>
          <w:rFonts w:ascii="Arial" w:cs="Arial" w:eastAsia="Arial" w:hAnsi="Arial"/>
          <w:sz w:val="16"/>
          <w:szCs w:val="16"/>
          <w:i w:val="1"/>
          <w:iCs w:val="1"/>
          <w:color w:val="auto"/>
        </w:rPr>
        <w:t>AMPA</w:t>
      </w:r>
      <w:r>
        <w:rPr>
          <w:rFonts w:ascii="Arial" w:cs="Arial" w:eastAsia="Arial" w:hAnsi="Arial"/>
          <w:sz w:val="16"/>
          <w:szCs w:val="16"/>
          <w:color w:val="auto"/>
        </w:rPr>
        <w:t>) receptor pathway. We believe activation of the AMPA receptor pathway is a key final common pathway feature of new generation antidepressants.</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Following the completion of our NIH-funded, randomized, double blind, placebo-controlled AV-101 Phase 1a and Phase 1b safety studies, the NIMH initiated and is fully funding the Phase 2a study of AV-101 as a monotherapy in subjects with treatment-resistant MDD under our February 2015 CRADA with the NIMH. Dr. Carlos Zarate Jr. of the NIMH is the Principal Investigator conducting the Phase 2a Study at the NIMH. The trial is expected to enroll up to 25 patients. We currently anticipate that the NIMH will complete the Phase 2a Study by the end of 2017.</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preparing to launch our approximately 280-patient Phase 2b Study of AV-101 as an adjunctive treatment of MDD in patients with an inadequate response to standard, FDA-approved antidepressants. We currently anticipate the launch of the Phase 2b Study, with Dr. Maurizio Fava of Harvard Medical School serving as Principal Investigator, by the end of the second quarter of 2017. We currently anticipate top line results of the Phase 2b Study by the end of 2018.</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preclinical studies support the hypothesis that AV-101 may also have the potential to treat multiple CNS disorders and neurodegenerative diseases in addition to MDD, including chronic neuropathic pain, epilepsy, Parkinson’s disease and Huntington’s disease, where modulation of the NMDAR, AMPA pathway and/or key active metabolites of AV-101 may achieve therapeutic benefit. However, human clinical studies will be required before this therapeutic potential could be demonstrated. There is no guarantee that human clinical trials would be successful or that the FDA would approve the use of AV-101 for the treatment of one or more of these additional CNS indications.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CardioSafe 3D™; NCE Drug Rescue and Regenerative Medicine</w:t>
      </w:r>
    </w:p>
    <w:p>
      <w:pPr>
        <w:spacing w:after="0" w:line="23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VistaStem Therapeutics is our wholly owned subsidiary focused on applying hPSC technology to discover, rescue, develop and commercialize proprietary NCEs, including small molecule NCEs with regenerative potential, for CNS and other diseases, as well as potential cellular therapies involving stem cell-derived blood, cartilage, heart and liver cells.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is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cardiac bioassay system capable of predicting potential human heart toxicity of small molecule NCEs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long before they are ever tested in animal and human studies. We are currently focused on potential commercial applications of our stem cell technology platform involving (i) use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internal small molecule NCE drug discovery and drug rescue to expand our proprietary drug candidate pipeline, leveraging substantial prior research and development investments by pharmaceutical companies and others related to public domain NCEs terminated before FDA approval due to heart toxicity risks and (ii) RM. With respect to RM, in December 2016, we exclusively sublicensed to BlueRock Therapeutics LP, a next generation regenerative medicine company established in December 2016 by Bayer AG and Versant Ventures, rights to certain proprietary technologies relating to the production of cardiac stem cells for the treatment of heart disease (</w:t>
      </w:r>
      <w:r>
        <w:rPr>
          <w:rFonts w:ascii="Arial" w:cs="Arial" w:eastAsia="Arial" w:hAnsi="Arial"/>
          <w:sz w:val="16"/>
          <w:szCs w:val="16"/>
          <w:i w:val="1"/>
          <w:iCs w:val="1"/>
          <w:color w:val="auto"/>
        </w:rPr>
        <w:t>BlueRock Therapeutics Agreement</w:t>
      </w:r>
      <w:r>
        <w:rPr>
          <w:rFonts w:ascii="Arial" w:cs="Arial" w:eastAsia="Arial" w:hAnsi="Arial"/>
          <w:sz w:val="16"/>
          <w:szCs w:val="16"/>
          <w:color w:val="auto"/>
        </w:rPr>
        <w:t xml:space="preserve">). We may also pursue additional potential RM applications using blood, cartilage, and/or liver cells derived from hPSCs for (A) cell-based therapy (injection of stem cell-derived mature organ-specific cells obtained through directed differentiation), (B) cell repair therapy (induction of regeneration by biologically active molecules administered alone or produced by infused genetically engineered cells), or (C) tissue engineering (transplantation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grown complex tissues) using hPSC-derived blood, bone, cartilage, and/or liver cells. In a manner similar to the BlueRock Therapeutics Agreement, we may pursue these additional RM applications in collaboration with third-parties.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2016, as filed with the SEC on June 24, 2016, and in Note 3 to the accompanying unaudited Condensed Consolidated Financial Statements included in Part 1, Item 1 of this Quarterly Report on Form 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Since inception, we have devoted substantially all of our time and efforts to developing our lead CNS product candidate, AV-101, from early nonclinical studies to our ongoing Phase 2 clinical development program in MDD, as well as stem cell technology research and development, bioassay development, small molecule drug development, and creating, protecting and patenting intellectual property related to our product candidates and technologies, with the corollary initiatives of recruiting and retaining personnel and raising working capital. As of December 31, 2016, we had an accumulated deficit of approximately $139.4 million. Our net loss for the nine months ended December 31, 2016 was approximately $7.7 million. Our net loss for the nine months ended December 31, 2015 was approximately $38.7 million, which amount, however, included a non-recurring, non-cash loss of approximately $26.7 million attributable to extinguishment and conversion of approximately $17.2 million of prior indebtedness into equity securities between May and August 2015 at a Conversion Price (stated value) of $7.00 per share. We expect losses to continue for the foreseeable future, primarily related to our further clinical development of AV-101 for the adjunctive treatment of MDD, as well as a range of other CNS indications.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Nine Months Ended December 31, 2016</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During the nine months ended December 31, 2016, we have continued to (i) advance nonclinical and clinical development of AV-101 as a potential new generation antidepressant, (ii) expand the regulatory foundation to support Phase 2 clinical development of AV-101 in the U.S., both as a new adjunctive treatment for patients with inadequate response to standard, FDA-approved antidepressants and as a new therapeutic alternative for several other CNS indications, and, (iii) on a limited basis, advance both (a) the predictive toxicology capabilities of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and development applications, including our ongoing participation in the FDA’s Comprehensive in-vitro Proarrhythmia Assay (</w:t>
      </w:r>
      <w:r>
        <w:rPr>
          <w:rFonts w:ascii="Arial" w:cs="Arial" w:eastAsia="Arial" w:hAnsi="Arial"/>
          <w:sz w:val="16"/>
          <w:szCs w:val="16"/>
          <w:i w:val="1"/>
          <w:iCs w:val="1"/>
          <w:color w:val="auto"/>
        </w:rPr>
        <w:t>CiPA</w:t>
      </w:r>
      <w:r>
        <w:rPr>
          <w:rFonts w:ascii="Arial" w:cs="Arial" w:eastAsia="Arial" w:hAnsi="Arial"/>
          <w:sz w:val="16"/>
          <w:szCs w:val="16"/>
          <w:color w:val="auto"/>
        </w:rPr>
        <w:t>) initiative designed to change the landscape of preclinical drug development by providing a more complete and accurate assessment of potential drug effects on cardiac risk, and (b) regenerative medicine opportunities related to our stem cell technology platform.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Pursuant to our February 2015 Cooperative Research and Development Agreement (</w:t>
      </w:r>
      <w:r>
        <w:rPr>
          <w:rFonts w:ascii="Arial" w:cs="Arial" w:eastAsia="Arial" w:hAnsi="Arial"/>
          <w:sz w:val="16"/>
          <w:szCs w:val="16"/>
          <w:i w:val="1"/>
          <w:iCs w:val="1"/>
          <w:color w:val="auto"/>
        </w:rPr>
        <w:t>CRADA</w:t>
      </w:r>
      <w:r>
        <w:rPr>
          <w:rFonts w:ascii="Arial" w:cs="Arial" w:eastAsia="Arial" w:hAnsi="Arial"/>
          <w:sz w:val="16"/>
          <w:szCs w:val="16"/>
          <w:color w:val="auto"/>
        </w:rPr>
        <w:t>) with the NIH, the NIH continues to fund, and Dr. Carlos Zarate Jr. of the NIMH continues to conduct, a Phase 2a clinical study of AV-101 as a monotherapy for treatment-resistant MDD. We currently anticipate that the NIMH will complete the Phase 2a Study by the end of 2017. In addition, we continue to prepare for the Phase 2b Study. We currently anticipate the launch of the Phase 2b Study, with Dr. Maurizio Fava of Harvard Medical School serving as Principal Investigator, in the second quarter of 2017.</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May 2016, we consummated an underwritten public offering of our securities, pursuant to which we issued to institutional investors an aggregate of 2,570,040 registered shares of our common stock and five-year warrants exercisable at $5.30 per share to purchase an aggregate of 2,705,883 shares of our common stock and received net proceeds, after deducting underwriters’ commissions and other expenses, of approximately $9.5 million (</w:t>
      </w:r>
      <w:r>
        <w:rPr>
          <w:rFonts w:ascii="Arial" w:cs="Arial" w:eastAsia="Arial" w:hAnsi="Arial"/>
          <w:sz w:val="18"/>
          <w:szCs w:val="18"/>
          <w:i w:val="1"/>
          <w:iCs w:val="1"/>
          <w:color w:val="auto"/>
        </w:rPr>
        <w:t>May 2016 Public Offering</w:t>
      </w:r>
      <w:r>
        <w:rPr>
          <w:rFonts w:ascii="Arial" w:cs="Arial" w:eastAsia="Arial" w:hAnsi="Arial"/>
          <w:sz w:val="18"/>
          <w:szCs w:val="18"/>
          <w:color w:val="auto"/>
        </w:rPr>
        <w:t>). In connection with the May 2016 Public Offering, our common stock was approved for listing on The NASDAQ Capital Market, where it has traded under the symbol “VTGN” since May 11, 2016. Please see the section titled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 for a discussion of our capital needs following the May 2016 Public Offering.</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bolstering our Clinical and Regulatory Advisory Board with the appointment of Dr. Maurizio Fava as Chairman and the addition of members Dr. Sanjay Matthew and Dr. Thomas Laughren, all pre-eminent opinion leaders in the field of depression, and the addition of veteran healthcare executive Jerry Gin, Ph.D., MBA to our Board of Directors, we enhanced our management team with the addition of Mark A. Smith, MD, Ph.D., as our Chief Medical Officer in June 2016. Dr. Smith has over 20 years of pharmaceutical industry and CNS drug development experience. He has been a successful project leader in both drug discovery and development on projects resulting in approximately 20 investigational new drugs (INDs). Dr. Smith has directed clinical trials examining depression, bipolar disorder, anxiety, schizophrenia, Alzheimer’s disease, ADHD and agitation in Phase 1 through Phase 2b. In addition, Dr. Smith has vast knowledge and expertise in translational neuroscience, clinical trial design and regulatory interactions. Further, in September 2016, we appointed Mark A. McPartland as our Vice President of Corporate Development. Mr. McPartland has over 20 years of experience in corporate development, capital markets, corporate communications and management consulting for companies at varying stage of their corporate evolution, including early- and mid-stage biopharmaceutical companies. Mr. McPartland is primarily concentrating his efforts in expanding awareness of VistaGen across a range of investors, researchers, patients, clinicians and potential partners.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December 2016, we entered into an Exclusive License and Sublicense Agreement (the </w:t>
      </w:r>
      <w:r>
        <w:rPr>
          <w:rFonts w:ascii="Arial" w:cs="Arial" w:eastAsia="Arial" w:hAnsi="Arial"/>
          <w:sz w:val="16"/>
          <w:szCs w:val="16"/>
          <w:i w:val="1"/>
          <w:iCs w:val="1"/>
          <w:color w:val="auto"/>
        </w:rPr>
        <w:t>BlueRock Therapeutics Agreement</w:t>
      </w:r>
      <w:r>
        <w:rPr>
          <w:rFonts w:ascii="Arial" w:cs="Arial" w:eastAsia="Arial" w:hAnsi="Arial"/>
          <w:sz w:val="16"/>
          <w:szCs w:val="16"/>
          <w:color w:val="auto"/>
        </w:rPr>
        <w:t>) with BlueRock Therapeutics, LP, a next generation regenerative medicine company recently established by Bayer AG and Versant Ventures (</w:t>
      </w:r>
      <w:r>
        <w:rPr>
          <w:rFonts w:ascii="Arial" w:cs="Arial" w:eastAsia="Arial" w:hAnsi="Arial"/>
          <w:sz w:val="16"/>
          <w:szCs w:val="16"/>
          <w:i w:val="1"/>
          <w:iCs w:val="1"/>
          <w:color w:val="auto"/>
        </w:rPr>
        <w:t>BlueRock</w:t>
      </w:r>
      <w:r>
        <w:rPr>
          <w:rFonts w:ascii="Arial" w:cs="Arial" w:eastAsia="Arial" w:hAnsi="Arial"/>
          <w:sz w:val="16"/>
          <w:szCs w:val="16"/>
          <w:color w:val="auto"/>
        </w:rPr>
        <w:t>), pursuant to which BlueRock received exclusive rights to utilize certain technologies exclusively licensed by us from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for the production of cardiac stem cells for the treatment of heart disease. We retained rights to technology licensed from UHN related to small molecule, protein and antibody drug discovery, drug rescue and drug development, including small molecules with cardiac regenerative potential, as well as small molecule, protein and antibody testing involving cardiac cells. In January 2017, we received an upfront cash payment of $1.25 million under the BlueRock Therapeutics Agreement and we have the potential to receive additional payments and royalties in the future, in the event certain performance-based milestones and commercial sales are achieved.</w:t>
      </w:r>
    </w:p>
    <w:p>
      <w:pPr>
        <w:spacing w:after="0" w:line="13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 a matter of course, we attempt to minimize to the greatest extent possible cash commitments and expenditures for both internal and external research and development and general and administrative services. To further advance the nonclinical and clinical development of AV-101 and our stem cell technology platform, as well as support our operating activities, we will continue to carefully manage our routine operating costs, including our internal employee related expenses, as well as external costs relating to regulatory consulting, contract research and development, investor relations and corporate development, legal, acquisition and protection of intellectual property, accounting, public company compliance and other professional services and working capital costs.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our operations for the three months ended December 31, 2016 and 2015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0"/>
              </w:rPr>
              <w:t>Three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warrant liabilities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(2,638)</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dividend on Series B Preferred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Deemed dividend on Series B Preferred Stock</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$1.25 million in sublicense revenue pursuant to the BlueRock Therapeutics Agreement in the quarter ended December 31, 2016. While we have the potential to receive additional milestone payments and royalties under the BlueRock Therapeutics Agreement in the future, in the event certain performance-based milestones and commercial sales are achieved, the agreement might not provide additional revenue to us in the near term. We reported no other revenue for the quarter ended December 31, 2016 or 2015 and we presently have no revenue generating arrangements with respect to AV-101 or other potential product candidates. However, as indicated previously, our CRADA with the NIH provides for full NIH funding of the Phase 2a clinical study of AV-101 as a monotherapy for treatment resistant MDD.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Research and development expense totaled $1,611,000 for the quarter ended December 31, 2016, approximately double the $806,300 reported for the quarter ended December 31, 2015. Current period costs reflect the increasing impact of our continued nonclinical and clinical development of AV-101, particularly preparations for launch of the Phase 2b Study of AV-101, which is currently anticipated in the second quarter of 2017. The following table indicates the primary components of research and development expense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40"/>
              <w:spacing w:after="0"/>
              <w:rPr>
                <w:sz w:val="20"/>
                <w:szCs w:val="20"/>
                <w:color w:val="auto"/>
              </w:rPr>
            </w:pPr>
            <w:r>
              <w:rPr>
                <w:rFonts w:ascii="Arial" w:cs="Arial" w:eastAsia="Arial" w:hAnsi="Arial"/>
                <w:sz w:val="18"/>
                <w:szCs w:val="18"/>
                <w:b w:val="1"/>
                <w:bCs w:val="1"/>
                <w:color w:val="auto"/>
                <w:w w:val="94"/>
              </w:rPr>
              <w:t>Three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 including UHN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 in salaries and benefits reflects the impact of the hiring of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in June 2016, and salary increases granted to our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the four non-officer members of our scientific staff earlier this fiscal year.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674"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Stock based compensation expense increased in the current period primarily as a result of the routine amortization of a new-hire option grant to our CMO and additional option grants made to our CSO, CMO and scientific staff in November 2016. Our stock options are generally amortized over a two-year to four-year vesting period. A substantial number of the option grants made in or prior to our fiscal year ended March 31, 2014 were fully-vested and fully-expensed prior to the quarter ended December 31, 2016.</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current period primarily reflects the rationalization of our stem cell-related scientific advisory board and related accruals, including as a result of the BlueRock Therapeutics Agreement.</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Technology license expense reflects both recurring annual fees as well as legal counsel and other costs related to patent prosecution and protection pursuant to our stem cell technology license agreements or have elected to pursue for commercial purposes. We recognize these costs as they are invoiced to us by the licensors and they do not occur ratably throughout the year or between years. In both periods, but to a greater extent in the quarter ended December 31, 2015, this expense includes legal counsel and other costs we have incurred to advance in the U.S. and numerous foreign countries numerous pending patent applications with respect to AV-101 and our stem cell technology platform. Technology license-related legal expense for the quarter ended December 31, 2016, also includes $55,000 representing the fair value of a warrant granted to intellectual property counsel as partial compensation for services. Current year expense further includes a net of $158,000 related to the sublicense consideration paid to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pursuant to the BlueRock Therapeutics Agreement plus additional fees and expenses related to two new stem cell technology related licenses acquired from UHN, net of amounts previously accrued in connection with our prior Sponsored Research Collaboration Agreement (</w:t>
      </w:r>
      <w:r>
        <w:rPr>
          <w:rFonts w:ascii="Arial" w:cs="Arial" w:eastAsia="Arial" w:hAnsi="Arial"/>
          <w:sz w:val="16"/>
          <w:szCs w:val="16"/>
          <w:i w:val="1"/>
          <w:iCs w:val="1"/>
          <w:color w:val="auto"/>
        </w:rPr>
        <w:t>SRCA</w:t>
      </w:r>
      <w:r>
        <w:rPr>
          <w:rFonts w:ascii="Arial" w:cs="Arial" w:eastAsia="Arial" w:hAnsi="Arial"/>
          <w:sz w:val="16"/>
          <w:szCs w:val="16"/>
          <w:color w:val="auto"/>
        </w:rPr>
        <w:t>) with UHN.</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AV-101 project expense for the quarter ended December 31, 2016 includes continuing costs incurred to develop more efficient and cost-effective production methods for AV-101 and for certain pre-production and nonclinical trial analyses and procedures to facilitate Phase 2 clinical development of AV-101, including the Phase 2b Study. AV-101 expense in both periods reflects the costs associated with monitoring for and responding to potential feedback related to the AV-101 Phase 1 clinical trials and addressing other matters required under the terms of our prior NIH grant awards, primarily through our Cato Research Ltd., our CRO for our Phase 1 safety studies. The increase in stem cell and other project related expenses for the quarter ended December 31, 2016 primarily reflects in-house costs associated with our participation in the FDA’s </w:t>
      </w:r>
      <w:r>
        <w:rPr>
          <w:rFonts w:ascii="Arial" w:cs="Arial" w:eastAsia="Arial" w:hAnsi="Arial"/>
          <w:sz w:val="16"/>
          <w:szCs w:val="16"/>
          <w:i w:val="1"/>
          <w:iCs w:val="1"/>
          <w:color w:val="auto"/>
        </w:rPr>
        <w:t>CiPA</w:t>
      </w:r>
      <w:r>
        <w:rPr>
          <w:rFonts w:ascii="Arial" w:cs="Arial" w:eastAsia="Arial" w:hAnsi="Arial"/>
          <w:sz w:val="16"/>
          <w:szCs w:val="16"/>
          <w:color w:val="auto"/>
        </w:rPr>
        <w:t xml:space="preserve"> project.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in the quarter ended December 31, 2016 reflects the impact of the scheduled rent increase effective August 2016 as well as the impact of accounting for the November 2016 lease amendment extending the lease of our headquarters facilities by five years from July 31, 2017 to July 31, 2022.</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Warrant modification expense in the quarter ended December 31, 2015 reflects the increase in fair value resulting from the November 2015 modification of outstanding warrants to purchase an aggregate of 315,000 shares of our common stock held by our CSO and a key scientific advisor to reduce the exercise prices thereof from a range of $9.25 to $12.80 per share to $7.00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increased to $2,276,600 from $1,335,500, for the quarters ended December 31, 2016 and 2015, respectively. This increase was primarily attributable to increased noncash stock compensation expense related to option and warrant grants and grants of equity securities as compensation for certain professional services. The following table indicates the primary components of general and administrative expenses, including noncash stock compensation expense, for each of the periods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Three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2,277</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increase in salaries and benefits reflects the impact of the hiring of our Vice President of Corporate Development </w:t>
      </w:r>
      <w:r>
        <w:rPr>
          <w:rFonts w:ascii="Arial" w:cs="Arial" w:eastAsia="Arial" w:hAnsi="Arial"/>
          <w:sz w:val="18"/>
          <w:szCs w:val="18"/>
          <w:i w:val="1"/>
          <w:iCs w:val="1"/>
          <w:color w:val="auto"/>
        </w:rPr>
        <w:t>(VP-Corporate Development</w:t>
      </w:r>
      <w:r>
        <w:rPr>
          <w:rFonts w:ascii="Arial" w:cs="Arial" w:eastAsia="Arial" w:hAnsi="Arial"/>
          <w:sz w:val="18"/>
          <w:szCs w:val="18"/>
          <w:color w:val="auto"/>
        </w:rPr>
        <w:t>) in September 2016 and salary increases granted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a non-officer member of our administrative staff and the change in that employee’s status from part-time to full-time earlier this fiscal year.</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Stock based compensation expense increased in the current period primarily as a result of the routine amortization of a new-hire option grant to our VP-Corporate Development and additional option grants made to independent members of our Board of Directors, our CEO, CFO, VP of Corporate Development and other employees in November 2016. Our stock options are generally amortized over a two-year to four-year vesting period. A substantial number of the option grants made in or prior to our fiscal year ended March 31, 2014 were fully-vested and fully-expensed prior to the quarter ended December 31, 2016.</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of Directors. We added an additional independent director to our Board in March 2016.</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Legal, accounting and other professional fees for the quarter ended December 31, 2016 includes noncash expense related to grants of an aggregate of 220,000 unregistered shares of our common stock valued on the respective grant dates at an aggregate of $862,800 plus aggregate cash payments of $80,000 to investment professionals for financial advisory and corporate development services. Such expense for the quarter ended December 31, 2015, primarily included (i) $337,500 of noncash expense recognized during the quarter pursuant to the June 30, 2015 grant of an aggregate of 90,000 shares of our Series B Preferred having an aggregate fair value of $1,350,000 as compensation for financial advisory and corporate development service contracts with two service providers for services to be performed through June 30, 2016; and (ii) $138,000 of noncash expense attributable to the fair value of 15,750 shares of our unregistered common stock and a five-year warrant to purchase 7,500 unregistered shares of our common stock granted in connection with investment banking services. In both years, professional services fees also include expense related to routine legal fees and fees for preparation of our income tax returns for the prior fiscal year and the quarterly review of our current year financial statements.</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Investor relations expense includes the fees of our external service providers for a significantly expanded and broad spectrum of investor relations and market awareness and support functions and, in the quarter ended December 31, 2016, initiatives that included numerous meetings in multiple U.S. markets and other communication activities focused on expanding market awareness of the Company, including among registered investment professionals and investment advisors, and individual and institutional investors. In the quarter ended December 31, 2016, in addition to cash fees and expenses we incurred, we granted an aggregate of 35,000 unregistered shares of our common stock to two investor relations and investor awareness service providers as partial compensation for their services and recognized noncash expense of $137,800, representing the fair value of the stock at the time of issuance.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in multiple U.S. markets with existing and potential individual and institutional investors, investment professionals and advisors, media, and securities analysts, as well as various investor relations, market awareness and corporate development initiatives, in the current year by both our CEO and our VP-Corporate Development.</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in the quarter ended December 31, 2016 reflects the impact of the scheduled rent increase effective August 2016 as well as the impact of accounting for the November 2016 lease amendment extending the lease of our headquarters facilities by five years from July 31, 2017 to July 31, 2022.</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October and December 2016, we entered into warrant exchange agreements with certain warrant holders pursuant to which the warrant holders exchanged outstanding warrants to purchase an aggregate of 163,044 shares of our common stock for an aggregate of 110,008 shares of our unregistered common stock. As with similar transactions in fiscal year 2016 and in prior quarters of the current fiscal year, we accounted for these transactions as warrant modifications, resulting in our recognition of $293,300 in noncash expense in the quarter ended December 31, 2016. Further, in December 2016, we modified an outstanding warrant to reduce the exercise price from $8.00 per share to $3.51 per share and increase the number of shares exercisable under the warrant from 25,000 shares to 50,000 shares, recognizing $76,900 in expense in the quarter then ended as the incremental fair value attributable to the modification. During the quarter ended December 31, 2015, we modified outstanding warrants to purchase an aggregate of 808,553 shares of our common stock previously granted to our CEO, CFO, and independent members of our Board of Directors to reduce the exercise prices thereof from a range of $9.25 to $12.80 per share to $7.00 per share and recognized $357,500 of noncash expense in the quarter then ended as the incremental fair value attributable to the modifications.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totaled $900 for the quarter ended December 31, 2016 compared to $2,500 reported for the quarter ended December 31, 2015. The following table summarizes the primary components of interest expense for each of the periods (amounts in thousands):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7"/>
        </w:trPr>
        <w:tc>
          <w:tcPr>
            <w:tcW w:w="20" w:type="dxa"/>
            <w:vAlign w:val="bottom"/>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7580" w:type="dxa"/>
            <w:vAlign w:val="bottom"/>
          </w:tcPr>
          <w:p>
            <w:pPr>
              <w:spacing w:after="0"/>
              <w:rPr>
                <w:sz w:val="24"/>
                <w:szCs w:val="24"/>
                <w:color w:val="auto"/>
              </w:rPr>
            </w:pPr>
          </w:p>
        </w:tc>
        <w:tc>
          <w:tcPr>
            <w:tcW w:w="26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8"/>
              </w:rPr>
              <w:t>Three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75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expense on promissory notes in the quarter ended December 31, 2015 represents the quarterly interest accrued on our outstanding note to University of California at Davis prior to our repayment of such note and accrued interest in January 2016 and our outstanding note to Progressive Medical Research prior to our repayment of such note and accrued interest in June 2016. Other interest expense in both periods relates to interest paid on insurance premium financing and one capital lease of office equipment.</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recognized $237,700 and $631,300 for the quarters ended December 31, 2016 and 2015, respectively, representing the 10% cumulative dividend payable on our Series B Preferred as an additional deduction in arriving at net loss attributable to common stockholders in the accompanying Condensed Consolidated Statement of Operations and Comprehensive Loss included in Part I of this Report. The reduction in the quarterly dividend accrual results from the automatic conversion of an aggregate of 2,403,051 shares of Series B Preferred upon our completion of the May 2016 Public Offering and a subsequent voluntary conversion of 87,500 shares of our Series B Preferred in August 2016, as disclosed in Note 9, </w:t>
      </w:r>
      <w:r>
        <w:rPr>
          <w:rFonts w:ascii="Arial" w:cs="Arial" w:eastAsia="Arial" w:hAnsi="Arial"/>
          <w:sz w:val="18"/>
          <w:szCs w:val="18"/>
          <w:i w:val="1"/>
          <w:iCs w:val="1"/>
          <w:color w:val="auto"/>
        </w:rPr>
        <w:t>Capital Stock</w:t>
      </w:r>
      <w:r>
        <w:rPr>
          <w:rFonts w:ascii="Arial" w:cs="Arial" w:eastAsia="Arial" w:hAnsi="Arial"/>
          <w:sz w:val="18"/>
          <w:szCs w:val="18"/>
          <w:color w:val="auto"/>
        </w:rPr>
        <w:t>, to the accompanying Condensed Consolidated Financial Statements in Part I of this Report.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December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results of our operations for the nine months ended December 31, 2016 and 2015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(7,701)</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Change in warrant liabilities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(7,705)</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(38,717)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(7,707)</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Deemed dividend on Series B Preferred Stock</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(8,836)</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(41,990)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recognized $1.25 million in sublicense revenue pursuant to the BlueRock Therapeutics Agreement in the quarter ended December 31, 2016. While we may potentially receive additional payments and royalties under the BlueRock Therapeutics Agreement in the future, in the event certain performance-based milestones and commercial sales are achieved, the agreement might not provide recurring revenue to us in the near term. We reported no other revenue for the nine months ended December 31, 2016 or 2015 and we presently have no revenue generating arrangements with respect to AV-101 or other potential product candidates. However, as indicated previously, our CRADA with the NIH provides for the NIH to fully fund and conduct the Phase 2a Study.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expense totaled $4,042,800 for the nine months ended December 31, 2016, an increase of approximately 43% compared with the $2,835,000 incurred for the nine months ended December 31 2015, demonstrating our increased focus on the continuing nonclinical and clinical development of AV-101 and our preparations to launch the Phase 2b Study of AV-101 as an adjunctive treatment for MDD patients with an inadequate response to standard antidepressants, which we currently anticipate to begin in the second quarter of 2017. The following table indicates the primary components of research and development expense for each of the periods (amounts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Technology licenses and royalties, including UHN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Project-related research and supplies: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AV-101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Stem cell and all other</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increase in salaries and benefits reflects the impact of the hiring of our Chief Medical Officer (</w:t>
      </w:r>
      <w:r>
        <w:rPr>
          <w:rFonts w:ascii="Arial" w:cs="Arial" w:eastAsia="Arial" w:hAnsi="Arial"/>
          <w:sz w:val="16"/>
          <w:szCs w:val="16"/>
          <w:i w:val="1"/>
          <w:iCs w:val="1"/>
          <w:color w:val="auto"/>
        </w:rPr>
        <w:t>CMO</w:t>
      </w:r>
      <w:r>
        <w:rPr>
          <w:rFonts w:ascii="Arial" w:cs="Arial" w:eastAsia="Arial" w:hAnsi="Arial"/>
          <w:sz w:val="16"/>
          <w:szCs w:val="16"/>
          <w:color w:val="auto"/>
        </w:rPr>
        <w:t>) in June 2016, as well as salary increases and bonus payments granted to our President and Chief Scientific Officer (</w:t>
      </w:r>
      <w:r>
        <w:rPr>
          <w:rFonts w:ascii="Arial" w:cs="Arial" w:eastAsia="Arial" w:hAnsi="Arial"/>
          <w:sz w:val="16"/>
          <w:szCs w:val="16"/>
          <w:i w:val="1"/>
          <w:iCs w:val="1"/>
          <w:color w:val="auto"/>
        </w:rPr>
        <w:t>CSO</w:t>
      </w:r>
      <w:r>
        <w:rPr>
          <w:rFonts w:ascii="Arial" w:cs="Arial" w:eastAsia="Arial" w:hAnsi="Arial"/>
          <w:sz w:val="16"/>
          <w:szCs w:val="16"/>
          <w:color w:val="auto"/>
        </w:rPr>
        <w:t>) and to the four non-officer members of our scientific staff.</w:t>
      </w:r>
    </w:p>
    <w:p>
      <w:pPr>
        <w:spacing w:after="0" w:line="139"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 xml:space="preserve">The decrease in stock based compensation expense is primarily attributable to the $852,200 fair value, determined using the Black-Scholes Option Pricing Model and the assumptions indicated in Note 2,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accompanying Condensed Consolidated Financial Statements in Part I of this Report, of the September 2015 grant of immediately vested and expensed warrants to purchase 150,000 shares of our common stock granted to our CSO. Stock compensation expense in 2016 reflects the ratable amortization of option grants made to our CSO and CMO, scientific staff and consultants, in November 2016, June 2016 (CSO and CMO only) and September 2015. Our stock options are generally amortized over a two-year to four-year vesting period. A substantial number of the option grants made in or prior to our fiscal year ended March 31, 2014 were fully-vested and fully-expensed prior to December 31, 2016.</w:t>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Consulting services reflects fees paid or accrued for scientific, nonclinical and clinical development and regulatory advisory services rendered to us by third-parties, primarily by members of our scientific and CNS clinical and regulatory advisory boards. The reduction in expense in the nine months ended December 31, 2016 primarily reflects the rationalization of our stem cell-related scientific advisory board and related accruals, including as a result of the BlueRock Therapeutics Agreement.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Technology license expense reflects both recurring annual fees as well as legal counsel and other costs related to patent prosecution and protection pursuant to certain of our stem cell technology license agreements or have elected to pursue for commercial purposes. We recognize these costs as they are invoiced to us by the licensors and they do not occur ratably throughout the year or between years. Additionally, in both periods, this expense includes legal counsel and other costs we have incurred to advance in the U.S. and numerous foreign countries several pending patent applications with respect to AV-101 and our stem cell technology platform. Technology license-related legal expense for the nine months ended December 31, 2016, also includes $55,000 representing the fair value of a warrant granted to intellectual property counsel as partial compensation for services. Current year expense further includes a net of $158,000 related to the sublicense consideration paid to University Health Network (</w:t>
      </w:r>
      <w:r>
        <w:rPr>
          <w:rFonts w:ascii="Arial" w:cs="Arial" w:eastAsia="Arial" w:hAnsi="Arial"/>
          <w:sz w:val="16"/>
          <w:szCs w:val="16"/>
          <w:i w:val="1"/>
          <w:iCs w:val="1"/>
          <w:color w:val="auto"/>
        </w:rPr>
        <w:t>UHN</w:t>
      </w:r>
      <w:r>
        <w:rPr>
          <w:rFonts w:ascii="Arial" w:cs="Arial" w:eastAsia="Arial" w:hAnsi="Arial"/>
          <w:sz w:val="16"/>
          <w:szCs w:val="16"/>
          <w:color w:val="auto"/>
        </w:rPr>
        <w:t>) related to the BlueRock Therapeutics Agreement plus additional fees and expenses related to two new stem cell technology related licenses acquired from UHN, net of amounts previously accrued in connection with our prior SRCA with UHN. Expense for the nine months ended December 31, 2015, included approximately $153,000 of fees and expenses related to additional stem cell technology related licenses acquired in connection with our SRCA with UHN as well as $120,000 of noncash expense resulting from the July 2015 grant of an aggregate of 10,000 shares of our Series B Preferred to two intellectual property legal service providers.</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AV-101 expenses for the nine months ended December 31, 2016 include continuing costs incurred to develop more efficient and cost-effective production methods for AV-101 and for certain pre-production and preclinical trial analyses and procedures to facilitate Phase 2 clinical development of AV-101, including the Phase 2b Study. We expect these expenses to increase materially over the next several quarters as we initiate and conduct the Phase 2b Study. Additionally, AV-101 expense in both periods reflects the costs associated with monitoring for and responding to potential feedback related to our AV-101 Phase 1 clinical safety program and addressing other matters required under the terms of our prior NIH grant awards, primarily through our CRO for our Phase 1 safety studies, Cato Research Ltd. The increase in stem cell and other project related expenses in 2016 primarily reflects in-house costs associated with our participation in the FDA’s CiPA project.</w:t>
      </w:r>
    </w:p>
    <w:p>
      <w:pPr>
        <w:sectPr>
          <w:pgSz w:w="11900" w:h="16838" w:orient="portrait"/>
          <w:cols w:equalWidth="0" w:num="1">
            <w:col w:w="11420"/>
          </w:cols>
          <w:pgMar w:left="240" w:top="131"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rent expense in the quarter ended December 31, 2016 reflects the impact of the scheduled rent increase effective August 2016 as well as the impact of accounting for the November 2016 lease amendment extending the lease of our headquarters facilities by five years from July 31, 2017 to July 31, 2022.</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Warrant modification expense in the quarter ended December 31, 2015 reflects the increase in fair value resulting from the November 2015 modification of outstanding warrants to purchase an aggregate of 315,000 shares of our common stock held by our CSO and a key scientific advisor to reduce the exercise prices thereof from a range of $9.25 to $12.80 per share to $7.00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General and administrative expense decreased to $4,907,800 from $6,514,500, for the nine month periods ended December 31, 2016 and 2015, respectively, primarily as a result of the decrease in noncash stock compensation expense attributable to option and warrant grants to employees, officers and independent Board members in 2015, partially offset by an increase in noncash expense related to grants of equity securities in payment of certain professional services during 2016. The following table indicates the primary components of general and administrative expenses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Board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1,766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Investor relations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Insurance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Travel and entertainment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Rent and utilities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 expense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All other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salaries and benefits reflects the impact of salary increases and bonus payments granted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and a member of our administrative staff and the change in that employee’s status from part-time to full-time, as well as the hiring of our VP-Corporate Development in September 2016.</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decrease in stock based compensation expense is primarily attributable to the $2,841,000 fair value, determined using the Black-Scholes Option Pricing Model and the assumptions indicated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to the accompanying Condensed Consolidated Financial Statements in Part I of this Report, of the September 2015 grant of immediately vested and expensed warrants to purchase 500,000 shares of our common stock granted to our CEO, CFO, independent members of our Board of Directors and certain consultants. Stock compensation expense in 2016 reflects the ratable amortization of option grants made to our CEO, CFO, independent members of our Board of Directors and administrative staff and consultants, in November 2016, June 2016 (CEO, CFO and independent Board members only) and September 2015, as well as to our VP-Corporate Development upon his commencement of employment in September 2016. Our stock options are generally amortized over a two-year to four-year vesting period. A substantial number of the option grants made in or prior to our fiscal year ended March 31, 2014 were fully-vested and fully-expensed prior to December 31, 2016.</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Board fees includes fees recognized for the services of independent members of our Board of Directors. We added an additional independent director to our Board in March 2016.</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Legal, accounting and other professional fees in the nine month periods ended December 31, 2016 and 2015, includes $337,500 and $675,000, respectively, of noncash expense recognized pursuant to the June 30, 2015 grant of an aggregate of 90,000 shares of our Series B Preferred having an aggregate fair value at the time of issuance of $1,350,000 as compensation for financial advisory and corporate development service contracts with two independent service providers for services performed between July 1, 2015 and June 30, 2016. During the nine-month period ended December 31, 2016, we granted an aggregate of 25,000 unregistered shares of our common stock having a fair value at the date of issuance of $108,500 to a legal services provider as partial compensation for services and an aggregate of 220,000 unregistered shares of our common stock having a fair value at the date of issuance of $862,800 as partial compensation for financial advisory, investment banking and business development services. During the nine-month period ended December 31, 2015, we granted (i) an aggregate of 50,000 shares of our common stock having an aggregate fair value of $500,000 pursuant to two corporate development contracts initiated during the quarter ended June 30, 2015; (ii) 25,000 shares of our Series B Preferred having a fair value of $250,000 to legal counsel as compensation for services in connection with our debt restructuring and other corporate finance matters, and (iii) 15,750 shares of our unregistered common stock and a five-year warrant to purchase 7,500 unregistered shares of our common stock having an aggregate fair value of $138,000 in connection with investment banking services. In both years, professional services fees also include routine legal fees and expenses and the expense related to the annual audit of the prior year financial statements, preparation of the prior year income tax returns, and quarterly reviews of current year financials statements.</w:t>
      </w:r>
    </w:p>
    <w:p>
      <w:pPr>
        <w:sectPr>
          <w:pgSz w:w="11900" w:h="16838" w:orient="portrait"/>
          <w:cols w:equalWidth="0" w:num="1">
            <w:col w:w="11420"/>
          </w:cols>
          <w:pgMar w:left="240" w:top="13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Investor relations expense includes the fees of our external service providers for a significantly expanded broad spectrum of investor relations and market awareness and support functions and, particularly during the second half of 2016, initiatives that included numerous meetings in multiple U.S. markets and other communication activities focused on expanding market awareness of the Company, including among investment professionals and investment advisors, and individual and institutional investors. In the nine months ended December 31, 2016, in addition to cash fees and expenses we incurred, we granted an aggregate of 60,000 unregistered shares of our common stock to three investor relations and investor awareness service providers as partial compensation for their services and recognized noncash expense of $246,300, representing the fair value of the stock at the time of issuance. During the same period, we also granted three-year, immediately exercisable warrants to purchase an aggregate of 75,000 shares of our unregistered common stock at exercise prices ranging from $4.50 per share to $6.00 per share to three investor relations service providers and recognized non-cash expense of $172,300 representing the fair value of the warrants at the time of issuance.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both periods, travel expense reflects costs associated with presentations to and meetings in numerous U.S. markets with existing and potential investors and investment professionals and advisors, media and securities analysts, as well as various investor relations, market awareness and corporate development initiatives, in 2016 by both our CEO and our VP-Corporate Development.</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Between April 2016 and December 2016, we entered into warrant exchange agreements with certain warrant holders pursuant to which the warrant holders exchanged outstanding warrants to purchase an aggregate of 224,513 shares of our common stock for an aggregate of 156,246 shares of our unregistered common stock. As with similar transactions during our fiscal year ended March 31, 2016, we accounted for these transactions as warrant modifications, resulting in our recognition of an aggregate of $350,700 in noncash expense attributable to the increase in fair value related to the warrant exchanges during the nine-month period ended December 31, 2016. Further, in December 2016, we modified an outstanding warrant to reduce the exercise price from $8.00 per share to $3.51 per share and increase the number of shares exercisable under the warrant from 25,000 shares to 50,000 shares, recognizing $76,900 in expense in the quarter then ended as the incremental fair value attributable to the modification. Noncash warrant modification expense in 2015 includes (i) a $122,000 increase in the fair value attributable to the June 2015 strategic modification of outstanding warrants to purchase an aggregate of 54,576 shares of our common stock to reduce the exercise prices thereof, generally from $30.00 per share to $10.00 per share; and (ii) a $358,000 increase in the fair value attributable to the November 2015 modification of outstanding warrants to purchase an aggregate of 808,553 shares of our common stock previously granted to our CEO, CFO, and independent members of our Board of Directors to reduce the exercise prices thereof from a range of $9.25 to $12.80 per share to $7.00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Expenses, Net</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Interest expense, net, totaled $3,700 for the nine months ended December 31, 2016, a significant decrease compared to the $769,800 reported for the nine months ended December 31, 2015, resulting from the extinguishment of substantially all of our promissory notes, as well as other indebtedness, between May 2015 and August 2015 by conversion into our Series B Preferred or cash repayment and the related elimination of note interest and discount amortization. The following table summarizes the primary components of interest expense for each of the periods (amounts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8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promissory notes</w:t>
            </w:r>
          </w:p>
        </w:tc>
        <w:tc>
          <w:tcPr>
            <w:tcW w:w="880" w:type="dxa"/>
            <w:vAlign w:val="bottom"/>
            <w:shd w:val="clear" w:color="auto" w:fill="CCEEFF"/>
          </w:tcPr>
          <w:p>
            <w:pPr>
              <w:jc w:val="right"/>
              <w:ind w:right="69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Amortization of discount on promissory notes</w:t>
            </w:r>
          </w:p>
        </w:tc>
        <w:tc>
          <w:tcPr>
            <w:tcW w:w="8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interest expense, including on capital leases and premium financing</w:t>
            </w: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interest expense</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fluctuations on notes payable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jc w:val="right"/>
              <w:ind w:right="692"/>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on promissory notes in the nine months ended December 31, 2016 represents only the interest accrued on our promissory note to Progressive Medical Research prior to its repayment in June 2016. The substantial overall decrease in interest expense on promissory notes and the related amortization of discounts on such notes between the periods reflects the cessation of interest accrual and discount amortization upon the extinguishment and conversion of all outstanding Senior Secured Convertible Notes, certain 10% convertible notes (</w:t>
      </w:r>
      <w:r>
        <w:rPr>
          <w:rFonts w:ascii="Arial" w:cs="Arial" w:eastAsia="Arial" w:hAnsi="Arial"/>
          <w:sz w:val="18"/>
          <w:szCs w:val="18"/>
          <w:i w:val="1"/>
          <w:iCs w:val="1"/>
          <w:color w:val="auto"/>
        </w:rPr>
        <w:t>2014 Unit Notes</w:t>
      </w:r>
      <w:r>
        <w:rPr>
          <w:rFonts w:ascii="Arial" w:cs="Arial" w:eastAsia="Arial" w:hAnsi="Arial"/>
          <w:sz w:val="18"/>
          <w:szCs w:val="18"/>
          <w:color w:val="auto"/>
        </w:rPr>
        <w:t>) and other outstanding promissory notes into shares of our Series B Preferred between May 2015 and August 2015.</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our October 2012 Note Exchange and Purchase Agreement with Platinum Long Term Growth VII, LLC (</w:t>
      </w:r>
      <w:r>
        <w:rPr>
          <w:rFonts w:ascii="Arial" w:cs="Arial" w:eastAsia="Arial" w:hAnsi="Arial"/>
          <w:sz w:val="16"/>
          <w:szCs w:val="16"/>
          <w:i w:val="1"/>
          <w:iCs w:val="1"/>
          <w:color w:val="auto"/>
        </w:rPr>
        <w:t>PLTG</w:t>
      </w:r>
      <w:r>
        <w:rPr>
          <w:rFonts w:ascii="Arial" w:cs="Arial" w:eastAsia="Arial" w:hAnsi="Arial"/>
          <w:sz w:val="16"/>
          <w:szCs w:val="16"/>
          <w:color w:val="auto"/>
        </w:rPr>
        <w:t xml:space="preserve">), we issued certain Senior Secured Convertible Promissory Notes and a related Exchange Warrant and Investment Warrants between October 2012 and July 2013. Upon PLTG’s exchange of the shares of our Series A Preferred Stock held by PLTG into shares of our common stock, we were also required to issue a Series A Exchange Warrant to PLTG. We determined that the various warrants included certain exercise price and other adjustment features requiring us to treat the warrants as liabilities. Accordingly, we recorded a noncash warrant liability at its estimated fair value as of the date of warrant issuance or contract execution. As described in Note 4, </w:t>
      </w:r>
      <w:r>
        <w:rPr>
          <w:rFonts w:ascii="Arial" w:cs="Arial" w:eastAsia="Arial" w:hAnsi="Arial"/>
          <w:sz w:val="16"/>
          <w:szCs w:val="16"/>
          <w:i w:val="1"/>
          <w:iCs w:val="1"/>
          <w:color w:val="auto"/>
        </w:rPr>
        <w:t xml:space="preserve">Fair Value Measurements, </w:t>
      </w:r>
      <w:r>
        <w:rPr>
          <w:rFonts w:ascii="Arial" w:cs="Arial" w:eastAsia="Arial" w:hAnsi="Arial"/>
          <w:sz w:val="16"/>
          <w:szCs w:val="16"/>
          <w:color w:val="auto"/>
        </w:rPr>
        <w:t>to the Condensed Consolidated Financial Statements included in Part 1, Item 1 of this Report, on May 12, 2015, we entered into an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PLTG pursuant to which we amended the various warrants to fix the exercise price thereof and eliminate the anti-dilution reset features that had previously required the warrants to be treated as liabilities and carried at fair value. Accordingly, during the quarter ended June 30, 2015, we adjusted these warrants to their fair value, reflecting an increase of $1,894,700 since March 31, 2015, resulting primarily from the increase in the market price of our common stock in relation to the exercise price of the warrants, and then subsequently eliminated the entire warrant liability with respect to these warrants. In January 2016, the PLTG warrants were exchanged for shares of our Series C Preferred stock.</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Between May 2015 and August 2015 we extinguished the outstanding balances of approximately $17,200,000 of promissory notes, including our Senior Secured Convertible Notes, our 2014 Unit Notes and other debt and certain adjustments thereto that were either already due and payable or would have otherwise matured prior to March 31, 2016 by converting such balances into shares of our Series B Preferred at a conversion price (stated value) of $7.00 per share. We treated the conversion of the indebtedness into Series B Preferred as extinguishments of debt for accounting purposes. Since the fair value of the Series B Preferred we negotiated in settlement of the promissory notes and other indebtedness exceeded the carrying value of the debts, we incurred non-recurring noncash losses on each of the extinguishments. Additionally, under the terms of our May 2015 agreement with PLTG in which PLTG agreed to, among other things, convert the Senior Secured Notes and certain other of our convertible promissory notes into Series B Preferred, we issued to PLTG 400,000 shares of Series B Preferred having an aggregate fair value of $4.0 million and Series B Warrants to purchase 1.2 million shares of our common stock having an aggregate of fair value of $8,270,900. We recognized this aggregate fair value as an additional non-recurring noncash component of loss on extinguishment of debt. Many of the 2014 Unit Notes that were converted into Series B Preferred contained a beneficial conversion feature at the time they were originally issued. We accounted for the repurchase of the beneficial conversion feature at the time the 2014 Unit Notes were extinguished and converted, an aggregate of $2,237,100, as a reduction to the loss on extinguishment of debt. We recorded an aggregate net non-recurring noncash loss of $26.7 million attributable to the extinguishment of the indebtedness converted into shares of Series B Preferred.</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We allocated the proceeds from self-placed private placement sales of Series B Preferred Units to the Series B Preferred and the Series B Warrants based on their relative fair values on the dates of the sales. The difference between the relative fair value per share of the Series B Preferred, approximately $4.20 per share and $4.06 per share for the nine month periods ended December 31, 2016 and 2015, respectively, and its Conversion Price (or stated value) of $7.00 per share represents a deemed dividend to the purchasers of the Series B Preferred Units. Accordingly, we recognized a deemed dividend in the aggregate amount of $111,100 and $1,811,800 in arriving at net loss attributable to common stockholders for the nine months ended December 31, 2016 and 2015, respectively, in the accompanying Condensed Consolidated Statement of Operations and Comprehensive Loss included in Part I of this Report. Further, we recognized $1,018,500 and $1,459,300 for the nine months ended December 31, 2016 and 2015, respectively, representing the 10% cumulative dividend payable on our Series B Preferred as an additional deduction in arriving at net loss attributable to common stockholders in the accompanying Condensed Consolidated Statement of Operations and Comprehensive Loss, included elsewhere in this Report. The reduction in the dividend accrual results from the automatic conversion of an aggregate of 2,403,051 shares of Series B Preferred upon our completion of the May 2016 Public Offering and a subsequent voluntary conversion of 87,500 shares of our Series B Preferred in August 2016, as disclosed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in Part I of this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our inception in May 1998 through December 31, 2016, we have financed our operations and technology acquisitions primarily through the issuance and sale of our equity and debt securities, including convertible promissory notes and short-term promissory notes, for cash proceeds of approximately $44.5 million, as well as from an aggregate of approximately $17.6 million of government research grant awards, strategic collaboration payments, intellectual property sublicensing and other revenues, but not including the fair market value of the NIH-funded AV-101 Phase 2a clinical study in MDD. Additionally, we have issued equity securities with an approximate aggregate value at issuance of $30.4 million in non-cash settlements of certain liabilities, including liabilities for professional services rendered to us or as compensation for such services.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April and May 2016, prior to the consummation of our May 2016 Public Offering, we sold to accredited investors in self-placed private placement transactions Series B Preferred Units consisting of 39,714 unregistered shares of our Series B Preferred Stock, par value $0.001 per share (</w:t>
      </w:r>
      <w:r>
        <w:rPr>
          <w:rFonts w:ascii="Arial" w:cs="Arial" w:eastAsia="Arial" w:hAnsi="Arial"/>
          <w:sz w:val="16"/>
          <w:szCs w:val="16"/>
          <w:i w:val="1"/>
          <w:iCs w:val="1"/>
          <w:color w:val="auto"/>
        </w:rPr>
        <w:t>Series B Preferred</w:t>
      </w:r>
      <w:r>
        <w:rPr>
          <w:rFonts w:ascii="Arial" w:cs="Arial" w:eastAsia="Arial" w:hAnsi="Arial"/>
          <w:sz w:val="16"/>
          <w:szCs w:val="16"/>
          <w:color w:val="auto"/>
        </w:rPr>
        <w:t>), and five year warrants to purchase 39,714 shares of our common stock, and we received cash proceeds of $278,000. Further, on May 16, 2016, we consummated the May 2016 Public Offering, an underwritten public offering pursuant to which we issued an aggregate of 2,570,040 registered shares of our common stock at the public offering price of $4.24 per share and five-year warrants to purchase up to 2,705,883 registered shares of common stock, with an exercise price of $5.30 per share, at the public offering price of $0.01 per warrant, including shares and warrants issued pursuant to the exercise of the underwriters' over-allotment option. We received net cash proceeds of approximately $9.5 million from the May 2016 Public Offering after deducting fees and expenses. During the quarter ended December 31, 2016, we received aggregate cash proceeds of $247,900 from the sale of our common stock and warrants to two accredited investors in self-placed private placement transactions. As discussed earlier, we received a cash payment of $1.25 million pursuant to our grant of a sublicense under the BlueRock Therapeutics Agreement in early January 2017. We believe that we currently have sufficient financial resources to fund our expected operations at least through the first half of 2017, including preparation for and launch of the Phase 2b Study. Although our current financial resources are not yet sufficient to fully fund completion of the Phase 2b Study, we anticipate raising sufficient additional capital as and when necessary and advisable to satisfy our key corporate objectives, including conducting and completing the Phase 2b Study in an ordinary course manner. In furtherance of that objective, on January 23, 2017, we filed a Registration Statement on Form S-3 (Registration No. 333-215671) with the Commission covering the potential future sale of up to $100 million of our equity and/or debt securities or combinations thereof. There can be no assurance, however, that future financing will be available in sufficient amounts, in a timely manner, or on terms acceptable to us, if at all.</w:t>
      </w:r>
    </w:p>
    <w:p>
      <w:pPr>
        <w:sectPr>
          <w:pgSz w:w="11900" w:h="16838" w:orient="portrait"/>
          <w:cols w:equalWidth="0" w:num="1">
            <w:col w:w="11420"/>
          </w:cols>
          <w:pgMar w:left="240" w:top="131" w:right="239" w:bottom="1157"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157" w:gutter="0" w:footer="0" w:header="0"/>
          <w:type w:val="continuous"/>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seek research and development collaborations that could generate revenue, funding for development of AV-101 and additional product candidates, as well as additional government grant awards and agreements similar to our current CRADA with the NIMH, which provides for the NIMH to fully fund the NIMH’s ongoing Phase 2a study of AV-101 as a monotherapy for MDD. Such strategic collaborations may provide non-dilutive resources to advance our strategic initiatives while reducing a portion of our future cash outlays and working capital requirements. In a manner similar to the BlueRock Therapeutics Agreement, we may also pursue similar arrangements with third-parties covering other of our intellectual property. Although we may seek additional collaborations that could generate revenue and/or non-dilutive funding for development of AV-101 and other product candidates, as well as new government grant awards and/or agreements similar to our CRADA with NIMH, no assurance can be provided that any such collaborations, awards or agreements will occur in the future.</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future working capital requirements will depend on many factors, including, without limitation, the scope and nature of opportunities related to our success and the success of certain other companies in clinical trials, including our development and commercialization of AV-101 as an adjunctive treatment for MDD and other potential CNS conditions, and various applications of our stem cell technology platform, the availability of, and our ability to obtain, government grant awards and agreements, and our ability to enter into collaborations on terms acceptable to us. To further advance the clinical development of AV-101 and our stem cell technology platform, as well as support our operating activities, we plan to continue to carefully manage our routine operating costs, including our employee headcount and related expenses, as well as costs relating to regulatory consulting, contract research and development, investor relations and corporate development, legal, acquisition and protection of intellectual property, accounting, public company compliance and other professional services and working capital costs.</w:t>
      </w:r>
    </w:p>
    <w:p>
      <w:pPr>
        <w:spacing w:after="0" w:line="1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Notwithstanding the foregoing, substantial additional financing may not be available to us on a timely basis, on acceptable terms, or at all. If we are unable to obtain substantial additional financing on a timely basis when needed in 2017 and beyond,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6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0"/>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(5,968)</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2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Investing in our securities involves a high degree of risk. You should consider carefully the risks and uncertainties described below, together with all of the other information in this Quarterly Report on Form 10-Q and in our Annual Report on Form 10-K filed with the Securities and Exchange Commission for the fiscal year ended March 31, 2016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depend heavily on the success of AV-101. We cannot be certain that we will be able to obtain regulatory approval for, or successfully commercialize AV-101, or any product candidate.</w:t>
      </w:r>
    </w:p>
    <w:p>
      <w:pPr>
        <w:spacing w:after="0" w:line="18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currently have no drug products for sale and may never be able to develop and commercialize marketable drug products. Our business depends heavily on the successful development, regulatory approval and commercialization of AV-101 for depression, including for MDD, and various other diseases and disorders involving the CNS, as well as, but to a more limited extent, our ability to produce, develop and commercialize NCEs from our drug rescue programs. AV-101 will require substantial additional Phase 2 and Phase 3 clinical development, testing and regulatory approval before we are permitted to commence its commercialization and is unlikely to achieve regulatory approval until at least 2021, if at all. Each drug rescue NCE will require substantial nonclinical development, all phases of clinical development, and regulatory approval before we are permitted to commence its commercialization. The nonclinical studies and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nonclinical studies and clinical trials that the product candidate is safe and effective for use in each target indication. Drug development is a long, expensive and uncertain process, and delay or failure can occur at any stage of any of our non-clinical studies or clinical trials. This process can take many years and may also include post-marketing studies and surveillance, which will require the expenditure of substantial resources beyond the proceeds we have raised to date. Of the large number of drugs in development in the United States, only a small percentage will successfully complete the FDA regulatory approval process and will be commercialized. Accordingly, even if we are able to obtain the requisite financing to continue to fund our non-clinical studies and clinical trials, we cannot assure you that AV-101, any drug rescue NCE, or any other product candidate will be successfully developed or commercialized.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not permitted to market our product candidates in the United States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We expect the FDA to require us to complete the planned Phase 2b Study and at least two pivotal Phase 3 clinical trials in order to submit an NDA for AV-101 as an adjunctive treatment for MDD patients with an inadequate response to standard, FDA-approved antidepressants. Also, we anticipate that the FDA will require that we conduct additional toxicity studies, additional nonclinical and certain small clinical studies before submitting an NDA for AV-101. The results of all of these trials and studies are not known until after the studies are concluded.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Obtaining FDA approval of an NDA is a complex, lengthy, expensive and uncertain process, and the FDA may delay, limit or deny approval of AV-101 or any of our product candidates for many reasons, including, among others:</w:t>
      </w:r>
    </w:p>
    <w:p>
      <w:pPr>
        <w:spacing w:after="0" w:line="186" w:lineRule="exact"/>
        <w:rPr>
          <w:sz w:val="20"/>
          <w:szCs w:val="20"/>
          <w:color w:val="auto"/>
        </w:rPr>
      </w:pPr>
    </w:p>
    <w:p>
      <w:pPr>
        <w:jc w:val="both"/>
        <w:ind w:left="700" w:hanging="489"/>
        <w:spacing w:after="0" w:line="306" w:lineRule="auto"/>
        <w:tabs>
          <w:tab w:leader="none" w:pos="744"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160" w:lineRule="exact"/>
        <w:rPr>
          <w:rFonts w:ascii="Arial" w:cs="Arial" w:eastAsia="Arial" w:hAnsi="Arial"/>
          <w:sz w:val="16"/>
          <w:szCs w:val="16"/>
          <w:color w:val="auto"/>
        </w:rPr>
      </w:pPr>
    </w:p>
    <w:p>
      <w:pPr>
        <w:ind w:left="700" w:hanging="48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may require development of a Risk Evaluation and Mitigation Strategy (</w:t>
      </w:r>
      <w:r>
        <w:rPr>
          <w:rFonts w:ascii="Arial" w:cs="Arial" w:eastAsia="Arial" w:hAnsi="Arial"/>
          <w:sz w:val="18"/>
          <w:szCs w:val="18"/>
          <w:i w:val="1"/>
          <w:iCs w:val="1"/>
          <w:color w:val="auto"/>
        </w:rPr>
        <w:t>REMS</w:t>
      </w:r>
      <w:r>
        <w:rPr>
          <w:rFonts w:ascii="Arial" w:cs="Arial" w:eastAsia="Arial" w:hAnsi="Arial"/>
          <w:sz w:val="18"/>
          <w:szCs w:val="18"/>
          <w:color w:val="auto"/>
        </w:rPr>
        <w:t>) as a condition of approval or post-approval;</w:t>
      </w:r>
    </w:p>
    <w:p>
      <w:pPr>
        <w:spacing w:after="0" w:line="225" w:lineRule="exact"/>
        <w:rPr>
          <w:rFonts w:ascii="Arial" w:cs="Arial" w:eastAsia="Arial" w:hAnsi="Arial"/>
          <w:sz w:val="18"/>
          <w:szCs w:val="18"/>
          <w:color w:val="auto"/>
        </w:rPr>
      </w:pPr>
    </w:p>
    <w:p>
      <w:pPr>
        <w:ind w:left="700" w:right="20" w:hanging="489"/>
        <w:spacing w:after="0" w:line="332"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39" w:lineRule="exact"/>
        <w:rPr>
          <w:rFonts w:ascii="Arial" w:cs="Arial" w:eastAsia="Arial" w:hAnsi="Arial"/>
          <w:sz w:val="16"/>
          <w:szCs w:val="16"/>
          <w:color w:val="auto"/>
        </w:rPr>
      </w:pPr>
    </w:p>
    <w:p>
      <w:pPr>
        <w:ind w:left="700" w:hanging="489"/>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AV-101 or any other product candidate we may develop, including drug rescue NCEs. Any such setback in our pursuit of regulatory approval would have a material adverse effect on our business and prospects.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intend to seek a Fast Track designation from the FDA for AV-101 for adjunctive treatment of MDD patients with an inadequate response to standard antidepressants. Even if the FDA approves Fast Track designation for AV-101 for this indication, it may not actually lead to a faster development or regulatory review or approval process.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 threatening conditions. Compounds selected must demonstrate the potential to address unmet medical needs. The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approval or expedited approval of any application for the product.</w:t>
      </w:r>
    </w:p>
    <w:p>
      <w:pPr>
        <w:spacing w:after="0" w:line="17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We intend to seek FDA Fast Track designation for AV-101 for adjunctive treatment of MDD patients with an inadequate response to standard antidepressants, and we may do so for other product candidates as well. The FDA has broad discretion whether or not to grant this designation, and even if we believe AV-101 and other product candidates are eligible for this designation, we cannot be sure that the review or approval will compare to conventional FDA procedures. Even if granted, the FDA may withdraw Fast Track designation if it believes that the designation is no longer supported by data from our clinical development programs.</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number of patients suffering from MDD has not been established with precision. If the actual number of patients with MDD is smaller than we anticipate, we or our collaborators may encounter difficulties in enrolling patients in AV-101 clinical trials, including the Phase 2a Study and the planned Phase 2b Study, thereby delaying completion such studies or preventing additional clinical development. Further, if AV-101 is approved for adjunctive treatment of MDD patients with an inadequate response to standard antidepressants, and the market for this indication is smaller than we anticipate, our ability to achieve profitability could be limited.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results of preclinical studies and early clinical trials of AV-101 and other product candidates may not be predictive of the results of later-stage clinical trials. AV-101 or other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serious adverse events or other undesirable side effects are identified during the use of AV-101 in clinical trials, it may adversely affect our development of AV-101 for MDD and other CNS indications.</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AV-101 as a monotherapy is currently being tested by the NIMH in an NIMH-investigator sponsored Phase 2a clinical trial for the treatment of MDD and may be subjected to testing in the future for other CNS indications in additional investigator sponsored clinical trials. If serious adverse events or other undesirable side effects, or unexpected characteristics of AV-101 are observed in investigator sponsored clinical trials of AV-101 or our clinical trials, it may adversely affect or delay our clinical development of AV-101, and the occurrence of these events would have a material adverse effect on our business.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Positive results from early preclinical studies and clinical trials of AV-101 or other product candidates are not necessarily predictive of the results of later preclinical studies and clinical trials of such product candidates. If we cannot replicate the positive results from our earlier preclinical studies and clinical trials of AV-101 or other product candidates in our later preclinical studies and clinical trials, we may be unable to successfully develop, obtain regulatory approval for and commercialize our product candidates.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Positive results from preclinical studies of our product candidates, and any positive results we may obtain from early clinical trials of our product candidates, may not necessarily be predictive of the results from required later preclinical studies and clinical trials. Similarly, even if we are able to complete our planned preclinical studies or clinical trials of our product candidates according to our current development timeline, the positive results from our preclinical studies and clinical trials of our product candidates may not be replicated in subsequent preclinical studies or clinical trial results.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FDA approval. We have not yet completed a Phase 2 clinical trial for AV-101, and if the NIMH fails to produce positive results in the Phase 2a Study, the development timeline and regulatory approval and commercialization prospects for AV-101 and, correspondingly, our business and financial prospects, could be materially adversely affected.</w:t>
      </w:r>
    </w:p>
    <w:p>
      <w:pPr>
        <w:spacing w:after="0" w:line="18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clinical trials and non-clinical studies of our product candidates could result in increased costs to us and could delay, prevent or limit our ability to generate revenue and continue our business.</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our CRADA, the NIMH is conducting and funding the Phase 2a Study. We will need to complete the planned Phase 2b Study, at least two additional large clinical trials, additional toxicity and nonclinical studies and certain smaller clinical studies prior to the submission of an NDA for AV-101 as a new generation adjunctive treatment for MDD. Successful completion of our clinical trials is a prerequisite to submitting an NDA to the FDA and, consequently, the ultimate approval and commercial marketing of AV-101 for MDD and any other product candidates we may develop. We do not know whether the NIMH-sponsored Phase 2a Study, the Phase 2b Study or any of our future-planned clinical trials will be completed on schedule, if at all, as the commencement and completion of clinical trials can be delayed or prevented for a number of reasons, including, among others:</w:t>
      </w:r>
    </w:p>
    <w:p>
      <w:pPr>
        <w:spacing w:after="0" w:line="174" w:lineRule="exact"/>
        <w:rPr>
          <w:sz w:val="20"/>
          <w:szCs w:val="20"/>
          <w:color w:val="auto"/>
        </w:rPr>
      </w:pPr>
    </w:p>
    <w:p>
      <w:pPr>
        <w:ind w:left="700" w:right="400" w:hanging="489"/>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deny permission to proceed with our planned clinical trials or any other clinical trials we may initiate, or may place a clinical trial on hold;</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filing or receiving approvals of additional INDs that may be required;</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results from our ongoing nonclinical studies;</w:t>
      </w:r>
    </w:p>
    <w:p>
      <w:pPr>
        <w:spacing w:after="0" w:line="225" w:lineRule="exact"/>
        <w:rPr>
          <w:rFonts w:ascii="Arial" w:cs="Arial" w:eastAsia="Arial" w:hAnsi="Arial"/>
          <w:sz w:val="18"/>
          <w:szCs w:val="18"/>
          <w:color w:val="auto"/>
        </w:rPr>
      </w:pPr>
    </w:p>
    <w:p>
      <w:pPr>
        <w:ind w:left="700" w:right="100" w:hanging="489"/>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185" w:lineRule="exact"/>
        <w:rPr>
          <w:rFonts w:ascii="Arial" w:cs="Arial" w:eastAsia="Arial" w:hAnsi="Arial"/>
          <w:sz w:val="18"/>
          <w:szCs w:val="18"/>
          <w:color w:val="auto"/>
        </w:rPr>
      </w:pPr>
    </w:p>
    <w:p>
      <w:pPr>
        <w:ind w:left="700" w:right="140" w:hanging="489"/>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site or sites;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trial sites;</w:t>
      </w:r>
    </w:p>
    <w:p>
      <w:pPr>
        <w:spacing w:after="0" w:line="225" w:lineRule="exact"/>
        <w:rPr>
          <w:rFonts w:ascii="Arial" w:cs="Arial" w:eastAsia="Arial" w:hAnsi="Arial"/>
          <w:sz w:val="18"/>
          <w:szCs w:val="18"/>
          <w:color w:val="auto"/>
        </w:rPr>
      </w:pPr>
    </w:p>
    <w:p>
      <w:pPr>
        <w:ind w:left="700" w:right="240" w:hanging="489"/>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eligibility criteria for the clinical trial, the nature of the clinical trial protocol, the availability of approved effective treatments for the relevant disease and competition from other clinical trial programs for similar indications;</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52" w:lineRule="exact"/>
        <w:rPr>
          <w:rFonts w:ascii="Arial" w:cs="Arial" w:eastAsia="Arial" w:hAnsi="Arial"/>
          <w:sz w:val="18"/>
          <w:szCs w:val="18"/>
          <w:color w:val="auto"/>
        </w:rPr>
      </w:pPr>
    </w:p>
    <w:p>
      <w:pPr>
        <w:ind w:left="700" w:right="60" w:hanging="489"/>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FDA may disagree with our clinical trial design and our interpretation of data from clinical trials, or may change the requirements for approval even after it has reviewed and commented on the design for our clinical trials;</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therapies that raise safety or efficacy concerns; and</w:t>
      </w:r>
    </w:p>
    <w:p>
      <w:pPr>
        <w:spacing w:after="0" w:line="225" w:lineRule="exact"/>
        <w:rPr>
          <w:rFonts w:ascii="Arial" w:cs="Arial" w:eastAsia="Arial" w:hAnsi="Arial"/>
          <w:sz w:val="18"/>
          <w:szCs w:val="18"/>
          <w:color w:val="auto"/>
        </w:rPr>
      </w:pPr>
    </w:p>
    <w:p>
      <w:pPr>
        <w:ind w:left="700" w:right="160" w:hanging="489"/>
        <w:spacing w:after="0" w:line="268"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trials, lack of efficacy, side effects, personal issues or loss of interest.</w:t>
      </w:r>
    </w:p>
    <w:p>
      <w:pPr>
        <w:sectPr>
          <w:pgSz w:w="11900" w:h="16838" w:orient="portrait"/>
          <w:cols w:equalWidth="0" w:num="1">
            <w:col w:w="11420"/>
          </w:cols>
          <w:pgMar w:left="240" w:top="131" w:right="239" w:bottom="1440" w:gutter="0" w:footer="0" w:header="0"/>
        </w:sect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Clinical trials may also be delayed or terminated prior to completion as a result of ambiguous or negative interim results. In addition, a clinical trial may be suspended or terminated by us, the FDA, the IRBs at the sites where the IRBs are overseeing a clinical trial, a data and safety monitoring board (</w:t>
      </w:r>
      <w:r>
        <w:rPr>
          <w:rFonts w:ascii="Arial" w:cs="Arial" w:eastAsia="Arial" w:hAnsi="Arial"/>
          <w:sz w:val="16"/>
          <w:szCs w:val="16"/>
          <w:i w:val="1"/>
          <w:iCs w:val="1"/>
          <w:color w:val="auto"/>
        </w:rPr>
        <w:t>DSMB</w:t>
      </w:r>
      <w:r>
        <w:rPr>
          <w:rFonts w:ascii="Arial" w:cs="Arial" w:eastAsia="Arial" w:hAnsi="Arial"/>
          <w:sz w:val="16"/>
          <w:szCs w:val="16"/>
          <w:color w:val="auto"/>
        </w:rPr>
        <w:t>), overseeing the clinical trial at issue or other regulatory authorities due to a number of factors, including, among others:</w:t>
      </w:r>
    </w:p>
    <w:p>
      <w:pPr>
        <w:spacing w:after="0" w:line="161" w:lineRule="exact"/>
        <w:rPr>
          <w:sz w:val="20"/>
          <w:szCs w:val="20"/>
          <w:color w:val="auto"/>
        </w:rPr>
      </w:pPr>
    </w:p>
    <w:p>
      <w:pPr>
        <w:ind w:left="700" w:hanging="489"/>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225" w:lineRule="exact"/>
        <w:rPr>
          <w:rFonts w:ascii="Arial" w:cs="Arial" w:eastAsia="Arial" w:hAnsi="Arial"/>
          <w:sz w:val="18"/>
          <w:szCs w:val="18"/>
          <w:color w:val="auto"/>
        </w:rPr>
      </w:pPr>
    </w:p>
    <w:p>
      <w:pPr>
        <w:ind w:left="700" w:right="120" w:hanging="489"/>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or other regulatory authorities that reveals deficiencies or violations that require us to undertake corrective action, including the imposition of a clinical hold;</w:t>
      </w:r>
    </w:p>
    <w:p>
      <w:pPr>
        <w:spacing w:after="0" w:line="185" w:lineRule="exact"/>
        <w:rPr>
          <w:rFonts w:ascii="Arial" w:cs="Arial" w:eastAsia="Arial" w:hAnsi="Arial"/>
          <w:sz w:val="18"/>
          <w:szCs w:val="18"/>
          <w:color w:val="auto"/>
        </w:rPr>
      </w:pPr>
    </w:p>
    <w:p>
      <w:pPr>
        <w:ind w:left="700" w:right="520" w:hanging="489"/>
        <w:spacing w:after="0" w:line="268"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ongoing non-clinical carcinogenicity studies, adverse side effects or lack of effectiveness;</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lack of adequate funding to continue clinical trials.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Changes in regulatory requirements, FDA guidance or unanticipated events during our non-clinical studies and clinical trials of our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FDA guidance or unanticipated events during our non-clinical studies and clinical trials may force us to amend non-clinical studies and clinical trial protocols or the FDA may impose additional non-clinical studies and clinical trial requirements. Amendments or changes to our clinical trial protocols would require resubmission to the FDA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our product candidates may be harmed and our ability to generate product revenue will be delayed.</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clinical trials of AV-101 and any other product candidates. If these third parties do not successfully carry out their contractual duties or meet expected deadlines, completion of clinical trials and development of AV-101 and other product candidates may be delayed and we may not be able to obtain regulatory approval for or commercialize AV-101 or other product candidates and our business could be substantially harmed.</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such as CROs, to conduct clinical trials of our product candidates. We enter into agreements with third-party CROs to provide monitors for and to manage data for our clinical trials, as well as provide other services necessary to prepare for, conduct and complete clinical trials. We rely heavily on these parties for execution of clinical trials for our product candidates and control only certain aspects of their activities. As a result, we have less direct control over the conduct, timing and completion of these clinical trials and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201" w:lineRule="exact"/>
        <w:rPr>
          <w:sz w:val="20"/>
          <w:szCs w:val="20"/>
          <w:color w:val="auto"/>
        </w:rPr>
      </w:pPr>
    </w:p>
    <w:p>
      <w:pPr>
        <w:ind w:left="700" w:hanging="489"/>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regulatory and scientific requirements and standards, and our reliance on CROs or the NIH does not relieve us of our regulatory responsibilities. We and our CROs and the NIMH are required to comply with regulations and guidelines, including current cGCPs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or our CROs fail to comply with applicable cGCPs,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w:t>
      </w:r>
    </w:p>
    <w:p>
      <w:pPr>
        <w:sectPr>
          <w:pgSz w:w="11900" w:h="16838" w:orient="portrait"/>
          <w:cols w:equalWidth="0" w:num="1">
            <w:col w:w="11420"/>
          </w:cols>
          <w:pgMar w:left="240" w:top="131" w:right="239" w:bottom="9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940" w:gutter="0" w:footer="0" w:header="0"/>
          <w:type w:val="continuous"/>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Although we design our clinical trials for our product candidates, we plan to have CROs, and in the case of the NIMH-sponsored AV-101 Phase 2a study in MDD, the NIMH, conduct the AV-101 Phase 2 and Phase 3 clinical trials. As a result, many important aspects of our drug development programs are outside of our direct control. In addition, the CROs or the NIMH, as the case may be,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NIMH or CROs do not perform clinical trials in a satisfactory manner, breach their obligations to us or fail to comply with regulatory requirements, the development and commercialization of AV-101 and other product candidates may be delayed or our development program materially and irreversibly harmed. We cannot control the amount and timing of resources these CROs or the NIMH devote to our program or our clinical products. If we are unable to rely on clinical data collected by our CROs or the NIMH, we could be required to repeat, extend the duration of, or increase the size of our clinical trials and this could significantly delay commercialization and require significantly greater expenditures.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If any of our relationships with these third-party CROs or the NIMH terminate, we may not be able to enter into arrangements with alternative CROs or collaborators. If CROs or the NIMH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that such CROs or the NIMH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rely completely on third-parties to manufacture and prepare our clinical supplies of AV-101 and other product candidates, and we intend to rely on third parties to produce non-clinical, clinical and commercial supplies of AV-101 and any future product candidate.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nor do we plan to acquire, the infrastructure or capability to internally manufacture our clinical drug supply of AV-101 or any other product candidates for use in the conduct of our nonclinical studies and clinical trials, and we lack the internal resources and the capability to manufacture any product candidates on a clinical or commercial scale. The facilities used by our contract manufacturers to manufacture the active pharmaceutical ingredient and final drug product must complete a pre-approval inspection by the FDA and other comparable foreign regulatory agencies to assess compliance with applicable requirements, including cGMPs, after we submit our NDA or relevant foreign regulatory submission to the applicable regulatory agency.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do not control the manufacturing process of, and are completely dependent on, our contract manufacturers to comply with cGMPs for manufacture of both active drug substances and finished drug products. If our contract manufacturers cannot successfully manufacture material that conforms to our specifications and the strict regulatory requirements of the FDA or applicable foreign regulatory agencies, they will not be able to secure and/or maintain regulatory approval for their manufacturing facilities. In addition, we have no direct control over our contract manufacturers’ ability to maintain adequate quality control, quality assurance and qualified personnel. Furthermore, all of our contract manufacturers are engaged with other companies to supply and/or manufacture materials or products for such companies, which exposes our third-party contract manufacturers to regulatory risks for the production of such materials and products. As a result, failure to satisfy the regulatory requirements for the production of those materials and products may affect the regulatory clearance of our contract manufacturers’ facilities generally. If the FDA or an applicable foreign regulatory agency determines now or in the future that these facilities for the manufacture of our product candidates are noncompliant, we may need to find alternative manufacturing facilities, which would adversely impact our ability to develop, obtain regulatory approval for or market our product candidates. Our reliance on contract manufacturers also exposes us to the possibility that they, or third parties with access to their facilities, will have access to and may appropriate our trade secrets or other proprietary information.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yet have long-term supply agreements in place with our contract manufacturers and each batch of our product candidates are individually contracted under a quality and supply agreement. If we engage new contract manufacturers, such contractors must complete an inspection by the FDA and other applicable foreign regulatory agencies. We plan to continue to rely upon contract manufacturers and, potentially, collaboration partners, to manufacture commercial quantities of AV-101 and other product candidates, if approved. Our current scale of manufacturing for AV-101 is adequate to support our currently planned needs for additional non-clinical studies and clinical trial supplies.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in the United States, we may never receive regulatory approval to market our product candidates outside of the United States.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not yet selected any markets outside of the United States where we intend to seek regulatory approval to market our product candidates. In order to market any product outside of the United States, however,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our product candidates, we may not be able to generate any revenue.</w:t>
      </w:r>
    </w:p>
    <w:p>
      <w:pPr>
        <w:spacing w:after="0" w:line="18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do not currently have an infrastructure for the sales, marketing and distribution of pharmaceutical products, nor do we intend to create such capabilities. Therefore, in order to market our product candidates globally, if approved by the FDA or any other regulatory body, we must make contractual arrangements with third parties to perform services related to sales, marketing, managerial and other non-technical capabilities relating to the commercialization of our product candidates. If we are unable to establish adequate contractual arrangements for such sales, marketing and distribution capabilities, or if we are unable to do so on commercially reasonable terms, our business, results of operations, financial condition and prospects will be materially adversely affected.</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Even if we receive marketing approval for our product candidates, our product candidates may not achieve broad market acceptance, which would limit the revenue that we generate from their sales.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commercial success of our product candidates, if approved by the FDA or other applicable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94" w:lineRule="exact"/>
        <w:rPr>
          <w:sz w:val="20"/>
          <w:szCs w:val="20"/>
          <w:color w:val="auto"/>
        </w:rPr>
      </w:pPr>
    </w:p>
    <w:p>
      <w:pPr>
        <w:ind w:left="700" w:right="100" w:hanging="489"/>
        <w:spacing w:after="0" w:line="332"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39" w:lineRule="exact"/>
        <w:rPr>
          <w:rFonts w:ascii="Arial" w:cs="Arial" w:eastAsia="Arial" w:hAnsi="Arial"/>
          <w:sz w:val="16"/>
          <w:szCs w:val="16"/>
          <w:color w:val="auto"/>
        </w:rPr>
      </w:pPr>
    </w:p>
    <w:p>
      <w:pPr>
        <w:ind w:left="700" w:hanging="489"/>
        <w:spacing w:after="0"/>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limitations or warnings contained in the labeling approved for our product candidates by the FDA or other applicable regulatory authorities;</w:t>
      </w:r>
    </w:p>
    <w:p>
      <w:pPr>
        <w:spacing w:after="0" w:line="248" w:lineRule="exact"/>
        <w:rPr>
          <w:rFonts w:ascii="Arial" w:cs="Arial" w:eastAsia="Arial" w:hAnsi="Arial"/>
          <w:sz w:val="16"/>
          <w:szCs w:val="16"/>
          <w:color w:val="auto"/>
        </w:rPr>
      </w:pPr>
    </w:p>
    <w:p>
      <w:pPr>
        <w:ind w:left="700" w:hanging="48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25" w:lineRule="exact"/>
        <w:rPr>
          <w:rFonts w:ascii="Arial" w:cs="Arial" w:eastAsia="Arial" w:hAnsi="Arial"/>
          <w:sz w:val="18"/>
          <w:szCs w:val="18"/>
          <w:color w:val="auto"/>
        </w:rPr>
      </w:pPr>
    </w:p>
    <w:p>
      <w:pPr>
        <w:ind w:left="700" w:right="260" w:hanging="489"/>
        <w:spacing w:after="0" w:line="268"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ind w:left="700" w:hanging="489"/>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If our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18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nonclinical studies and clinical trials and could result in a more restrictive label or the delay or denial of regulatory approval by the FDA or other regulatory authorities.</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167" w:lineRule="exact"/>
        <w:rPr>
          <w:sz w:val="20"/>
          <w:szCs w:val="20"/>
          <w:color w:val="auto"/>
        </w:rPr>
      </w:pP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25" w:lineRule="exact"/>
        <w:rPr>
          <w:rFonts w:ascii="Arial" w:cs="Arial" w:eastAsia="Arial" w:hAnsi="Arial"/>
          <w:sz w:val="18"/>
          <w:szCs w:val="18"/>
          <w:color w:val="auto"/>
        </w:rPr>
      </w:pPr>
    </w:p>
    <w:p>
      <w:pPr>
        <w:ind w:left="700" w:right="140" w:hanging="489"/>
        <w:spacing w:after="0" w:line="268"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could substantially increase the costs of commercializing our product candidates and significantly impact our ability to successfully commercialize our product candidates and generate revenues.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our product candidates, we may still face future development and regulatory difficulties.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Even if we receive marketing approval for our product candidates, regulatory authorities may still impose significant restrictions on our product candidates, indicated uses or marketing or impose ongoing requirements for potentially costly post-approval studies. Our product candidates will also be subject to ongoing FDA requirements governing the labeling, packaging, storage and promotion of the product and record keeping and submission of safety and other post-market information. The FDA has significant post-marketing authority, including, for example, the authority to require labeling changes based on new safety information and to require post-marketing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Manufacturers of drug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ind w:left="700" w:hanging="48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Competing therapies could emerge adversely affecting our opportunity to generate revenue from the sale of our product candidates.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pharmaceuticals industry is highly competitive. There are many public and private pharmaceutical companies, universities, governmental agencies and other research organizations actively engaged in the research and development of products that may be similar to our product candidates or address similar markets. It is probable that the number of companies seeking to develop products and therapies similar to our products will increase.</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Currently, management is unaware of any FDA-approved adjunctive therapy for MDD patients with an inadequate response to standard antidepressants having the same mechanism of action and safety profile as AV-101. However, new antidepressant products with other mechanisms of action or products approved for other indications, including the anesthetic ketamine, are being or may be used off-label for treatment of MDD, as well as other CNS indications for which AV-101 may have therapeutic potential. Additionally, other non-pharmaceutical treatment options, such psychotherapy and electroconvulsive therapy (</w:t>
      </w:r>
      <w:r>
        <w:rPr>
          <w:rFonts w:ascii="Arial" w:cs="Arial" w:eastAsia="Arial" w:hAnsi="Arial"/>
          <w:sz w:val="16"/>
          <w:szCs w:val="16"/>
          <w:i w:val="1"/>
          <w:iCs w:val="1"/>
          <w:color w:val="auto"/>
        </w:rPr>
        <w:t>ECT</w:t>
      </w:r>
      <w:r>
        <w:rPr>
          <w:rFonts w:ascii="Arial" w:cs="Arial" w:eastAsia="Arial" w:hAnsi="Arial"/>
          <w:sz w:val="16"/>
          <w:szCs w:val="16"/>
          <w:color w:val="auto"/>
        </w:rPr>
        <w:t>) are sometimes used before or instead of standard antidepressants to treat patients with MDD.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field of new generation antidepressants focused on modulation of the NMDA receptor at the glycine binding co-agonist site, we believe our principal competitor is Allergan, which recently acquired from and is now developing in Phase 3 clinical studies the intravenously-administered peptide, rapastinel (formerly GLYX-13).</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We believe that a range of pharmaceutical and biotechnology companies have programs to develop small molecule drug candidates for the treatment of depression, including MDD, epilepsy, neuropathic pain, Parkinson’s disease and other neurological conditions and diseases, including, but not limited to, Abbott Laboratories, Acadia, Allergan, Alkermes, Astra Zeneca, Eli Lilly, GlaxoSmithKline, IntraCellular, Johnson &amp; Johnson/Janssen, Lundbeck, Merck, Novartis, Ono, Otsuka, Pfizer,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ectPr>
          <w:pgSz w:w="11900" w:h="16838" w:orient="portrait"/>
          <w:cols w:equalWidth="0" w:num="1">
            <w:col w:w="11420"/>
          </w:cols>
          <w:pgMar w:left="240" w:top="131"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39" w:name="page40"/>
    <w:bookmarkEnd w:id="3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9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success of our business depends primarily upon our ability to identify, develop and commercialize product candidates with commercial and therapeutic potential. Although AV-101 is in Phase 2 clinical development for treatment of depression, we may fail to pursue additional CNS-related Phase 2 development opportunities for AV-101, or identify additional product candidates for clinical development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Because we have limited financial and management resources, we focus on a limited number of research programs and product candidates and are currently focused primarily on development of AV-101, with additional limited focus on NCE drug rescue and RM. As a result, we may forego or delay pursuit of opportunities with other product candidates or for other potential CNS-related indications for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do not currently have any products on the market, once we begin commercializing our products,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ind w:left="700" w:hanging="489"/>
        <w:spacing w:after="0" w:line="306"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60" w:lineRule="exact"/>
        <w:rPr>
          <w:rFonts w:ascii="Arial" w:cs="Arial" w:eastAsia="Arial" w:hAnsi="Arial"/>
          <w:sz w:val="16"/>
          <w:szCs w:val="16"/>
          <w:color w:val="auto"/>
        </w:rPr>
      </w:pPr>
    </w:p>
    <w:p>
      <w:pPr>
        <w:jc w:val="both"/>
        <w:ind w:left="700" w:hanging="489"/>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94" w:lineRule="exact"/>
        <w:rPr>
          <w:rFonts w:ascii="Arial" w:cs="Arial" w:eastAsia="Arial" w:hAnsi="Arial"/>
          <w:sz w:val="18"/>
          <w:szCs w:val="18"/>
          <w:color w:val="auto"/>
        </w:rPr>
      </w:pPr>
    </w:p>
    <w:p>
      <w:pPr>
        <w:jc w:val="both"/>
        <w:ind w:left="700" w:hanging="489"/>
        <w:spacing w:after="0" w:line="256"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97" w:lineRule="exact"/>
        <w:rPr>
          <w:rFonts w:ascii="Arial" w:cs="Arial" w:eastAsia="Arial" w:hAnsi="Arial"/>
          <w:sz w:val="18"/>
          <w:szCs w:val="18"/>
          <w:color w:val="auto"/>
        </w:rPr>
      </w:pPr>
    </w:p>
    <w:p>
      <w:pPr>
        <w:ind w:left="700" w:hanging="489"/>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85" w:lineRule="exact"/>
        <w:rPr>
          <w:rFonts w:ascii="Arial" w:cs="Arial" w:eastAsia="Arial" w:hAnsi="Arial"/>
          <w:sz w:val="18"/>
          <w:szCs w:val="18"/>
          <w:color w:val="auto"/>
        </w:rPr>
      </w:pPr>
    </w:p>
    <w:p>
      <w:pPr>
        <w:jc w:val="both"/>
        <w:ind w:left="700" w:hanging="489"/>
        <w:spacing w:after="0" w:line="256"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97" w:lineRule="exact"/>
        <w:rPr>
          <w:rFonts w:ascii="Arial" w:cs="Arial" w:eastAsia="Arial" w:hAnsi="Arial"/>
          <w:sz w:val="18"/>
          <w:szCs w:val="18"/>
          <w:color w:val="auto"/>
        </w:rPr>
      </w:pPr>
    </w:p>
    <w:p>
      <w:pPr>
        <w:jc w:val="both"/>
        <w:ind w:left="700" w:hanging="489"/>
        <w:spacing w:after="0" w:line="256"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97" w:lineRule="exact"/>
        <w:rPr>
          <w:rFonts w:ascii="Arial" w:cs="Arial" w:eastAsia="Arial" w:hAnsi="Arial"/>
          <w:sz w:val="18"/>
          <w:szCs w:val="18"/>
          <w:color w:val="auto"/>
        </w:rPr>
      </w:pPr>
    </w:p>
    <w:p>
      <w:pPr>
        <w:ind w:left="700" w:hanging="489"/>
        <w:spacing w:after="0" w:line="268"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AV-101, if approved. In particular, a product may not be promoted for uses that are not approved by the FDA or such other regulatory agencies as reflected in the product’s approved labeling. For example, if we receive marketing approval for AV-101 as an augmentation therapy for MDD, physicians may nevertheless prescribe AV-101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product candidates.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Market acceptance and sales of our product candidates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ectPr>
          <w:pgSz w:w="11900" w:h="16838" w:orient="portrait"/>
          <w:cols w:equalWidth="0" w:num="1">
            <w:col w:w="11420"/>
          </w:cols>
          <w:pgMar w:left="240" w:top="131"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may seek FDA Orphan Drug designation for one or more of our product candidates, including AV-101. Even if we have obtained FDA Orphan Drug designation for one or more of our product candidates, there may be limits to the regulatory exclusivity afforded by such designation.</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We may, in the future, choose to seek FDA Orphan Drug designation for one or more of our product candidates, including AV-101. Even if we obtain Orphan Drug designation from the FDA for any one of our product candidates, there are limitations to the exclusivity afforded by such designation. In the United States,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exclusivity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7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Our future profitability may depend, in part, on our ability to commercialize our product candidates in foreign markets for which we may rely on collaboration with third parties. If we commercialize our product candidates in foreign markets, we would be subject to additional risks and uncertainties, including:</w:t>
      </w:r>
    </w:p>
    <w:p>
      <w:pPr>
        <w:spacing w:after="0" w:line="139" w:lineRule="exact"/>
        <w:rPr>
          <w:sz w:val="20"/>
          <w:szCs w:val="20"/>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 party intellectual property rights;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ind w:left="700" w:hanging="4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a development stage biopharmaceutical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are a development stage biopharmaceutical company. Although our lead drug candidate is in Phase 2 development, we currently have no approved products and currently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67" w:lineRule="exact"/>
        <w:rPr>
          <w:sz w:val="20"/>
          <w:szCs w:val="20"/>
          <w:color w:val="auto"/>
        </w:rPr>
      </w:pPr>
    </w:p>
    <w:p>
      <w:pPr>
        <w:ind w:left="700" w:hanging="489"/>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produce product candidates;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and obtain required regulatory approvals for commercialization of products we produce;</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48" w:lineRule="exact"/>
        <w:rPr>
          <w:rFonts w:ascii="Arial" w:cs="Arial" w:eastAsia="Arial" w:hAnsi="Arial"/>
          <w:sz w:val="16"/>
          <w:szCs w:val="16"/>
          <w:color w:val="auto"/>
        </w:rPr>
      </w:pPr>
    </w:p>
    <w:p>
      <w:pPr>
        <w:ind w:left="700" w:hanging="489"/>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 market acceptance for our products; and</w:t>
      </w:r>
    </w:p>
    <w:p>
      <w:pPr>
        <w:spacing w:after="0" w:line="225" w:lineRule="exact"/>
        <w:rPr>
          <w:rFonts w:ascii="Arial" w:cs="Arial" w:eastAsia="Arial" w:hAnsi="Arial"/>
          <w:sz w:val="18"/>
          <w:szCs w:val="18"/>
          <w:color w:val="auto"/>
        </w:rPr>
      </w:pPr>
    </w:p>
    <w:p>
      <w:pPr>
        <w:ind w:left="700" w:right="620" w:hanging="489"/>
        <w:spacing w:after="0" w:line="268"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Our future success is highly dependent upon our ability to successfully develop and commercialize AV-101 and discover, as well as produce, develop and commercialize proprietary drug rescue NCEs using our stem cell technology, and we cannot provide any assurance that we will successfully develop and commercialize AV-101 or drug rescue NCEs, or that, if produced, AV-101 or any drug rescue NCE will be successfully commercialized.</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programs designed to identify and produce drug rescue NCEs require substantial technical, financial and human resources, whether or not any NCEs are ultimately identified and produced. In particular, our drug rescue programs may initially show promise in identifying potential NCEs, yet fail to yield a lead NCE suitable for preclinical, clinical development or commercialization for many reasons, including the following:</w:t>
      </w:r>
    </w:p>
    <w:p>
      <w:pPr>
        <w:spacing w:after="0" w:line="161" w:lineRule="exact"/>
        <w:rPr>
          <w:sz w:val="20"/>
          <w:szCs w:val="20"/>
          <w:color w:val="auto"/>
        </w:rPr>
      </w:pPr>
    </w:p>
    <w:p>
      <w:pPr>
        <w:ind w:left="700" w:hanging="489"/>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 rescue research methodology may not be successful in identifying potential drug rescue NCEs;</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drug rescue NCEs obsolete;</w:t>
      </w:r>
    </w:p>
    <w:p>
      <w:pPr>
        <w:spacing w:after="0" w:line="225" w:lineRule="exact"/>
        <w:rPr>
          <w:rFonts w:ascii="Arial" w:cs="Arial" w:eastAsia="Arial" w:hAnsi="Arial"/>
          <w:sz w:val="18"/>
          <w:szCs w:val="18"/>
          <w:color w:val="auto"/>
        </w:rPr>
      </w:pPr>
    </w:p>
    <w:p>
      <w:pPr>
        <w:ind w:left="700" w:right="400" w:hanging="489"/>
        <w:spacing w:after="0" w:line="268"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drug rescue NCE may, on further study, be shown to have harmful side effects or other characteristics that indicate it is unlikely to be effective or otherwise does not meet applicable regulatory criteria;</w:t>
      </w:r>
    </w:p>
    <w:p>
      <w:pPr>
        <w:spacing w:after="0" w:line="185" w:lineRule="exact"/>
        <w:rPr>
          <w:rFonts w:ascii="Arial" w:cs="Arial" w:eastAsia="Arial" w:hAnsi="Arial"/>
          <w:sz w:val="18"/>
          <w:szCs w:val="18"/>
          <w:color w:val="auto"/>
        </w:rPr>
      </w:pPr>
    </w:p>
    <w:p>
      <w:pPr>
        <w:ind w:left="700" w:hanging="489"/>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drug rescue NCE may not be capable of being produced in commercial quantities at an acceptable cost, or at all; or</w:t>
      </w:r>
    </w:p>
    <w:p>
      <w:pPr>
        <w:spacing w:after="0" w:line="225" w:lineRule="exact"/>
        <w:rPr>
          <w:rFonts w:ascii="Arial" w:cs="Arial" w:eastAsia="Arial" w:hAnsi="Arial"/>
          <w:sz w:val="18"/>
          <w:szCs w:val="18"/>
          <w:color w:val="auto"/>
        </w:rPr>
      </w:pPr>
    </w:p>
    <w:p>
      <w:pPr>
        <w:ind w:left="700" w:hanging="489"/>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drug rescue NCE may not be accepted as safe and effective by regulatory authorities, patients, the medical community or third-party payors.</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do not have a sales or marketing infrastructure, and we, including our executive officers, do not have any significant pharmaceutical sales, marketing or distribution experience. We may seek to collaborate with others to develop and commercialize AV-101, drug rescue NCEs and/or other product candidates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AV-101, any drug rescue NCEs or other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We have limited operating history with respect to drug development, including our anticipated focus on the identification and assessment of potential drug rescue NCEs and no operating history with respect to the production of drug rescue NCEs, and we may never be able to produce a drug rescue NCE.</w:t>
      </w:r>
    </w:p>
    <w:p>
      <w:pPr>
        <w:spacing w:after="0" w:line="1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If we are unable to develop and commercialize AV-101 or produce suitable drug rescue NCEs, we may not be able to generate sufficient revenues to execute our business plan, which likely would result in significant harm to our financial position and results of operations, which could adversely impact our stock price.</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There are a number of factors, in addition to the utility of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that may impact our ability to identify and produce, develop or out-license and commercialize drug rescue NCEs, independently or with strategic partners, including:</w:t>
      </w:r>
    </w:p>
    <w:p>
      <w:pPr>
        <w:spacing w:after="0" w:line="186" w:lineRule="exact"/>
        <w:rPr>
          <w:sz w:val="20"/>
          <w:szCs w:val="20"/>
          <w:color w:val="auto"/>
        </w:rPr>
      </w:pPr>
    </w:p>
    <w:p>
      <w:pPr>
        <w:ind w:left="700" w:right="340" w:hanging="489"/>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identify potential drug rescue candidates in the public domain, obtain sufficient quantities of them, and assess them using our bioassay systems;</w:t>
      </w:r>
    </w:p>
    <w:p>
      <w:pPr>
        <w:spacing w:after="0" w:line="185" w:lineRule="exact"/>
        <w:rPr>
          <w:rFonts w:ascii="Arial" w:cs="Arial" w:eastAsia="Arial" w:hAnsi="Arial"/>
          <w:sz w:val="18"/>
          <w:szCs w:val="18"/>
          <w:color w:val="auto"/>
        </w:rPr>
      </w:pPr>
    </w:p>
    <w:p>
      <w:pPr>
        <w:ind w:left="700" w:right="400" w:hanging="489"/>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seek to rescue drug rescue candidates that are not available to us in the public domain, the extent to which third parties may be willing to out-license or sell certain drug rescue candidates to us on commercially reasonable terms;</w:t>
      </w:r>
    </w:p>
    <w:p>
      <w:pPr>
        <w:spacing w:after="0" w:line="185" w:lineRule="exact"/>
        <w:rPr>
          <w:rFonts w:ascii="Arial" w:cs="Arial" w:eastAsia="Arial" w:hAnsi="Arial"/>
          <w:sz w:val="18"/>
          <w:szCs w:val="18"/>
          <w:color w:val="auto"/>
        </w:rPr>
      </w:pPr>
    </w:p>
    <w:p>
      <w:pPr>
        <w:ind w:left="700" w:right="240" w:hanging="489"/>
        <w:spacing w:after="0" w:line="268"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medicinal chemistry collaborator’s ability to design and produce proprietary drug rescue NCEs based on the novel biology and structure-function insight we provide using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and</w:t>
      </w:r>
    </w:p>
    <w:p>
      <w:pPr>
        <w:spacing w:after="0" w:line="185" w:lineRule="exact"/>
        <w:rPr>
          <w:rFonts w:ascii="Arial" w:cs="Arial" w:eastAsia="Arial" w:hAnsi="Arial"/>
          <w:sz w:val="18"/>
          <w:szCs w:val="18"/>
          <w:color w:val="auto"/>
        </w:rPr>
      </w:pPr>
    </w:p>
    <w:p>
      <w:pPr>
        <w:ind w:left="700" w:right="220" w:hanging="489"/>
        <w:spacing w:after="0" w:line="332" w:lineRule="auto"/>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financial resources available to us to develop and commercialize lead drug rescue NCEs internally, or, if we out-license them to strategic partners, the resources such partners choose to dedicate to development and commercialization of any drug rescue NCEs they license from us.</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we do produce proprietary drug rescue NCEs, we can give no assurance that we will be able to develop and commercialize them as a marketable drug, on our own or in collaboration with others. Before we generate any revenues from AV-101 and/or additional drug rescue NCEs we or our potential collaborators must complete preclinical and clinical developments,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6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 xml:space="preserve">If 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fails to predict accurately and efficiently the cardiac effects, both toxic and nontoxic, of drug rescue candidates and drug rescue NCEs, then our drug rescue programs will be adversely affected.</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success is partly dependent on our ability to use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to identify and predict, accurately and efficiently, the potential toxic and nontoxic cardiac effects of drug rescue candidates and drug rescue NCEs. If </w:t>
      </w:r>
      <w:r>
        <w:rPr>
          <w:rFonts w:ascii="Arial" w:cs="Arial" w:eastAsia="Arial" w:hAnsi="Arial"/>
          <w:sz w:val="18"/>
          <w:szCs w:val="18"/>
          <w:i w:val="1"/>
          <w:iCs w:val="1"/>
          <w:color w:val="auto"/>
        </w:rPr>
        <w:t>CardioSafe</w:t>
      </w:r>
      <w:r>
        <w:rPr>
          <w:rFonts w:ascii="Arial" w:cs="Arial" w:eastAsia="Arial" w:hAnsi="Arial"/>
          <w:sz w:val="18"/>
          <w:szCs w:val="18"/>
          <w:color w:val="auto"/>
        </w:rPr>
        <w:t xml:space="preserve"> 3D is not capable of providing physiologically relevant and clinically predictive information regarding human cardiac biology, our drug rescue business will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CardioSafe </w:t>
      </w:r>
      <w:r>
        <w:rPr>
          <w:rFonts w:ascii="Arial" w:cs="Arial" w:eastAsia="Arial" w:hAnsi="Arial"/>
          <w:sz w:val="18"/>
          <w:szCs w:val="18"/>
          <w:b w:val="1"/>
          <w:bCs w:val="1"/>
          <w:color w:val="auto"/>
        </w:rPr>
        <w:t>3D</w:t>
      </w:r>
      <w:r>
        <w:rPr>
          <w:rFonts w:ascii="Arial" w:cs="Arial" w:eastAsia="Arial" w:hAnsi="Arial"/>
          <w:sz w:val="18"/>
          <w:szCs w:val="18"/>
          <w:b w:val="1"/>
          <w:bCs w:val="1"/>
          <w:i w:val="1"/>
          <w:iCs w:val="1"/>
          <w:color w:val="auto"/>
        </w:rPr>
        <w:t xml:space="preserve"> may not be meaningfully more predictive of the behavior of human cells than existing methods.</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The success of our drug rescue programs is highly dependent upon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will be more efficient or accurate at predicting the heart safety of new drug candidates than the testing models currently used. If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fails to provide a meaningful difference compared to existing or new models in predicting the behavior of human heart, respectively, their utility for drug rescue will be limited and our drug rescue business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invest in producing drug rescue NCEs for which there proves to be no demand.</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generate revenue from our drug rescue activities, we must produce proprietary drug rescue NCEs for which there proves to be demand within the healthcare marketplace, and, if we intend to out-license a particular drug rescue NCE for development and commercialization prior to market approval, then also among pharmaceutical companies and other potential collaborators. However, we may produce drug rescue NCEs for which there proves to be no or limited demand in the healthcare market and/or among pharmaceutical companies and others. If we misinterpret market conditions, underestimate development costs and/or seek to rescue the wrong drug rescue candidates, we may fail to generate sufficient revenue or other value, on our own or in collaboration with others, to justify our investments, and our drug rescue business may be adversely affected.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human pluripotent stem cell technology is technically complex, and the time and resources necessary to develop various human cell types and customized bioassay systems are difficult to predict in advance. We might decide to devote significant personnel and financial resources to research and development activities designed to expand, in the case of drug rescue, and explore, in the case of drug discovery and regenerative medicine, potential applications of our stem cell technology platform. In particular, we may conduct exploratory nonclinical RM programs involving blood, bone, cartilage, and/or liver cells. Although we and our collaborators have developed proprietary protocols for the production of multiple differentiated cell types, we could encounter difficulties in differentiating and producing sufficient quantities of particular cell types, even when following these proprietary protocols. These difficulties could result in delays in production of certain cells, assessment of certain drug rescue candidates and drug rescue NCEs,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and liver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and liver cells could have a substantial and material adverse effect on our potential drug discovery, drug rescue and regenerative medicine business opportunities and 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94"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Some of our research and development programs may involve the use of human cells derived from our controlled differentiation of human embryonic stem cells (</w:t>
      </w:r>
      <w:r>
        <w:rPr>
          <w:rFonts w:ascii="Arial" w:cs="Arial" w:eastAsia="Arial" w:hAnsi="Arial"/>
          <w:sz w:val="15"/>
          <w:szCs w:val="15"/>
          <w:i w:val="1"/>
          <w:iCs w:val="1"/>
          <w:color w:val="auto"/>
        </w:rPr>
        <w:t>hESC</w:t>
      </w:r>
      <w:r>
        <w:rPr>
          <w:rFonts w:ascii="Arial" w:cs="Arial" w:eastAsia="Arial" w:hAnsi="Arial"/>
          <w:sz w:val="15"/>
          <w:szCs w:val="15"/>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may use hESCs derived from excess fertilized eggs that have been created for clinical use 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fertilization (</w:t>
      </w:r>
      <w:r>
        <w:rPr>
          <w:rFonts w:ascii="Arial" w:cs="Arial" w:eastAsia="Arial" w:hAnsi="Arial"/>
          <w:sz w:val="15"/>
          <w:szCs w:val="15"/>
          <w:i w:val="1"/>
          <w:iCs w:val="1"/>
          <w:color w:val="auto"/>
        </w:rPr>
        <w:t>IVF</w:t>
      </w:r>
      <w:r>
        <w:rPr>
          <w:rFonts w:ascii="Arial" w:cs="Arial" w:eastAsia="Arial" w:hAnsi="Arial"/>
          <w:sz w:val="15"/>
          <w:szCs w:val="15"/>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The foregoing potential ethical concerns do not apply to our use of induced pluripotent stem cells </w:t>
      </w:r>
      <w:r>
        <w:rPr>
          <w:rFonts w:ascii="Arial" w:cs="Arial" w:eastAsia="Arial" w:hAnsi="Arial"/>
          <w:sz w:val="18"/>
          <w:szCs w:val="18"/>
          <w:i w:val="1"/>
          <w:iCs w:val="1"/>
          <w:color w:val="auto"/>
        </w:rPr>
        <w:t>(iPSC</w:t>
      </w:r>
      <w:r>
        <w:rPr>
          <w:rFonts w:ascii="Arial" w:cs="Arial" w:eastAsia="Arial" w:hAnsi="Arial"/>
          <w:sz w:val="18"/>
          <w:szCs w:val="18"/>
          <w:color w:val="auto"/>
        </w:rPr>
        <w:t>s) because their derivation does not involve the use of embryonic tissues.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assumed that the biological capabilities of iPSCs and hESCs are likely to be comparable. If it is discovered that this assumption is incorrect, our exploratory research and development activities focused on potential regenerative medicine applications of our stem cell technology platform could be harmed.</w:t>
      </w:r>
    </w:p>
    <w:p>
      <w:pPr>
        <w:spacing w:after="0" w:line="1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may use both hESCs and iPSCs to produce human cells for our customized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for drug discovery and drug rescue purposes. However, we anticipate that our future exploratory research and development, if any, focused on potential regenerative medicine applications of our stem cell technology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programs, this would negatively affect our ability to explore expansion of our platform in that manner, including, in particular, where it would be preferable to use iPSCs to reproduce rather than approximate the effects of certain specific genetic variations.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ectPr>
          <w:pgSz w:w="11900" w:h="16838" w:orient="portrait"/>
          <w:cols w:equalWidth="0" w:num="1">
            <w:col w:w="11420"/>
          </w:cols>
          <w:pgMar w:left="240" w:top="13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To the extent our research and development activities involve using iPSCs,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16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social and ethical concerns surrounding the use of iPSCs, biological materials and genetic information could impair our operations.</w:t>
      </w:r>
    </w:p>
    <w:p>
      <w:pPr>
        <w:spacing w:after="0" w:line="2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0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human cells we produce from hPSCs and our customized bioassay systems using such cells, including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are not currently sold, for research purposes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human cells we derive from hPSCs in therapeutic applications or product candidates, such applications and/or product candidates would be subject to the FDA’s pre- and post-market regulations. For example, if we seek to develop and market human cells we produce for use in performing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incurred significant net losses in each fiscal year since our inception in 1998, including net losses of $47.2 million, which includes $26.7 million of non-cash expense related to the extinguishment of essentially all of our outstanding promissory notes and certain other indebtedness, and $13.9 million during the fiscal years ended March 31, 2016 and 2015, respectively, and a net loss of $7.7 million in the nine months ended December 31, 2016. As of December 31, 2016, we had an accumulated deficit of approximately $139.4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non-clinical studies and clinical trials of our product candidates. In addition, if we obtain marketing approval for our product candidates, we may incur significant sales, marketing and outsourced-manufacturing expenses should we elect not to collaborate with one or more third parties for such services and capabilities.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ability to become profitable depends upon our ability to generate revenues. To date, we have generated approximately $16.4 million in revenues, primarily from the receipt of research and development grant awards from the NIH, not including the fair market value of the ongoing NIH-funded Phase 2a MDD study of AV-101.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AV-101, or we enter into one or more development and commercialization agreements with respect to AV-101 or one or more other product candidates. Our ability to generate revenue depends on a number of factors, including, but not limited to, our ability to:</w:t>
      </w:r>
    </w:p>
    <w:p>
      <w:pPr>
        <w:spacing w:after="0" w:line="174"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initiate and successfully complete preclinical and clinical trials that meet their prescribed endpoints;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initiate and successfully complete all safety studies required to obtain U.S. and foreign marketing approval for our product candidates;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commercialize our product candidates, if approved, by developing a sales force or entering into collaborations with third parties;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in the medical community and with third-party payors.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Unless we enter into a development and commercialization collaboration or partnership agreement, we expect to incur significant sales and marketing costs as we prepare to commercialize AV-101 or other product candidates. Even if we initiate and successfully complete pivotal clinical trials of AV-101 or other product candidates, and AV-101 or other product candidates are approved for commercial sale, and despite expending these costs, AV-101 or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Despite consummation of the May 2016 Public Offering (defined below), we require additional financing to execute our business plan and continue to operate as a going concern.</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audited consolidated financial statements for the year ended March 31, 2016 and our condensed consolidated financial statements for the nine months ended December 31, 2016 have been prepared assuming we will continue to operate as a going concern. Because we continue to experience net operating losses, our ability to continue as a going concern is subject to our ability to obtain necessary funding from outside sources, including obtaining additional funding from the sale of our securities or obtaining loans and grant awards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or all of our research and development activities or we may not be able to continue as a going concern.</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Since our inception, most of our resources have been dedicated to research and development of AV-101 and the drug rescue capabilities of our stem cell technology platform. In particular, we have expended substantial resources advancing AV-101 through preclinical development and Phase 1 clinical safety studies, and developing </w:t>
      </w:r>
      <w:r>
        <w:rPr>
          <w:rFonts w:ascii="Arial" w:cs="Arial" w:eastAsia="Arial" w:hAnsi="Arial"/>
          <w:sz w:val="16"/>
          <w:szCs w:val="16"/>
          <w:i w:val="1"/>
          <w:iCs w:val="1"/>
          <w:color w:val="auto"/>
        </w:rPr>
        <w:t>CardioSafe</w:t>
      </w:r>
      <w:r>
        <w:rPr>
          <w:rFonts w:ascii="Arial" w:cs="Arial" w:eastAsia="Arial" w:hAnsi="Arial"/>
          <w:sz w:val="16"/>
          <w:szCs w:val="16"/>
          <w:color w:val="auto"/>
        </w:rPr>
        <w:t xml:space="preserve"> 3D for drug rescue applications, and we will continue to expend substantial resources for the foreseeable future developing and commercializing AV-101, and, potentially, developing drug rescue NCEs and RM therapies. These expenditures will include costs associated with 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w:t>
      </w:r>
    </w:p>
    <w:p>
      <w:pPr>
        <w:sectPr>
          <w:pgSz w:w="11900" w:h="16838" w:orient="portrait"/>
          <w:cols w:equalWidth="0" w:num="1">
            <w:col w:w="11420"/>
          </w:cols>
          <w:pgMar w:left="240" w:top="131" w:right="239"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7" w:name="page48"/>
    <w:bookmarkEnd w:id="4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At March 31, 2016, our existing cash and cash equivalents were not sufficient to fund our current operations for the next 12 months. However, as described in Note 9, </w:t>
      </w:r>
      <w:r>
        <w:rPr>
          <w:rFonts w:ascii="Arial" w:cs="Arial" w:eastAsia="Arial" w:hAnsi="Arial"/>
          <w:sz w:val="16"/>
          <w:szCs w:val="16"/>
          <w:i w:val="1"/>
          <w:iCs w:val="1"/>
          <w:color w:val="auto"/>
        </w:rPr>
        <w:t>Capital Stock</w:t>
      </w:r>
      <w:r>
        <w:rPr>
          <w:rFonts w:ascii="Arial" w:cs="Arial" w:eastAsia="Arial" w:hAnsi="Arial"/>
          <w:sz w:val="16"/>
          <w:szCs w:val="16"/>
          <w:color w:val="auto"/>
        </w:rPr>
        <w:t>, to the accompanying Condensed Consolidated Financial Statements for the nine months ended December 31, 2016 included elsewhere in this Quarterly Report, on May 16, 2016, we consummated an underwritten public offering, pursuant to which we issued an aggregate of 2,570,040 registered shares of our common stock at a public sales price of $4.24 per share and five-year warrants, exercisable at $5.30 per share, to purchase an aggregate of 2,705,883 shares of our common stock at a public sales price of $0.01 per warrant share, including shares and warrants issued pursuant to the exercise of the underwriters’ over-allotment option, resulting in gross proceeds of approximately $10.9 million (</w:t>
      </w:r>
      <w:r>
        <w:rPr>
          <w:rFonts w:ascii="Arial" w:cs="Arial" w:eastAsia="Arial" w:hAnsi="Arial"/>
          <w:sz w:val="16"/>
          <w:szCs w:val="16"/>
          <w:i w:val="1"/>
          <w:iCs w:val="1"/>
          <w:color w:val="auto"/>
        </w:rPr>
        <w:t>May 2016 Public Offering</w:t>
      </w:r>
      <w:r>
        <w:rPr>
          <w:rFonts w:ascii="Arial" w:cs="Arial" w:eastAsia="Arial" w:hAnsi="Arial"/>
          <w:sz w:val="16"/>
          <w:szCs w:val="16"/>
          <w:color w:val="auto"/>
        </w:rPr>
        <w:t>). Our net proceeds from the May 2016 Public Offering were approximately $9.5 million after deducting underwriters’ commissions and other expenses of the offering. During the quarter ended December 31, 2016, we received aggregate cash proceeds of $247,900 from the sale of our common stock and warrants to two accredited investors private placement transactions. Further, as described in greater detail in Note 5</w:t>
      </w:r>
      <w:r>
        <w:rPr>
          <w:rFonts w:ascii="Arial" w:cs="Arial" w:eastAsia="Arial" w:hAnsi="Arial"/>
          <w:sz w:val="16"/>
          <w:szCs w:val="16"/>
          <w:i w:val="1"/>
          <w:iCs w:val="1"/>
          <w:color w:val="auto"/>
        </w:rPr>
        <w:t>, Sublicense Fee Receivable and Sublicense Revenue,</w:t>
      </w:r>
      <w:r>
        <w:rPr>
          <w:rFonts w:ascii="Arial" w:cs="Arial" w:eastAsia="Arial" w:hAnsi="Arial"/>
          <w:sz w:val="16"/>
          <w:szCs w:val="16"/>
          <w:color w:val="auto"/>
        </w:rPr>
        <w:t xml:space="preserve"> to the accompanying Condensed Consolidated Financial Statements for the nine months ended December 31, 2016 included elsewhere in this Quarterly Report, we received a cash payment of $1.25 million under the BlueRock Therapeutics Agreement in early January 2017. Additionally, in February 2015, we entered into the CRADA with the NIH, under which the NIMH is fully funding and conducting the Phase 2a Study. However, we have no current source of revenue to sustain our present activities, and we do not expect to generate revenue until, and unless, we (i) out-license or sell AV-101, a drug rescue NCE, and/or another drug candidate unrelated to AV-101 to third-parties, (ii) enter into license arrangements involving our stem cell technology, or (iii) obtain approval from the FDA or other regulatory authorities and successfully commercialize, on our own or through a future collaboration, one or more of our compounds.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the outcome of our AV-101 and NCE drug rescue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including capital necessary to obtain regulatory approval for, and to commercialize, our product candidates, and may seek additional capital in the event there exists favorable market conditions or strategic considerations even if we believe we have sufficient funds for our current or future operating plans. We are considering a range of potential sources of funding, including public or private equity or debt financings, government or other third-party funding, marketing and distribution arrangements and other collaborations, strategic alliances and licensing arrangements or a combination of these approaches, and we may complete additional financing arrangements in 2016.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 including AV-101 and drug rescue 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our product candidates, and conducting preclinical and clinical studies;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any products we successfully commercialize;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products;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government funding for our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obtaining and enforcing patents to preserve our intellectual property;</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although we currently have no commitments or agreements relating to any of these types of transactions.</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In addition, we cannot guarantee that future financing will be available in sufficient amounts, in a timely manner, or on terms acceptable to us, if at all, and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or exchange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Proceeds from recent financing activity, including the May 2016 Public Offering will not be sufficient to complete the planned Phase 2b MDD Study, resulting in the need for additional financing.</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Although we anticipate that the net proceeds from the May 2016 Public Offering will provide sufficient funding for our operations through the launch and a portion of the planned Phase 2b Study, the proceeds received will not be sufficient to complete the planned Phase 2b Study. No assurances can be provided that sufficient additional capital will be available to us when necessary, on reasonable terms, or at all. In the event we are unable to raise such additional capital, our operations, including the conduct of the planned Phase 2b Study, will be negatively and materially affected.</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Raising additional capital will cause dilution to our existing stockholders, may restrict our operations or require us to relinquish rights, and may require us to seek stockholder approval to authorize additional shares of our common stock.</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intend to pursue private and public equity offerings, debt financings, collaborations and licensing arrangements during 2017 and beyond. To the extent that we raise additional capital through the sale of common stock or securities convertible or exchangeable into common stock, or to the extent, for strategic purposes, we convert or exchange certain of our outstanding securities into common stock, our current stockholders’ ownership interest in our company will be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our product candidates, our intellectual property, future revenue streams or grant licenses on terms that are not favorable to us.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have 30.0 million shares of common stock authorized for issuance. Based on the current number of shares of our common stock: (i) outstanding, (ii) reserved for conversion or exchange of our various series of outstanding preferred stock, including for payment of accrued dividends on our outstanding Series B Preferred, (iii) reserved for the exercise of outstanding warrants, and (iv) reserved for the exercise of options granted or available for grant pursuant to our equity incentive plans, we have approximately 8.5 million shares of common stock available for future financing or other activities. We may be required to seek stockholder approval to amend our Articles of Incorporation to increase the number of shares of common stock we are authorized to issue in order to achieve our near-term or longer-term financing objectives, including all or part of such financing as may be contemplated in the Registration Statement on Form S-3 filed with the Securities and Exchange Commission in January 2017 (Registration No. 333-215671).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programs have been partially supported by government grant awards, which may not be available to us in the future.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inception, we have received substantial funds under grant award programs funded by state and federal governmental agencies, such as the NIH, the NIH’s National Institute of Neurological Disease and Stroke and the NIH’s National Institute of Mental Health,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ectPr>
          <w:pgSz w:w="11900" w:h="16838" w:orient="portrait"/>
          <w:cols w:equalWidth="0" w:num="1">
            <w:col w:w="11420"/>
          </w:cols>
          <w:pgMar w:left="240" w:top="131"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As of March 31, 2016, we had federal and state net operating loss carryforwards of $67.9 million and $60.1 million, respectively, which begin to expire in fiscal 2017.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scientific personnel, we may be unable to successfully produce, develop and commercialize AV-101, drug rescue NCEs, other potential product candidates and other commercial applications of our stem cell technology.</w:t>
      </w:r>
    </w:p>
    <w:p>
      <w:pPr>
        <w:spacing w:after="0" w:line="13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and scientific and technical personnel. We are highly dependent upon our Chief Executive Officer, President and Chief Scientific Officer, Chief Medical Officer and Chief Financial Officer, as well as other employees, consultants and scientific collaborators. As of the date of this Quarterly Report, we have ten full-time employees, which may make us more reliant on our individual employees than companies with a greater number of employees. The loss of services of any of these individuals could delay or prevent the successful development of AV-101, drug rescue NCEs, other product candidates, and other applications of our stem cell technology, including our production and assessment of potential drug recuse NCEs or disrupt our administrative functions.</w:t>
      </w:r>
    </w:p>
    <w:p>
      <w:pPr>
        <w:spacing w:after="0" w:line="1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and administrative activities. We may not be able to attract and retain quality personnel on acceptable terms.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we rely on a diverse range of strategic consultants and advisors, including manufacturing, scientific and clinical development, and regulatory advisors, to assist us in designing and implementing our research and development and regulatory strategies and plans, including our AV-101 development and drug rescue strategies and plans. Our consultants and advisors may be employed by employers other than us and may have commitments under consulting or advisory contracts with other entities that may limit their availability to us.</w:t>
      </w:r>
    </w:p>
    <w:p>
      <w:pPr>
        <w:spacing w:after="0" w:line="19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we seek to advance development of AV-101 for MDD and other CNS-related conditions, as well as drug rescue and stem cell technology-related RM programs, we will need to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If we develop AV-101, drug rescue NCEs, other product candidates, or regenerative medicine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AV-101, any drug rescue NCE, other product candidate, or regenerative medicine product candidate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decreased demand for products that we may develop;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As a public company, we incur significant administrative workload and expenses to comply with U.S. regulations and requirements imposed by The NASDAQ Stock Market concerning corporate governance and public disclosure.</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public company with common stock listed on The NASDAQ Capital Market, we must comply with various laws, regulations and requirements, including certain provisions of the Sarbanes-Oxley Act of 2002, as well as rules implemented by the SEC and The NASDAQ Stock Market. Complying with these statutes, regulations and requirements, including our public company reporting requirements, continues to occupy a significant amount of the time of management and involves significant accounting, legal and other expenses. Furthermore, these laws, regulations and requirements require us to observe greater corporate governance practices than we have employed in the past, including, but not limited to maintaining a sufficient number of independent directors, increased frequency of board meetings, and holding annual stockholder meetings. Our efforts to comply with these regulations are likely to result in increased general and administrative expenses and management time and attention directed to compliance activities.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and stock markets. Global financial crises cause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product candidates’ development programs.</w:t>
      </w:r>
    </w:p>
    <w:p>
      <w:pPr>
        <w:spacing w:after="0" w:line="18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AV-101 or other product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acquire businesses or products, or form strategic alliances, in the future, and we may not realize the benefits of such acquisitions.</w:t>
      </w:r>
    </w:p>
    <w:p>
      <w:pPr>
        <w:spacing w:after="0" w:line="24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strive to protect and enhance the proprietary technologies that we believe are important to our business, including seeking patents intended to cover our products and compositions, their methods of use and any other inventions we consider are important to the development of our business. We also rely on trade secrets to protect aspects of our business that are not amenable to, or that we do not consider appropriate for, patent protection.</w:t>
      </w:r>
    </w:p>
    <w:p>
      <w:pPr>
        <w:spacing w:after="0" w:line="16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success will depend significantly on our ability to obtain and maintain patent and other proprietary protection for commercially important technology, inventions and know-how related to our business, to defend and enforce our patents, should they issue,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patent applications related to AV-101 and we own and have licensed patents and patent applications related to human pluripotent stem cell technology.</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yet have an issued patent covering AV-101. We cannot provide any assurances that any of our numerous pending U.S. and foreign patent applications relating to AV-101 will mature into issued patents and, if they do, that such patents will include claims with a scope sufficient to protect AV-101 or otherwise provide any competitive advantage. Moreover, other parties may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Such third-party patent positions may limit or even eliminate our ability to obtain patent protection.</w:t>
      </w:r>
    </w:p>
    <w:p>
      <w:pPr>
        <w:spacing w:after="0" w:line="19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should they issue,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though a patent, if it were to issue,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such as using pre-existing or newly developed technology. Other parties may develop and obtain patent protection for more effective technologies, designs or methods. We may not be able to prevent the unauthorized disclosure or use of our technical knowledge or trade secrets by consultants, vendors, former employees and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ectPr>
          <w:pgSz w:w="11900" w:h="16838" w:orient="portrait"/>
          <w:cols w:equalWidth="0" w:num="1">
            <w:col w:w="11420"/>
          </w:cols>
          <w:pgMar w:left="240" w:top="131"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2" w:name="page53"/>
    <w:bookmarkEnd w:id="5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proceedings to enforce or defend our patents, if and when issued,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if and when issued,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225" w:lineRule="exact"/>
        <w:rPr>
          <w:sz w:val="20"/>
          <w:szCs w:val="20"/>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AV-101 or other pending patent applications, if issued, will include claims having a scope sufficient to protect AV-101 or any other products or product candidates, particularly considering that the compound patent to AV-101 has expired;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our patents, if issued, will be found to ultimately be valid and enforceable;</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or proprietary rights of others.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 if approved.</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may later result in issued patents that our product candidates may infringe, or which such third parties claim are infringed by our technologies. 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was successfully asserted against us and we could not obtain such a license, we may be forced to stop or delay developing, manufacturing, selling or otherwise commercializing our product candidates.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time-consuming. We may not have sufficient resources to bring these actions to a successful conclusion. In addition, intellectual property litigation or claims could force us to do one or more of the following:</w:t>
      </w:r>
    </w:p>
    <w:p>
      <w:pPr>
        <w:spacing w:after="0" w:line="19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248" w:lineRule="exact"/>
        <w:rPr>
          <w:rFonts w:ascii="Arial" w:cs="Arial" w:eastAsia="Arial" w:hAnsi="Arial"/>
          <w:sz w:val="16"/>
          <w:szCs w:val="16"/>
          <w:color w:val="auto"/>
        </w:rPr>
      </w:pPr>
    </w:p>
    <w:p>
      <w:pPr>
        <w:ind w:left="660" w:hanging="328"/>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Any of these risks coming to fruition could have a material adverse effect on our business, results of operations, financial condition and prospects.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U.S. Patent and Trademark Office (</w:t>
      </w:r>
      <w:r>
        <w:rPr>
          <w:rFonts w:ascii="Arial" w:cs="Arial" w:eastAsia="Arial" w:hAnsi="Arial"/>
          <w:sz w:val="18"/>
          <w:szCs w:val="18"/>
          <w:i w:val="1"/>
          <w:iCs w:val="1"/>
          <w:color w:val="auto"/>
        </w:rPr>
        <w:t>USPTO</w:t>
      </w:r>
      <w:r>
        <w:rPr>
          <w:rFonts w:ascii="Arial" w:cs="Arial" w:eastAsia="Arial" w:hAnsi="Arial"/>
          <w:sz w:val="18"/>
          <w:szCs w:val="18"/>
          <w:color w:val="auto"/>
        </w:rPr>
        <w:t>)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time-consuming and unsuccessful.</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Even if the patent applications we own or license are issued, competitors may infringe these patents.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we or one of our licensing partners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patent applications relating to AV-101, as well as for many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United States.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ectPr>
          <w:pgSz w:w="11900" w:h="16838" w:orient="portrait"/>
          <w:cols w:equalWidth="0" w:num="1">
            <w:col w:w="11420"/>
          </w:cols>
          <w:pgMar w:left="240" w:top="131"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55" w:name="page56"/>
    <w:bookmarkEnd w:id="5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6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are a party to a number of license agreements under which we are granted rights to intellectual property that are or could become important to our business, and we expect that we may need to enter into additional license agreements in the future. Our existing license agreements impose, and we expect that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Arial" w:cs="Arial" w:eastAsia="Arial" w:hAnsi="Arial"/>
          <w:sz w:val="16"/>
          <w:szCs w:val="16"/>
          <w:i w:val="1"/>
          <w:iCs w:val="1"/>
          <w:color w:val="auto"/>
        </w:rPr>
        <w:t>Business—Intellectual Property</w:t>
      </w:r>
      <w:r>
        <w:rPr>
          <w:rFonts w:ascii="Arial" w:cs="Arial" w:eastAsia="Arial" w:hAnsi="Arial"/>
          <w:sz w:val="16"/>
          <w:szCs w:val="16"/>
          <w:color w:val="auto"/>
        </w:rPr>
        <w:t>” herein for a description of our license agreements, which includes a description of the termination provisions of these agreements.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8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25" w:lineRule="exact"/>
        <w:rPr>
          <w:rFonts w:ascii="Arial" w:cs="Arial" w:eastAsia="Arial" w:hAnsi="Arial"/>
          <w:sz w:val="18"/>
          <w:szCs w:val="18"/>
          <w:color w:val="auto"/>
        </w:rPr>
      </w:pPr>
    </w:p>
    <w:p>
      <w:pPr>
        <w:ind w:left="660" w:right="20" w:hanging="328"/>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entered into several licenses to support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0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3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4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intellectual property rights we have licensed or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6"/>
          <w:szCs w:val="16"/>
          <w:i w:val="1"/>
          <w:iCs w:val="1"/>
          <w:color w:val="auto"/>
        </w:rPr>
        <w:t>Bayh-Dole Act</w:t>
      </w:r>
      <w:r>
        <w:rPr>
          <w:rFonts w:ascii="Arial" w:cs="Arial" w:eastAsia="Arial" w:hAnsi="Arial"/>
          <w:sz w:val="16"/>
          <w:szCs w:val="16"/>
          <w:color w:val="auto"/>
        </w:rPr>
        <w: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8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AV-101 is used in another drug company’s product candidate and that product candidate is the first to obtain FDA approval.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is the case with other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United States has recently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recent U.S. Supreme Court rulings have narrowed the scope of patent protection available in certain circumstances and weakened the rights of patent owners in certain situations. The full impact of these decisions is not yet known. For example, on March 20, 2012 in Mayo Collaborative Services, DBA Mayo Medical Laboratories, et al. v. Prometheus Laboratories, Inc., the Court held that several claims drawn to measuring drug metabolite levels 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Association for Molecular Pathology v. Myriad Genetics, Inc., the Court held that claims to isolated genomic DNA are not patentable, but claims to complementary DNA molecules are patent eligible because they are not a natural product. The effect of the decision on patents for other isolated natural products is uncertain. 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Ariosa Diagnostics, Inc. v. Sequenom, Inc., the Court of Appeals for the Federal Circuit held that methods for detecting fetal genetic defects were not patent eligible subject matter.</w:t>
      </w:r>
    </w:p>
    <w:p>
      <w:pPr>
        <w:spacing w:after="0" w:line="18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addition to increasing uncertainty with regard to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9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97" w:lineRule="exact"/>
        <w:rPr>
          <w:sz w:val="20"/>
          <w:szCs w:val="20"/>
          <w:color w:val="auto"/>
        </w:rPr>
      </w:pPr>
    </w:p>
    <w:p>
      <w:pPr>
        <w:ind w:left="660" w:right="20" w:hanging="328"/>
        <w:spacing w:after="0" w:line="26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25" w:lineRule="exact"/>
        <w:rPr>
          <w:rFonts w:ascii="Arial" w:cs="Arial" w:eastAsia="Arial" w:hAnsi="Arial"/>
          <w:sz w:val="18"/>
          <w:szCs w:val="18"/>
          <w:color w:val="auto"/>
        </w:rPr>
      </w:pPr>
    </w:p>
    <w:p>
      <w:pPr>
        <w:ind w:left="660" w:hanging="328"/>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as a result of legal challenges by our competitors;</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instead of identifying drug rescue candidates based on information available to us in the public domain, we seek to in-license drug rescue candidates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drug rescue NCEs we may produce and develop. If we are unable to obtain ownership or substantial economic participation rights over intellectual property related to drug rescue NCEs we produce and develop, our business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limited public market for our securities may adversely affect an investor’s ability to liquidate an investment in the Company.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common stock is currently quoted on The NASDAQ Capital Market, however, there is presently limited trading activity. We can give no assurance that an active market will develop, or if developed, that it will be sustained. If an investor acquires shares of our common stock, the investor may not be able to liquidate the shares should there be a need or desire to do so.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market price for our common stock, similar to other biopharmaceutical companies, is likely to be volatile. The market price of our common stock may fluctuate significantly in response to a number of factors, most of which we cannot control, including, among others:</w:t>
      </w:r>
    </w:p>
    <w:p>
      <w:pPr>
        <w:spacing w:after="0" w:line="186"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studies and clinical trials of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the FDA to approve our product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these sales or issuances are occurring or might occur, could significantly reduce the market price of our common stock and impair our ability to raise adequate capital through the sale of additional equity securities.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stock market in general, and biotechnology-based companies like ours in particular, has frequently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Historically, there has been a highly limited public market for shares of our common stock. Future sales and issuances of a substantial number of shares of our common stock in the public market, including shares issued upon the conversion of our Series A Preferred, Series B Preferred or Series C Preferred, and the exercise of outstanding options and warrants for common stock which are issuable upon exercise, in the public market, or the perception that these sales and issuances are occurring or might occur, could significantly reduce the market price for our common stock and impair our ability to raise adequate capital through the sale of equity securities.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our current institutional stockholders own a substantial portion of our outstanding capital stock, including our common stock, Series A Preferred, Series B Preferred, and Series C Preferred, all of which preferred stock is convertible into a substantial number of shares of common stock. Accordingly, institutional stockholders may exert significant influence over us and over the outcome of any corporate actions requiring approval of holders of our common stock, including the election of directors and amendments to our organizational documents, such as increases in our authorized shares of common stock,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Furthermore, the interests of our principal institutional stockholders may not always coincide with your interests or the interests of other stockholders may act in a manner that advances its best interests and not necessarily those of other stockholders, including seeking a premium value for its common stock, which might affect the prevailing market price for our common stock.</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analysts issue other unfavorable commentary or cease publishing reports about us or our business.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Articles of Incorporation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of Directors has authorized the issuance of</w:t>
      </w:r>
    </w:p>
    <w:p>
      <w:pPr>
        <w:spacing w:after="0" w:line="38" w:lineRule="exact"/>
        <w:rPr>
          <w:sz w:val="20"/>
          <w:szCs w:val="20"/>
          <w:color w:val="auto"/>
        </w:rPr>
      </w:pPr>
    </w:p>
    <w:p>
      <w:pPr>
        <w:jc w:val="both"/>
        <w:ind w:firstLine="8"/>
        <w:spacing w:after="0" w:line="288" w:lineRule="auto"/>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500,000 shares of Series A Preferred, all of which shares are currently issued and outstanding; (ii) 4.0 million shares of Series B 10% Convertible Preferred stock, of which approximately 1.2 million shares are issued and outstanding as of the date of this Report; and (iii) 3.0 million shares of Series C Convertible Preferred Stock, of which approximately 2.3 million shares are issued and outstanding as of the date of this Report.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 ability to achieve a return on their investment will depend on appreciation in the price of our common stock.</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Since becoming a public company by means of a reverse merger in 2011, we have been subject to the reporting requirements of the Securities Exchange Act of 1934, as amended (</w:t>
      </w:r>
      <w:r>
        <w:rPr>
          <w:rFonts w:ascii="Arial" w:cs="Arial" w:eastAsia="Arial" w:hAnsi="Arial"/>
          <w:sz w:val="16"/>
          <w:szCs w:val="16"/>
          <w:i w:val="1"/>
          <w:iCs w:val="1"/>
          <w:color w:val="auto"/>
        </w:rPr>
        <w:t>Exchange Act</w:t>
      </w:r>
      <w:r>
        <w:rPr>
          <w:rFonts w:ascii="Arial" w:cs="Arial" w:eastAsia="Arial" w:hAnsi="Arial"/>
          <w:sz w:val="16"/>
          <w:szCs w:val="16"/>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Units in Private Placement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December 2016, in self-placed private transactions, we accepted subscription agreements from two individual accredited investors, pursuant to which we sold to such investors units, at a purchase price of $3.70 per unit, consisting of an aggregate of 67,000 unregistered shares of our common stock and warrants, exercisable through November 30, 2019, to purchase an aggregate of 16,750 unregistered shares of our common stock at an exercise price of $6.00 per share. The purchasers of the units have no registration rights with respect to the shares of common stock, warrants or shares of common stock issuable upon exercise of the warrants comprising the units sold. We received aggregate cash proceeds of $247,900 from the sales of the units, which we expect to use for general corporate purposes. The units were offered and sold in transactions exempt from registration under the Securities Act of 1933, as amended (the </w:t>
      </w:r>
      <w:r>
        <w:rPr>
          <w:rFonts w:ascii="Arial" w:cs="Arial" w:eastAsia="Arial" w:hAnsi="Arial"/>
          <w:sz w:val="16"/>
          <w:szCs w:val="16"/>
          <w:i w:val="1"/>
          <w:iCs w:val="1"/>
          <w:color w:val="auto"/>
        </w:rPr>
        <w:t>Securities Act</w:t>
      </w:r>
      <w:r>
        <w:rPr>
          <w:rFonts w:ascii="Arial" w:cs="Arial" w:eastAsia="Arial" w:hAnsi="Arial"/>
          <w:sz w:val="16"/>
          <w:szCs w:val="16"/>
          <w:color w:val="auto"/>
        </w:rPr>
        <w:t>), in reliance on Section 4(2) thereof and Rule 506 of Regulation D thereunder.</w:t>
      </w:r>
    </w:p>
    <w:p>
      <w:pPr>
        <w:sectPr>
          <w:pgSz w:w="11900" w:h="16838" w:orient="portrait"/>
          <w:cols w:equalWidth="0" w:num="1">
            <w:col w:w="11420"/>
          </w:cols>
          <w:pgMar w:left="240" w:top="131"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1" w:name="page62"/>
    <w:bookmarkEnd w:id="6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 to Professional Services Providers</w:t>
      </w:r>
    </w:p>
    <w:p>
      <w:pPr>
        <w:spacing w:after="0" w:line="225"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On November 14, 2016, we issued 10,000 shares of our unregistered common stock for services to be provided by a corporate investor relations provider. On December 19, 2016, we issued an aggregate of 100,000 shares of our unregistered common stock to certain investor relations, financial advisory and corporate development professionals who are also accredited investors for professional services provided and to be provided. In all instances, the shares were issued in a private placement transaction exempt from registration under the Securities Act, in reliance on Section 4(2) thereof and Rule 506 of Regulation D thereunder.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Exchanged for Common Stock</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30, 2016, we entered into warrant exchange agreements with accredited investors holding outstanding warrants to purchase an aggregate of 49,100 shares of our common stock pursuant to which the holders agreed to the cancellation of such warrants in exchange for an aggregate of 24,550 shares of our unregistered common stock. In all instances, the common stock was issued in private placement transactions exempt from registration under the Securities Act, in reliance on Section 3(a)(9) and/or 4(2) thereof.</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380" w:type="dxa"/>
            <w:vAlign w:val="bottom"/>
          </w:tcPr>
          <w:p>
            <w:pPr>
              <w:ind w:left="47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 +</w:t>
            </w:r>
          </w:p>
        </w:tc>
        <w:tc>
          <w:tcPr>
            <w:tcW w:w="120" w:type="dxa"/>
            <w:vAlign w:val="bottom"/>
            <w:shd w:val="clear" w:color="auto" w:fill="CCEEFF"/>
          </w:tcPr>
          <w:p>
            <w:pPr>
              <w:spacing w:after="0"/>
              <w:rPr>
                <w:sz w:val="18"/>
                <w:szCs w:val="18"/>
                <w:color w:val="auto"/>
              </w:rPr>
            </w:pPr>
          </w:p>
        </w:tc>
        <w:tc>
          <w:tcPr>
            <w:tcW w:w="10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Exclusive License and Sublicense Agreement by and between VistaGen Therapeutics, Inc. and Apollo Biologics LP, effective December 9, 2016,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Certification of the Principal Executive Officer required by Rule 13a-14(a) under the Securities Exchange Act of 1934, as amended, as adopted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 adopted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pursuant to Section 302 of the Sarbanes-Oxley Act of 2002</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040" w:hanging="1032"/>
        <w:spacing w:after="0" w:line="268"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Certification of the Principal Executive and Financial Officers required by Rule 13a-14(b) and Section 1350 of Chapter 63 of Title 18 of the United States Code,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2466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101.INS</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Instance Document</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560" w:type="dxa"/>
            <w:vAlign w:val="bottom"/>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8" w:lineRule="exact"/>
        <w:rPr>
          <w:sz w:val="20"/>
          <w:szCs w:val="20"/>
          <w:color w:val="auto"/>
        </w:rPr>
      </w:pPr>
    </w:p>
    <w:p>
      <w:pPr>
        <w:jc w:val="both"/>
        <w:ind w:left="340" w:hanging="332"/>
        <w:spacing w:after="0" w:line="259"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confidential portions of this exhibit pursuant to Rule 24b-2 under the Securities Exchange Act of 1934. In accordance with Rule 24b-2, these confidential portions have been omitted from this exhibit and filed separately with the Securities and Exchange Commission.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(Principal Financial and Accounting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2017</w:t>
      </w:r>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22"/>
          <w:szCs w:val="22"/>
          <w:color w:val="auto"/>
        </w:rPr>
        <w:t>-</w:t>
      </w: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557" w:right="49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XECUTION</w:t>
      </w:r>
      <w:r>
        <w:rPr>
          <w:rFonts w:ascii="Arial" w:cs="Arial" w:eastAsia="Arial" w:hAnsi="Arial"/>
          <w:sz w:val="18"/>
          <w:szCs w:val="18"/>
          <w:color w:val="auto"/>
        </w:rPr>
        <w:t xml:space="preserve"> V</w:t>
      </w:r>
      <w:r>
        <w:rPr>
          <w:rFonts w:ascii="Arial" w:cs="Arial" w:eastAsia="Arial" w:hAnsi="Arial"/>
          <w:sz w:val="12"/>
          <w:szCs w:val="12"/>
          <w:color w:val="auto"/>
        </w:rPr>
        <w:t>ERSION</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EXCLUSIVE LICENSE AND SUBLICENSE AGREEMENT</w:t>
      </w:r>
    </w:p>
    <w:p>
      <w:pPr>
        <w:spacing w:after="0" w:line="200" w:lineRule="exact"/>
        <w:rPr>
          <w:sz w:val="20"/>
          <w:szCs w:val="20"/>
          <w:color w:val="auto"/>
        </w:rPr>
      </w:pPr>
    </w:p>
    <w:p>
      <w:pPr>
        <w:spacing w:after="0" w:line="24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4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VISTAGEN THERAPEUTICS, INC.</w:t>
      </w:r>
    </w:p>
    <w:p>
      <w:pPr>
        <w:spacing w:after="0" w:line="200" w:lineRule="exact"/>
        <w:rPr>
          <w:sz w:val="20"/>
          <w:szCs w:val="20"/>
          <w:color w:val="auto"/>
        </w:rPr>
      </w:pPr>
    </w:p>
    <w:p>
      <w:pPr>
        <w:spacing w:after="0" w:line="24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APOLLO BIOLOGICS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1451610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color w:val="auto"/>
        </w:rPr>
        <w:t>EXCLUSIVE LICENSE AND SUBLICENSE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This Agreement is effective as of December 9, 2016 (the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VistaGen Therapeutics, Inc., a California corporation located at 343 Allerton Avenue, South San Francisco, CA 94080 (“</w:t>
      </w:r>
      <w:r>
        <w:rPr>
          <w:rFonts w:ascii="Arial" w:cs="Arial" w:eastAsia="Arial" w:hAnsi="Arial"/>
          <w:sz w:val="18"/>
          <w:szCs w:val="18"/>
          <w:u w:val="single" w:color="auto"/>
          <w:color w:val="auto"/>
        </w:rPr>
        <w:t>VistaGen</w:t>
      </w:r>
      <w:r>
        <w:rPr>
          <w:rFonts w:ascii="Arial" w:cs="Arial" w:eastAsia="Arial" w:hAnsi="Arial"/>
          <w:sz w:val="18"/>
          <w:szCs w:val="18"/>
          <w:color w:val="auto"/>
        </w:rPr>
        <w:t>”), and Apollo Biologics LP, a Delaware limited partnership located at c/o Versant Venture Management, LLC, One Sansome, Suite 3630, San Francisco, CA 94104 (“</w:t>
      </w:r>
      <w:r>
        <w:rPr>
          <w:rFonts w:ascii="Arial" w:cs="Arial" w:eastAsia="Arial" w:hAnsi="Arial"/>
          <w:sz w:val="18"/>
          <w:szCs w:val="18"/>
          <w:u w:val="single" w:color="auto"/>
          <w:color w:val="auto"/>
        </w:rPr>
        <w:t>Apollo</w:t>
      </w:r>
      <w:r>
        <w:rPr>
          <w:rFonts w:ascii="Arial" w:cs="Arial" w:eastAsia="Arial" w:hAnsi="Arial"/>
          <w:sz w:val="18"/>
          <w:szCs w:val="18"/>
          <w:color w:val="auto"/>
        </w:rPr>
        <w:t>”). VistaGen and Apollo are each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VistaGen and University Health Network (“</w:t>
      </w:r>
      <w:r>
        <w:rPr>
          <w:rFonts w:ascii="Arial" w:cs="Arial" w:eastAsia="Arial" w:hAnsi="Arial"/>
          <w:sz w:val="18"/>
          <w:szCs w:val="18"/>
          <w:u w:val="single" w:color="auto"/>
          <w:color w:val="auto"/>
        </w:rPr>
        <w:t>UHN</w:t>
      </w:r>
      <w:r>
        <w:rPr>
          <w:rFonts w:ascii="Arial" w:cs="Arial" w:eastAsia="Arial" w:hAnsi="Arial"/>
          <w:sz w:val="18"/>
          <w:szCs w:val="18"/>
          <w:color w:val="auto"/>
        </w:rPr>
        <w:t>”) entered into that certain (i) License Agreement, [*****] (“</w:t>
      </w:r>
      <w:r>
        <w:rPr>
          <w:rFonts w:ascii="Arial" w:cs="Arial" w:eastAsia="Arial" w:hAnsi="Arial"/>
          <w:sz w:val="18"/>
          <w:szCs w:val="18"/>
          <w:u w:val="single" w:color="auto"/>
          <w:color w:val="auto"/>
        </w:rPr>
        <w:t>License Agreement Number</w:t>
      </w:r>
      <w:r>
        <w:rPr>
          <w:rFonts w:ascii="Arial" w:cs="Arial" w:eastAsia="Arial" w:hAnsi="Arial"/>
          <w:sz w:val="18"/>
          <w:szCs w:val="18"/>
          <w:color w:val="auto"/>
        </w:rPr>
        <w:t xml:space="preserve"> </w:t>
      </w:r>
      <w:r>
        <w:rPr>
          <w:rFonts w:ascii="Arial" w:cs="Arial" w:eastAsia="Arial" w:hAnsi="Arial"/>
          <w:sz w:val="18"/>
          <w:szCs w:val="18"/>
          <w:u w:val="single" w:color="auto"/>
          <w:color w:val="auto"/>
        </w:rPr>
        <w:t>One</w:t>
      </w:r>
      <w:r>
        <w:rPr>
          <w:rFonts w:ascii="Arial" w:cs="Arial" w:eastAsia="Arial" w:hAnsi="Arial"/>
          <w:sz w:val="18"/>
          <w:szCs w:val="18"/>
          <w:color w:val="auto"/>
        </w:rPr>
        <w:t>”), (ii) License Agreement, [*****] (“</w:t>
      </w:r>
      <w:r>
        <w:rPr>
          <w:rFonts w:ascii="Arial" w:cs="Arial" w:eastAsia="Arial" w:hAnsi="Arial"/>
          <w:sz w:val="18"/>
          <w:szCs w:val="18"/>
          <w:u w:val="single" w:color="auto"/>
          <w:color w:val="auto"/>
        </w:rPr>
        <w:t>License Agreement Number Two</w:t>
      </w:r>
      <w:r>
        <w:rPr>
          <w:rFonts w:ascii="Arial" w:cs="Arial" w:eastAsia="Arial" w:hAnsi="Arial"/>
          <w:sz w:val="18"/>
          <w:szCs w:val="18"/>
          <w:color w:val="auto"/>
        </w:rPr>
        <w:t>”), (iii) License Agreement, [*****] (“</w:t>
      </w:r>
      <w:r>
        <w:rPr>
          <w:rFonts w:ascii="Arial" w:cs="Arial" w:eastAsia="Arial" w:hAnsi="Arial"/>
          <w:sz w:val="18"/>
          <w:szCs w:val="18"/>
          <w:u w:val="single" w:color="auto"/>
          <w:color w:val="auto"/>
        </w:rPr>
        <w:t>License Agreement Number Three</w:t>
      </w:r>
      <w:r>
        <w:rPr>
          <w:rFonts w:ascii="Arial" w:cs="Arial" w:eastAsia="Arial" w:hAnsi="Arial"/>
          <w:sz w:val="18"/>
          <w:szCs w:val="18"/>
          <w:color w:val="auto"/>
        </w:rPr>
        <w:t>”) and (iv) License Agreement, [*****] (“</w:t>
      </w:r>
      <w:r>
        <w:rPr>
          <w:rFonts w:ascii="Arial" w:cs="Arial" w:eastAsia="Arial" w:hAnsi="Arial"/>
          <w:sz w:val="18"/>
          <w:szCs w:val="18"/>
          <w:u w:val="single" w:color="auto"/>
          <w:color w:val="auto"/>
        </w:rPr>
        <w:t>License Agreement Number Four</w:t>
      </w:r>
      <w:r>
        <w:rPr>
          <w:rFonts w:ascii="Arial" w:cs="Arial" w:eastAsia="Arial" w:hAnsi="Arial"/>
          <w:sz w:val="18"/>
          <w:szCs w:val="18"/>
          <w:color w:val="auto"/>
        </w:rPr>
        <w:t>” and together with License Agreement Number One, License Agreement Number Two, License Agreement Number Three and any additional license agreement entered into between UHN and VistaGen in accordance with Section 2.5 below, each a “</w:t>
      </w:r>
      <w:r>
        <w:rPr>
          <w:rFonts w:ascii="Arial" w:cs="Arial" w:eastAsia="Arial" w:hAnsi="Arial"/>
          <w:sz w:val="18"/>
          <w:szCs w:val="18"/>
          <w:u w:val="single" w:color="auto"/>
          <w:color w:val="auto"/>
        </w:rPr>
        <w:t>License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License Agreements</w:t>
      </w:r>
      <w:r>
        <w:rPr>
          <w:rFonts w:ascii="Arial" w:cs="Arial" w:eastAsia="Arial" w:hAnsi="Arial"/>
          <w:sz w:val="18"/>
          <w:szCs w:val="18"/>
          <w:color w:val="auto"/>
        </w:rPr>
        <w:t>”);</w:t>
      </w:r>
    </w:p>
    <w:p>
      <w:pPr>
        <w:spacing w:after="0" w:line="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WHEREAS, VistaGen and UHN have entered into that certain Patent License Amendment Agreement, dated as of December 9, 2016, pursuant to which each License Agreement is amended;</w:t>
      </w:r>
    </w:p>
    <w:p>
      <w:pPr>
        <w:spacing w:after="0" w:line="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pursuant to each License Agreement, VistaGen is the exclusive licensee, with the right to grant sublicenses (through multiple tiers), of all right, title and interest in the Licensed IP, subject only to a royalty-free, nonexclusive, non-transferable license to practice the Licensed IP granted by UHN to the United States Government for governmental purposes;</w:t>
      </w:r>
    </w:p>
    <w:p>
      <w:pPr>
        <w:spacing w:after="0" w:line="86"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WHEREAS, Apollo desires to obtain, and VistaGen is willing to grant, (i) an exclusive sublicense under the Licensed IP in the Apollo Field of Use in accordance with each License Agreement, (ii) an exclusive license under the Present Improvements in the Apollo Field of Use under the terms of this Agreement and (iii) a non-exclusive license under the Future Improvements in the Apollo Field of Use, in each case of (i)-(iii), under the terms of this Agreement; and</w:t>
      </w:r>
    </w:p>
    <w:p>
      <w:pPr>
        <w:spacing w:after="0" w:line="53"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WHEREAS, prior to entering into this Agreement, VistaGen has delivered sufficient evidence reasonably satisfactory to Apollo that (i) the Sponsored Research Collaboration Agreement by and between UHN and VistaGen, dated as of September 18, 2007, as amended from time to time (the “</w:t>
      </w:r>
      <w:r>
        <w:rPr>
          <w:rFonts w:ascii="Arial" w:cs="Arial" w:eastAsia="Arial" w:hAnsi="Arial"/>
          <w:sz w:val="16"/>
          <w:szCs w:val="16"/>
          <w:u w:val="single" w:color="auto"/>
          <w:color w:val="auto"/>
        </w:rPr>
        <w:t>VistaGen SRA</w:t>
      </w:r>
      <w:r>
        <w:rPr>
          <w:rFonts w:ascii="Arial" w:cs="Arial" w:eastAsia="Arial" w:hAnsi="Arial"/>
          <w:sz w:val="16"/>
          <w:szCs w:val="16"/>
          <w:color w:val="auto"/>
        </w:rPr>
        <w:t>”) has been terminated and (ii) the Strategic Consulting Agreement by and between VistaGen and Gordon Keller, Ph.D., dated as of August 1, 2014 has been appropriately amended to allow Dr. Keller to enter into a new consulting agreement with Apollo.</w:t>
      </w:r>
    </w:p>
    <w:p>
      <w:pPr>
        <w:spacing w:after="0" w:line="5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NOW, THEREFORE, in consideration of the promises and mutual covenants herein contained and for other good and valuable consideration, the adequacy and receipt of which are hereby acknowledged, VistaGen and Apollo hereby agree as follows: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1.1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any entity which directly or indirectly controls, or is controlled by, or is under common control with, a Party. The term “control” as used herein means (a) in the case of corporate entities, direct or indirect ownership of at least fifty percent (50%) of the stock or shares entitled to vote for the election of directors; or (b) with the power to direct the management and policies of such entities.</w:t>
      </w:r>
    </w:p>
    <w:p>
      <w:pPr>
        <w:spacing w:after="0" w:line="22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Apollo Field of Use</w:t>
      </w:r>
      <w:r>
        <w:rPr>
          <w:rFonts w:ascii="Arial" w:cs="Arial" w:eastAsia="Arial" w:hAnsi="Arial"/>
          <w:sz w:val="16"/>
          <w:szCs w:val="16"/>
          <w:color w:val="auto"/>
        </w:rPr>
        <w:t>” shall mean [*****] cardiac cell therapy [*****], including for use in human medical or veterinary purposes [*****].</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1.3 “</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7 or Title 11 U.S. Code, or any similar federal, state (or with respect to Canada, provincial) or foreign law for the relief of debtors.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1.4 “</w:t>
      </w:r>
      <w:r>
        <w:rPr>
          <w:rFonts w:ascii="Arial" w:cs="Arial" w:eastAsia="Arial" w:hAnsi="Arial"/>
          <w:sz w:val="16"/>
          <w:szCs w:val="16"/>
          <w:u w:val="single" w:color="auto"/>
          <w:color w:val="auto"/>
        </w:rPr>
        <w:t>Biosimilar Product</w:t>
      </w:r>
      <w:r>
        <w:rPr>
          <w:rFonts w:ascii="Arial" w:cs="Arial" w:eastAsia="Arial" w:hAnsi="Arial"/>
          <w:sz w:val="16"/>
          <w:szCs w:val="16"/>
          <w:color w:val="auto"/>
        </w:rPr>
        <w:t>” shall mean, with respect to a Licensed Product and on a country-by-country basis, a product that (i) is marketed for sale in such country by a third party (not licensed, supplied or otherwise permitted by a Party or its Affiliates or Sublicensees); (ii) contains the corresponding Licensed Product or substantial equivalent as an active pharmaceutical ingredient in such country; and (iii) such product, as and to the extent required, is approved through an abbreviated process (similar, with respect to the United States, to an Abbreviated New Drug Applications under Section 505(j) of the FD&amp;C Act (21 USC 355(j)) or is approved as a “Biosimilar Biologic Product” under Title VII, Subtitle A Biologics Price Competition and Innovation Act of 2009, Section 42 U.S.C. 262, Section 351 of the PHSA, or, outside the United States, in accordance with European Directive 2001/83/EC on the Community Code for medicinal products (Article 10(4) and Section 4, Part II of Annex I) and European Regulation EEC/2309/93 establishing the Community procedures for the authorization and evaluation of medicinal products, each as amended, and together with all associated guidance, and any counterparts thereof or equivalent process inside or outside of the United States or European Union to the foregoing.</w:t>
      </w:r>
    </w:p>
    <w:p>
      <w:pPr>
        <w:spacing w:after="0" w:line="20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Calendar Year</w:t>
      </w:r>
      <w:r>
        <w:rPr>
          <w:rFonts w:ascii="Arial" w:cs="Arial" w:eastAsia="Arial" w:hAnsi="Arial"/>
          <w:sz w:val="15"/>
          <w:szCs w:val="15"/>
          <w:color w:val="auto"/>
        </w:rPr>
        <w:t>” means each successive period of twelve (12) months commencing on January 1 and ending on December 31.</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1.6 “</w:t>
      </w:r>
      <w:r>
        <w:rPr>
          <w:rFonts w:ascii="Arial" w:cs="Arial" w:eastAsia="Arial" w:hAnsi="Arial"/>
          <w:sz w:val="18"/>
          <w:szCs w:val="18"/>
          <w:u w:val="single" w:color="auto"/>
          <w:color w:val="auto"/>
        </w:rPr>
        <w:t>Combination Product</w:t>
      </w:r>
      <w:r>
        <w:rPr>
          <w:rFonts w:ascii="Arial" w:cs="Arial" w:eastAsia="Arial" w:hAnsi="Arial"/>
          <w:sz w:val="18"/>
          <w:szCs w:val="18"/>
          <w:color w:val="auto"/>
        </w:rPr>
        <w:t>” shall mean any Revenue Bearing Product sold or used in combination with one or more other products or components which are not Revenue Bearing Products.</w:t>
      </w:r>
    </w:p>
    <w:p>
      <w:pPr>
        <w:spacing w:after="0" w:line="21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United States Food and Drug Administration or its successor.</w:t>
      </w:r>
    </w:p>
    <w:p>
      <w:pPr>
        <w:spacing w:after="0" w:line="25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Field of Use</w:t>
      </w:r>
      <w:r>
        <w:rPr>
          <w:rFonts w:ascii="Arial" w:cs="Arial" w:eastAsia="Arial" w:hAnsi="Arial"/>
          <w:sz w:val="16"/>
          <w:szCs w:val="16"/>
          <w:color w:val="auto"/>
        </w:rPr>
        <w:t>” shall mean the Apollo Field of Use or the VistaGen Field of Use, as applicable.</w:t>
      </w:r>
    </w:p>
    <w:p>
      <w:pPr>
        <w:spacing w:after="0" w:line="25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1.9 “</w:t>
      </w:r>
      <w:r>
        <w:rPr>
          <w:rFonts w:ascii="Arial" w:cs="Arial" w:eastAsia="Arial" w:hAnsi="Arial"/>
          <w:sz w:val="16"/>
          <w:szCs w:val="16"/>
          <w:u w:val="single" w:color="auto"/>
          <w:color w:val="auto"/>
        </w:rPr>
        <w:t>First Commercial Sale</w:t>
      </w:r>
      <w:r>
        <w:rPr>
          <w:rFonts w:ascii="Arial" w:cs="Arial" w:eastAsia="Arial" w:hAnsi="Arial"/>
          <w:sz w:val="16"/>
          <w:szCs w:val="16"/>
          <w:color w:val="auto"/>
        </w:rPr>
        <w:t>” shall mean, with respect to a Licensed Product and a country, the first sale to an independent third party in such country after all Regulatory Approvals, including any pricing or reimbursement approvals, as applicable, have been obtained in such country.</w:t>
      </w:r>
    </w:p>
    <w:p>
      <w:pPr>
        <w:spacing w:after="0" w:line="166"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Future Improvement</w:t>
      </w:r>
      <w:r>
        <w:rPr>
          <w:rFonts w:ascii="Arial" w:cs="Arial" w:eastAsia="Arial" w:hAnsi="Arial"/>
          <w:sz w:val="15"/>
          <w:szCs w:val="15"/>
          <w:color w:val="auto"/>
        </w:rPr>
        <w:t>” shall mean an Improvement created, conceived or reduced to practice after the Effective Date.</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Future Improvement Patent Rights</w:t>
      </w:r>
      <w:r>
        <w:rPr>
          <w:rFonts w:ascii="Arial" w:cs="Arial" w:eastAsia="Arial" w:hAnsi="Arial"/>
          <w:sz w:val="16"/>
          <w:szCs w:val="16"/>
          <w:color w:val="auto"/>
        </w:rPr>
        <w:t>” shall mean the patent rights within any Future Improvements.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u w:val="single" w:color="auto"/>
          <w:color w:val="auto"/>
        </w:rPr>
        <w:t>[*****] Transaction Agreement</w:t>
      </w:r>
      <w:r>
        <w:rPr>
          <w:rFonts w:ascii="Arial" w:cs="Arial" w:eastAsia="Arial" w:hAnsi="Arial"/>
          <w:sz w:val="18"/>
          <w:szCs w:val="18"/>
          <w:color w:val="auto"/>
        </w:rPr>
        <w:t>” shall mean an agreement pursuant to which Apollo or any of its Affiliates has [*****] either solely in [*****] or in [*****] and one or more of the following countries: [*****]. For clarity, an agreement pursuant to which Apollo or any of its Affiliates have [*****] in regions in addition to [*****] or one or more of the countries listed above (including globally) shall not be considered a “[*****] Transaction Agreement” hereunder.</w:t>
      </w:r>
    </w:p>
    <w:p>
      <w:pPr>
        <w:spacing w:after="0" w:line="2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u w:val="single" w:color="auto"/>
          <w:color w:val="auto"/>
        </w:rPr>
        <w:t>Licensed IP</w:t>
      </w:r>
      <w:r>
        <w:rPr>
          <w:rFonts w:ascii="Arial" w:cs="Arial" w:eastAsia="Arial" w:hAnsi="Arial"/>
          <w:sz w:val="18"/>
          <w:szCs w:val="18"/>
          <w:color w:val="auto"/>
        </w:rPr>
        <w:t>” shall mean all rights licensed or otherwise granted to VistaGen from UHN under each License Agreement, including the UHN Patent Rights.</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Licensed Product</w:t>
      </w:r>
      <w:r>
        <w:rPr>
          <w:rFonts w:ascii="Arial" w:cs="Arial" w:eastAsia="Arial" w:hAnsi="Arial"/>
          <w:sz w:val="16"/>
          <w:szCs w:val="16"/>
          <w:color w:val="auto"/>
        </w:rPr>
        <w:t>” shall mean [*****].</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Improvements</w:t>
      </w:r>
      <w:r>
        <w:rPr>
          <w:rFonts w:ascii="Arial" w:cs="Arial" w:eastAsia="Arial" w:hAnsi="Arial"/>
          <w:sz w:val="16"/>
          <w:szCs w:val="16"/>
          <w:color w:val="auto"/>
        </w:rPr>
        <w:t>” means any and all [*****].</w:t>
      </w:r>
    </w:p>
    <w:p>
      <w:pPr>
        <w:spacing w:after="0" w:line="252" w:lineRule="exact"/>
        <w:rPr>
          <w:sz w:val="20"/>
          <w:szCs w:val="20"/>
          <w:color w:val="auto"/>
        </w:rPr>
      </w:pPr>
    </w:p>
    <w:p>
      <w:pPr>
        <w:ind w:right="20" w:firstLine="648"/>
        <w:spacing w:after="0" w:line="306"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u w:val="single" w:color="auto"/>
          <w:color w:val="auto"/>
        </w:rPr>
        <w:t>IND</w:t>
      </w:r>
      <w:r>
        <w:rPr>
          <w:rFonts w:ascii="Arial" w:cs="Arial" w:eastAsia="Arial" w:hAnsi="Arial"/>
          <w:sz w:val="16"/>
          <w:szCs w:val="16"/>
          <w:color w:val="auto"/>
        </w:rPr>
        <w:t>” means (a) an Investigational New Drug Application as defined in the United States Federal Food, Drug and Cosmetic Act, as amended, and applicable regulations promulgated thereunder by the FDA, or (b) the equivalent application to the equivalent regulatory authority in any other regulatory jurisdiction, the filing of which is necessary to initiate or conduct clinical testing of a biologic or pharmaceutical product candidate in humans in such jurisdiction.</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w:t>
      </w:r>
    </w:p>
    <w:p>
      <w:pPr>
        <w:spacing w:after="0" w:line="252" w:lineRule="exact"/>
        <w:rPr>
          <w:sz w:val="20"/>
          <w:szCs w:val="20"/>
          <w:color w:val="auto"/>
        </w:rPr>
      </w:pPr>
    </w:p>
    <w:p>
      <w:pPr>
        <w:ind w:left="1720" w:hanging="415"/>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720" w:hanging="415"/>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720" w:hanging="415"/>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720" w:hanging="415"/>
        <w:spacing w:after="0"/>
        <w:tabs>
          <w:tab w:leader="none" w:pos="1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event that a Revenue Bearing Product is sold as a Combination Product, Net Sales, for the purposes of determining royalty payments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Combination Product, shall mean [*****]:</w:t>
      </w:r>
    </w:p>
    <w:p>
      <w:pPr>
        <w:spacing w:after="0" w:line="138" w:lineRule="exact"/>
        <w:rPr>
          <w:sz w:val="20"/>
          <w:szCs w:val="20"/>
          <w:color w:val="auto"/>
        </w:rPr>
      </w:pPr>
    </w:p>
    <w:p>
      <w:pPr>
        <w:ind w:left="3640" w:hanging="391"/>
        <w:spacing w:after="0"/>
        <w:tabs>
          <w:tab w:leader="none" w:pos="3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3680" w:hanging="431"/>
        <w:spacing w:after="0"/>
        <w:tabs>
          <w:tab w:leader="none" w:pos="3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u w:val="single" w:color="auto"/>
          <w:color w:val="auto"/>
        </w:rPr>
        <w:t>Orphan Indication</w:t>
      </w:r>
      <w:r>
        <w:rPr>
          <w:rFonts w:ascii="Arial" w:cs="Arial" w:eastAsia="Arial" w:hAnsi="Arial"/>
          <w:sz w:val="18"/>
          <w:szCs w:val="18"/>
          <w:color w:val="auto"/>
        </w:rPr>
        <w:t>” means a disease or condition for which a product intended to treat such disease or condition has received orphan drug status from the FDA or European Medicines Agency (the “</w:t>
      </w:r>
      <w:r>
        <w:rPr>
          <w:rFonts w:ascii="Arial" w:cs="Arial" w:eastAsia="Arial" w:hAnsi="Arial"/>
          <w:sz w:val="18"/>
          <w:szCs w:val="18"/>
          <w:u w:val="single" w:color="auto"/>
          <w:color w:val="auto"/>
        </w:rPr>
        <w:t>EMA</w:t>
      </w:r>
      <w:r>
        <w:rPr>
          <w:rFonts w:ascii="Arial" w:cs="Arial" w:eastAsia="Arial" w:hAnsi="Arial"/>
          <w:sz w:val="18"/>
          <w:szCs w:val="18"/>
          <w:color w:val="auto"/>
        </w:rPr>
        <w:t>”).</w:t>
      </w:r>
    </w:p>
    <w:p>
      <w:pPr>
        <w:spacing w:after="0" w:line="213"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u w:val="single" w:color="auto"/>
          <w:color w:val="auto"/>
        </w:rPr>
        <w:t>Phase 2 Clinical Trial</w:t>
      </w:r>
      <w:r>
        <w:rPr>
          <w:rFonts w:ascii="Arial" w:cs="Arial" w:eastAsia="Arial" w:hAnsi="Arial"/>
          <w:sz w:val="18"/>
          <w:szCs w:val="18"/>
          <w:color w:val="auto"/>
        </w:rPr>
        <w:t>” means a human clinical trial of a product, the principal purpose of which is a determination of safety and efficacy in the target patient population, as described in 21 C.F.R. 312.21(b) (as amended or any replacement thereof), or a similar clinical trial prescribed by the regulatory authority in a country other than the United States.</w:t>
      </w:r>
    </w:p>
    <w:p>
      <w:pPr>
        <w:spacing w:after="0" w:line="221"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1.20 “</w:t>
      </w:r>
      <w:r>
        <w:rPr>
          <w:rFonts w:ascii="Arial" w:cs="Arial" w:eastAsia="Arial" w:hAnsi="Arial"/>
          <w:sz w:val="16"/>
          <w:szCs w:val="16"/>
          <w:u w:val="single" w:color="auto"/>
          <w:color w:val="auto"/>
        </w:rPr>
        <w:t>Phase 3 Clinical Trial</w:t>
      </w:r>
      <w:r>
        <w:rPr>
          <w:rFonts w:ascii="Arial" w:cs="Arial" w:eastAsia="Arial" w:hAnsi="Arial"/>
          <w:sz w:val="16"/>
          <w:szCs w:val="16"/>
          <w:color w:val="auto"/>
        </w:rPr>
        <w:t>” means a human clinical trial of a product, the design of which is acknowledged by the FDA to be sufficient for such clinical trial to satisfy the requirements of 21 C.F.R. 312.21(c) (as amended or any replacement thereof), or a similar human clinical trial prescribed by the regulatory authority to be sufficient for such clinical trial to satisfy the requirements of a pivotal efficacy and safety clinical trial.</w:t>
      </w:r>
    </w:p>
    <w:p>
      <w:pPr>
        <w:spacing w:after="0" w:line="188"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Present Improvement</w:t>
      </w:r>
      <w:r>
        <w:rPr>
          <w:rFonts w:ascii="Arial" w:cs="Arial" w:eastAsia="Arial" w:hAnsi="Arial"/>
          <w:sz w:val="16"/>
          <w:szCs w:val="16"/>
          <w:color w:val="auto"/>
        </w:rPr>
        <w:t>” shall mean any Improvement in existence on the Effective Date.</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u w:val="single" w:color="auto"/>
          <w:color w:val="auto"/>
        </w:rPr>
        <w:t>Regulatory Approval</w:t>
      </w:r>
      <w:r>
        <w:rPr>
          <w:rFonts w:ascii="Arial" w:cs="Arial" w:eastAsia="Arial" w:hAnsi="Arial"/>
          <w:sz w:val="18"/>
          <w:szCs w:val="18"/>
          <w:color w:val="auto"/>
        </w:rPr>
        <w:t>” means all approvals necessary for the manufacture, marketing, importation and sale of a product for one or more indications in a country or regulatory jurisdiction, which may include satisfaction of all applicable regulatory and notification requirements, including any pricing and reimbursement approvals. Regulatory Approvals include approvals by regulatory authorities of INDs, marketing authorization approvals, new drug applications or biologics license applications.</w:t>
      </w:r>
    </w:p>
    <w:p>
      <w:pPr>
        <w:spacing w:after="0" w:line="22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Reporting Period</w:t>
      </w:r>
      <w:r>
        <w:rPr>
          <w:rFonts w:ascii="Arial" w:cs="Arial" w:eastAsia="Arial" w:hAnsi="Arial"/>
          <w:sz w:val="15"/>
          <w:szCs w:val="15"/>
          <w:color w:val="auto"/>
        </w:rPr>
        <w:t>” shall begin on the first day of each calendar quarter and end on the last day of such calendar quarter.</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Revenue Bearing Products</w:t>
      </w:r>
      <w:r>
        <w:rPr>
          <w:rFonts w:ascii="Arial" w:cs="Arial" w:eastAsia="Arial" w:hAnsi="Arial"/>
          <w:sz w:val="16"/>
          <w:szCs w:val="16"/>
          <w:color w:val="auto"/>
        </w:rPr>
        <w:t>” shall mean a Licensed Product [*****].</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Sublicensee</w:t>
      </w:r>
      <w:r>
        <w:rPr>
          <w:rFonts w:ascii="Arial" w:cs="Arial" w:eastAsia="Arial" w:hAnsi="Arial"/>
          <w:sz w:val="15"/>
          <w:szCs w:val="15"/>
          <w:color w:val="auto"/>
        </w:rPr>
        <w:t>” shall mean any non-Affiliate sub-sublicensee or sublicensee, as applicable, of the rights granted by Apollo pursuant to Section 2.2.</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shall have the meaning set forth in Section 12.1.</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Territory</w:t>
      </w:r>
      <w:r>
        <w:rPr>
          <w:rFonts w:ascii="Arial" w:cs="Arial" w:eastAsia="Arial" w:hAnsi="Arial"/>
          <w:sz w:val="16"/>
          <w:szCs w:val="16"/>
          <w:color w:val="auto"/>
        </w:rPr>
        <w:t>” shall mean worldwide.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ind w:left="760"/>
        <w:spacing w:after="0"/>
        <w:tabs>
          <w:tab w:leader="none" w:pos="126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UHN Patent Rights</w:t>
      </w:r>
      <w:r>
        <w:rPr>
          <w:rFonts w:ascii="Arial" w:cs="Arial" w:eastAsia="Arial" w:hAnsi="Arial"/>
          <w:sz w:val="16"/>
          <w:szCs w:val="16"/>
          <w:color w:val="auto"/>
        </w:rPr>
        <w:t>” shall mean:</w:t>
      </w:r>
    </w:p>
    <w:p>
      <w:pPr>
        <w:spacing w:after="0" w:line="252" w:lineRule="exact"/>
        <w:rPr>
          <w:sz w:val="20"/>
          <w:szCs w:val="20"/>
          <w:color w:val="auto"/>
        </w:rPr>
      </w:pPr>
    </w:p>
    <w:p>
      <w:pPr>
        <w:ind w:left="1720" w:hanging="415"/>
        <w:spacing w:after="0"/>
        <w:tabs>
          <w:tab w:leader="none" w:pos="17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United States and international patents licensed to VistaGen from UHN pursuant to each License Agreement, including those listed 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38" w:lineRule="exact"/>
        <w:rPr>
          <w:sz w:val="20"/>
          <w:szCs w:val="20"/>
          <w:color w:val="auto"/>
        </w:rPr>
      </w:pPr>
    </w:p>
    <w:p>
      <w:pPr>
        <w:ind w:firstLine="1305"/>
        <w:spacing w:after="0" w:line="268" w:lineRule="auto"/>
        <w:tabs>
          <w:tab w:leader="none" w:pos="17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United States and international patent applications and provisional applications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04" w:lineRule="exact"/>
        <w:rPr>
          <w:rFonts w:ascii="Arial" w:cs="Arial" w:eastAsia="Arial" w:hAnsi="Arial"/>
          <w:sz w:val="18"/>
          <w:szCs w:val="18"/>
          <w:color w:val="auto"/>
        </w:rPr>
      </w:pPr>
    </w:p>
    <w:p>
      <w:pPr>
        <w:jc w:val="both"/>
        <w:ind w:firstLine="1305"/>
        <w:spacing w:after="0" w:line="253" w:lineRule="auto"/>
        <w:tabs>
          <w:tab w:leader="none" w:pos="17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any patent applications claiming priority from the patents, patent applications, or provisional applications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any direct or indirect divisionals, continuations, continuation-in-part applications, and continued prosecution applications (and their relevant international equivalents) of the patent applications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of such patent applications claiming priority from the provisional applications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extent the claims are directed to subject matter specifically described in the patent applications licensed to VistaGen from UHN pursuant to each License Agreement, including those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and the resulting patents;</w:t>
      </w:r>
    </w:p>
    <w:p>
      <w:pPr>
        <w:spacing w:after="0" w:line="120" w:lineRule="exact"/>
        <w:rPr>
          <w:rFonts w:ascii="Arial" w:cs="Arial" w:eastAsia="Arial" w:hAnsi="Arial"/>
          <w:sz w:val="18"/>
          <w:szCs w:val="18"/>
          <w:color w:val="auto"/>
        </w:rPr>
      </w:pPr>
    </w:p>
    <w:p>
      <w:pPr>
        <w:ind w:firstLine="1305"/>
        <w:spacing w:after="0" w:line="268" w:lineRule="auto"/>
        <w:tabs>
          <w:tab w:leader="none" w:pos="17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patents resulting from reissues, reexaminations, or extensions (and their relevant international equivalents, including, without limitation supplementary protection certificates) of the patents described in clauses (a), (b) and (c) above; and</w:t>
      </w:r>
    </w:p>
    <w:p>
      <w:pPr>
        <w:spacing w:after="0" w:line="104" w:lineRule="exact"/>
        <w:rPr>
          <w:rFonts w:ascii="Arial" w:cs="Arial" w:eastAsia="Arial" w:hAnsi="Arial"/>
          <w:sz w:val="18"/>
          <w:szCs w:val="18"/>
          <w:color w:val="auto"/>
        </w:rPr>
      </w:pPr>
    </w:p>
    <w:p>
      <w:pPr>
        <w:jc w:val="both"/>
        <w:ind w:firstLine="1305"/>
        <w:spacing w:after="0" w:line="306" w:lineRule="auto"/>
        <w:tabs>
          <w:tab w:leader="none" w:pos="17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international (non-United States) patent applications and provisional applications filed after the Effective Date and the relevant international equivalents to divisionals, continuations, continuation-in-part applications and continued prosecution applications of the patent applications to the extent the claims are directed to subject matter specifically described in the patents or patent applications referred to in clauses (a), (b), (c) and (d) above.</w:t>
      </w:r>
    </w:p>
    <w:p>
      <w:pPr>
        <w:spacing w:after="0" w:line="5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Notwithstanding the foregoing, to the extent there is a conflict between the content of Exhibit A and that listed in Exhibit B of each License Agreement, the content of Exhibit B of each License Agreement shall control.</w:t>
      </w:r>
    </w:p>
    <w:p>
      <w:pPr>
        <w:spacing w:after="0" w:line="105"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Valid Claim</w:t>
      </w:r>
      <w:r>
        <w:rPr>
          <w:rFonts w:ascii="Arial" w:cs="Arial" w:eastAsia="Arial" w:hAnsi="Arial"/>
          <w:sz w:val="16"/>
          <w:szCs w:val="16"/>
          <w:color w:val="auto"/>
        </w:rPr>
        <w:t>” shall mean [*****].</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VistaGen Field of Use</w:t>
      </w:r>
      <w:r>
        <w:rPr>
          <w:rFonts w:ascii="Arial" w:cs="Arial" w:eastAsia="Arial" w:hAnsi="Arial"/>
          <w:sz w:val="16"/>
          <w:szCs w:val="16"/>
          <w:color w:val="auto"/>
        </w:rPr>
        <w:t>” shall mean all fields other than the Apollo Field of Use. [*****].</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 OF RIGHTS</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u w:val="single" w:color="auto"/>
          <w:color w:val="auto"/>
        </w:rPr>
        <w:t>License and Sublicense Grants.</w:t>
      </w:r>
    </w:p>
    <w:p>
      <w:pPr>
        <w:spacing w:after="0" w:line="252" w:lineRule="exact"/>
        <w:rPr>
          <w:sz w:val="20"/>
          <w:szCs w:val="20"/>
          <w:color w:val="auto"/>
        </w:rPr>
      </w:pPr>
    </w:p>
    <w:p>
      <w:pPr>
        <w:jc w:val="both"/>
        <w:ind w:firstLine="1305"/>
        <w:spacing w:after="0" w:line="298" w:lineRule="auto"/>
        <w:tabs>
          <w:tab w:leader="none" w:pos="1721" w:val="left"/>
        </w:tabs>
        <w:numPr>
          <w:ilvl w:val="0"/>
          <w:numId w:val="40"/>
        </w:numPr>
        <w:rPr>
          <w:rFonts w:ascii="Arial" w:cs="Arial" w:eastAsia="Arial" w:hAnsi="Arial"/>
          <w:sz w:val="16"/>
          <w:szCs w:val="16"/>
          <w:color w:val="auto"/>
        </w:rPr>
      </w:pPr>
      <w:r>
        <w:rPr>
          <w:rFonts w:ascii="Arial" w:cs="Arial" w:eastAsia="Arial" w:hAnsi="Arial"/>
          <w:sz w:val="16"/>
          <w:szCs w:val="16"/>
          <w:color w:val="auto"/>
        </w:rPr>
        <w:t>VistaGen hereby grants to Apollo and its Affiliates for the Term a royalty-bearing, exclusive (even as to VistaGen and its Affiliates, except as set forth in Section 2.3) sublicense, with the right to grant further sublicenses (as provided in Section 2.2 below) through multiple tiers, under the Licensed IP,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85" w:lineRule="exact"/>
        <w:rPr>
          <w:rFonts w:ascii="Arial" w:cs="Arial" w:eastAsia="Arial" w:hAnsi="Arial"/>
          <w:sz w:val="16"/>
          <w:szCs w:val="16"/>
          <w:color w:val="auto"/>
        </w:rPr>
      </w:pPr>
    </w:p>
    <w:p>
      <w:pPr>
        <w:jc w:val="both"/>
        <w:ind w:firstLine="1305"/>
        <w:spacing w:after="0" w:line="256" w:lineRule="auto"/>
        <w:tabs>
          <w:tab w:leader="none" w:pos="1717" w:val="left"/>
        </w:tabs>
        <w:numPr>
          <w:ilvl w:val="0"/>
          <w:numId w:val="40"/>
        </w:numPr>
        <w:rPr>
          <w:rFonts w:ascii="Arial" w:cs="Arial" w:eastAsia="Arial" w:hAnsi="Arial"/>
          <w:sz w:val="18"/>
          <w:szCs w:val="18"/>
          <w:color w:val="auto"/>
        </w:rPr>
      </w:pPr>
      <w:r>
        <w:rPr>
          <w:rFonts w:ascii="Arial" w:cs="Arial" w:eastAsia="Arial" w:hAnsi="Arial"/>
          <w:sz w:val="18"/>
          <w:szCs w:val="18"/>
          <w:color w:val="auto"/>
        </w:rPr>
        <w:t>VistaGen hereby grants to Apollo and its Affiliates for the Term a royalty-free, exclusive (even as to VistaGen and its Affiliates) license, with the right to grant sublicenses (as provided in Section 2.2 below) through multiple tiers, under the Present Improvements,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firstLine="1305"/>
        <w:spacing w:after="0" w:line="256" w:lineRule="auto"/>
        <w:tabs>
          <w:tab w:leader="none" w:pos="17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VistaGen hereby grants to Apollo and its Affiliates for the Term a royalty-free, non-exclusive license, with the right to grant sublicenses (as provided in Section 2.2 below) through multiple tiers, under the Future Improvements, to research, develop, commercialize, make, have made, use, have used, sell, have sold, offer to sell, have offered for sale, import, have imported and otherwise exploit, itself and through third parties, Licensed Products in the Apollo Field of Use in the Territory.</w:t>
      </w:r>
    </w:p>
    <w:p>
      <w:pPr>
        <w:spacing w:after="0" w:line="116" w:lineRule="exact"/>
        <w:rPr>
          <w:rFonts w:ascii="Arial" w:cs="Arial" w:eastAsia="Arial" w:hAnsi="Arial"/>
          <w:sz w:val="18"/>
          <w:szCs w:val="18"/>
          <w:color w:val="auto"/>
        </w:rPr>
      </w:pPr>
    </w:p>
    <w:p>
      <w:pPr>
        <w:ind w:right="20" w:firstLine="1305"/>
        <w:spacing w:after="0" w:line="268" w:lineRule="auto"/>
        <w:tabs>
          <w:tab w:leader="none" w:pos="1717" w:val="left"/>
        </w:tabs>
        <w:numPr>
          <w:ilvl w:val="0"/>
          <w:numId w:val="42"/>
        </w:numPr>
        <w:rPr>
          <w:rFonts w:ascii="Arial" w:cs="Arial" w:eastAsia="Arial" w:hAnsi="Arial"/>
          <w:sz w:val="18"/>
          <w:szCs w:val="18"/>
          <w:color w:val="auto"/>
        </w:rPr>
      </w:pPr>
      <w:r>
        <w:rPr>
          <w:rFonts w:ascii="Arial" w:cs="Arial" w:eastAsia="Arial" w:hAnsi="Arial"/>
          <w:sz w:val="18"/>
          <w:szCs w:val="18"/>
          <w:color w:val="auto"/>
        </w:rPr>
        <w:t>VistaGen acknowledges and agrees that, during the Term, it shall not directly or indirectly grant any licenses, sublicenses or other rights inconsistent with this Section 2.1.</w:t>
      </w:r>
    </w:p>
    <w:p>
      <w:pPr>
        <w:spacing w:after="0" w:line="104" w:lineRule="exact"/>
        <w:rPr>
          <w:rFonts w:ascii="Arial" w:cs="Arial" w:eastAsia="Arial" w:hAnsi="Arial"/>
          <w:sz w:val="18"/>
          <w:szCs w:val="18"/>
          <w:color w:val="auto"/>
        </w:rPr>
      </w:pPr>
    </w:p>
    <w:p>
      <w:pPr>
        <w:ind w:right="20" w:firstLine="1305"/>
        <w:spacing w:after="0" w:line="332" w:lineRule="auto"/>
        <w:tabs>
          <w:tab w:leader="none" w:pos="1707" w:val="left"/>
        </w:tabs>
        <w:numPr>
          <w:ilvl w:val="0"/>
          <w:numId w:val="42"/>
        </w:numPr>
        <w:rPr>
          <w:rFonts w:ascii="Arial" w:cs="Arial" w:eastAsia="Arial" w:hAnsi="Arial"/>
          <w:sz w:val="16"/>
          <w:szCs w:val="16"/>
          <w:color w:val="auto"/>
        </w:rPr>
      </w:pPr>
      <w:r>
        <w:rPr>
          <w:rFonts w:ascii="Arial" w:cs="Arial" w:eastAsia="Arial" w:hAnsi="Arial"/>
          <w:sz w:val="16"/>
          <w:szCs w:val="16"/>
          <w:color w:val="auto"/>
        </w:rPr>
        <w:t>Apollo acknowledges and agrees that, during the Term, it, its Affiliates and its Sublicensees under this Agreement will comply with any provision of the License Agreements if and to the extent such provision is applicable to a sublicensee under the License Agreements.</w:t>
      </w:r>
    </w:p>
    <w:p>
      <w:pPr>
        <w:spacing w:after="0" w:line="5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Sublicenses</w:t>
      </w:r>
      <w:r>
        <w:rPr>
          <w:rFonts w:ascii="Arial" w:cs="Arial" w:eastAsia="Arial" w:hAnsi="Arial"/>
          <w:sz w:val="16"/>
          <w:szCs w:val="16"/>
          <w:color w:val="auto"/>
        </w:rPr>
        <w:t>. Apollo shall have the right to grant further sublicenses of the rights and licenses granted to Apollo hereunder through multiple tiers. Apollo shall incorporate terms and conditions into its sublicense agreements sufficient to enable Apollo to comply with this Agreement. Apollo shall promptly furnish VistaGen with a fully signed photocopy of any sublicense agreement, which sublicense agreement may be redacted as necessary to protect commercially sensitive information. Upon termination of this Agreement for any reason, provided that a Sublicensee is not in material breach of its sublicense, VistaGen shall grant to such Sublicensee sublicense rights and terms equivalent to the sublicense rights and terms which Apollo previously granted to such Sublicensee.</w:t>
      </w:r>
    </w:p>
    <w:p>
      <w:pPr>
        <w:spacing w:after="0" w:line="19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u w:val="single" w:color="auto"/>
          <w:color w:val="auto"/>
        </w:rPr>
        <w:t>Retained Rights.</w:t>
      </w:r>
    </w:p>
    <w:p>
      <w:pPr>
        <w:spacing w:after="0" w:line="252" w:lineRule="exact"/>
        <w:rPr>
          <w:sz w:val="20"/>
          <w:szCs w:val="20"/>
          <w:color w:val="auto"/>
        </w:rPr>
      </w:pPr>
    </w:p>
    <w:p>
      <w:pPr>
        <w:ind w:firstLine="1305"/>
        <w:spacing w:after="0" w:line="268" w:lineRule="auto"/>
        <w:tabs>
          <w:tab w:leader="none" w:pos="1707" w:val="left"/>
        </w:tabs>
        <w:numPr>
          <w:ilvl w:val="0"/>
          <w:numId w:val="43"/>
        </w:numPr>
        <w:rPr>
          <w:rFonts w:ascii="Arial" w:cs="Arial" w:eastAsia="Arial" w:hAnsi="Arial"/>
          <w:sz w:val="18"/>
          <w:szCs w:val="18"/>
          <w:color w:val="auto"/>
        </w:rPr>
      </w:pPr>
      <w:r>
        <w:rPr>
          <w:rFonts w:ascii="Arial" w:cs="Arial" w:eastAsia="Arial" w:hAnsi="Arial"/>
          <w:sz w:val="18"/>
          <w:szCs w:val="18"/>
          <w:color w:val="auto"/>
        </w:rPr>
        <w:t>VistaGen shall retain the licenses granted to it by UHN pursuant to each License Agreement to use the Licensed IP in accordance with the terms of each License Agreement solely in the VistaGen Field of Use.</w:t>
      </w:r>
    </w:p>
    <w:p>
      <w:pPr>
        <w:spacing w:after="0" w:line="104" w:lineRule="exact"/>
        <w:rPr>
          <w:rFonts w:ascii="Arial" w:cs="Arial" w:eastAsia="Arial" w:hAnsi="Arial"/>
          <w:sz w:val="18"/>
          <w:szCs w:val="18"/>
          <w:color w:val="auto"/>
        </w:rPr>
      </w:pPr>
    </w:p>
    <w:p>
      <w:pPr>
        <w:jc w:val="both"/>
        <w:ind w:firstLine="1305"/>
        <w:spacing w:after="0" w:line="259" w:lineRule="auto"/>
        <w:tabs>
          <w:tab w:leader="none" w:pos="17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Apollo acknowledges UHN’s reserved right under each License Agreement to retain a non-exclusive, sublicensable right to use the Licensed IP for non-commercial research purposes and/or academic educational purposes, without any financial obligation to VistaGen or Apollo for so using the Licensed IP.</w:t>
      </w:r>
    </w:p>
    <w:p>
      <w:pPr>
        <w:spacing w:after="0" w:line="113" w:lineRule="exact"/>
        <w:rPr>
          <w:rFonts w:ascii="Arial" w:cs="Arial" w:eastAsia="Arial" w:hAnsi="Arial"/>
          <w:sz w:val="18"/>
          <w:szCs w:val="18"/>
          <w:color w:val="auto"/>
        </w:rPr>
      </w:pPr>
    </w:p>
    <w:p>
      <w:pPr>
        <w:jc w:val="both"/>
        <w:ind w:firstLine="1305"/>
        <w:spacing w:after="0" w:line="259" w:lineRule="auto"/>
        <w:tabs>
          <w:tab w:leader="none" w:pos="173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Apollo acknowledges that, with respect to UHN, the U.S. federal government retains a royalty-free, non-exclusive, non-transferable license to practice any government-funded invention claimed in any UHN Patent Rights as set forth in 35 U.S.C. §§ 01-211, and the regulations promulgated thereunder, as amended, or any successor statutes or regulations.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No Additional Rights</w:t>
      </w:r>
      <w:r>
        <w:rPr>
          <w:rFonts w:ascii="Arial" w:cs="Arial" w:eastAsia="Arial" w:hAnsi="Arial"/>
          <w:sz w:val="18"/>
          <w:szCs w:val="18"/>
          <w:color w:val="auto"/>
        </w:rPr>
        <w:t>. Nothing in this Agreement shall be construed to confer any rights upon Apollo by implication, estoppel, or otherwise as to any patent rights or other intellectual property of VistaGen or UHN other than the Licensed IP and Improvements.</w:t>
      </w:r>
    </w:p>
    <w:p>
      <w:pPr>
        <w:spacing w:after="0" w:line="21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VistaGen SRA</w:t>
      </w:r>
      <w:r>
        <w:rPr>
          <w:rFonts w:ascii="Arial" w:cs="Arial" w:eastAsia="Arial" w:hAnsi="Arial"/>
          <w:sz w:val="16"/>
          <w:szCs w:val="16"/>
          <w:color w:val="auto"/>
        </w:rPr>
        <w:t>. VistaGen covenants and agrees to promptly notify Apollo (but in no event later than [*****] after receipt) in the event it receives any Invention Notice (as defined in the VistaGen SRA) applicable to [*****] the Apollo Field of Use from UHN following the Effective Date. For clarity, [*****]. In addition, VistaGen hereby assigns all right, title and interest in and to any unexercised or future option available to VistaGen pursuant to Section 4.3 of the VistaGen SRA, through which VistaGen may obtain an exclusive license to any Resulting IP (as defined in the VistaGen SRA) in the field set forth in [*****] Apollo Field of Use disclosed in such Invention Notice. To the extent Apollo, in its sole discretion, decides to exercise such option to obtain an exclusive license, it shall notify VistaGen of its decision within [*****] days of receipt of notice from VistaGen. VistaGen shall promptly (within the required time periods set forth in the VistaGen SRA) notify UHN of such decision on behalf of Apollo and acquire exclusive license rights to the applicable Resulting IP through the procedures set forth in Section 4.3 of the VistaGen SRA; provided that (i) the terms and conditions of each such exclusive license agreement shall be substantially identical to the terms and conditions set forth in the License Agreements and (ii) each such exclusive license agreement shall automatically be considered a License Agreement hereunder with all rights licensed or otherwise granted to VistaGen thereunder automatically considered Licensed IP hereunder with the field in clause (ii) of the Apollo Field of Use applying to such Licensed IP. Apollo and VistaGen shall endeavor to amend Exhibit A attached hereto to reflect such additional Licensed IP. Apollo shall reimburse VistaGen to the extent VistaGen pays an issue fee to UHN pursuant to each such exclusive license, which reimbursement shall not exceed [*****]. For the avoidance of doubt, in accordance with this Agreement, VistaGen shall retain the licenses granted to it by UHN solely within the VistaGen Field of Use under any such license agreement entered into pursuant to this Section 2.5.</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Future UHN SRA</w:t>
      </w:r>
      <w:r>
        <w:rPr>
          <w:rFonts w:ascii="Arial" w:cs="Arial" w:eastAsia="Arial" w:hAnsi="Arial"/>
          <w:sz w:val="18"/>
          <w:szCs w:val="18"/>
          <w:color w:val="auto"/>
        </w:rPr>
        <w:t>. During the Term and for a period of [*****] thereafter, neither VistaGen nor any of its Affiliates or sublicensees (other than Apollo and its Affiliates, licensees and Sublicensees), either alone, or with or through any third party (including by way of any assignment, license, covenant or other transaction regarding patent rights or other intellectual property, or by any research, development or other agreement), shall enter into any agreement with UHN in the field set forth in [*****] the Apollo Field of Use.</w:t>
      </w:r>
    </w:p>
    <w:p>
      <w:pPr>
        <w:spacing w:after="0" w:line="2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Section 365(n) of the Bankruptcy Code</w:t>
      </w:r>
      <w:r>
        <w:rPr>
          <w:rFonts w:ascii="Arial" w:cs="Arial" w:eastAsia="Arial" w:hAnsi="Arial"/>
          <w:sz w:val="16"/>
          <w:szCs w:val="16"/>
          <w:color w:val="auto"/>
        </w:rPr>
        <w:t>. All rights and licenses granted pursuant to any Section of this Agreement are, and shall be deemed to be, rights and licenses to “intellectual property” (as defined in Section 101(35A) of title 11 of the United States Code and of any similar provisions of applicable Bankruptcy Code under any other jurisdiction including the Bankruptcy and Insolvency Act, R.S.C. 1985, c. B-3 and Companies’ Creditors Arrangement Act, R.S.C. 1985, c. C-36, as amended from time to time. VistaGen agrees that Apollo as a licensee and sublicensee of rights and licenses under this Agreement, shall retain and may fully exercise all of its rights and elections under the Bankruptcy Code. The Parties further agree that, in the event of the commencement of a bankruptcy proceeding by or against VistaGen under the Bankruptcy Code or analogous provisions of applicable laws outside the United States, Apollo shall be entitled to a complete duplicate of (or complete access to, as appropriate) any patent rights or other intellectual property licensed or sublicensed to Apollo and all embodiments of such intellectual property, which, if not already in Apollo’s possession, shall be promptly delivered to it (a) upon any such commencement of a bankruptcy proceeding upon Apollo’s written request therefor, unless VistaGen in the bankruptcy proceeding elects to continue to perform all of its obligations under this Agreement or (b) if not delivered under clause (a), following the rejection of this Agreement in the bankruptcy proceeding, upon written request therefor by Apollo.</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APOLLO DILIGENCE OBLIGATIONS AND REPORTING</w:t>
      </w:r>
    </w:p>
    <w:p>
      <w:pPr>
        <w:spacing w:after="0" w:line="144" w:lineRule="exact"/>
        <w:rPr>
          <w:sz w:val="20"/>
          <w:szCs w:val="20"/>
          <w:color w:val="auto"/>
        </w:rPr>
      </w:pPr>
    </w:p>
    <w:p>
      <w:pPr>
        <w:ind w:right="100" w:firstLine="648"/>
        <w:spacing w:after="0" w:line="30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Diligence Requirements</w:t>
      </w:r>
      <w:r>
        <w:rPr>
          <w:rFonts w:ascii="Arial" w:cs="Arial" w:eastAsia="Arial" w:hAnsi="Arial"/>
          <w:sz w:val="16"/>
          <w:szCs w:val="16"/>
          <w:color w:val="auto"/>
        </w:rPr>
        <w:t>. Apollo shall use commercially reasonable efforts, or shall cause one or more of its Affiliates and Sublicensees to use commercially reasonable efforts, to develop [*****]. In the event that VistaGen determines that Apollo (itself or through its Affiliates or Sublicensees) has failed to fulfill its obligations under this Section 3.1, then VistaGen may treat such failure as a material breach in accordance with Section 12.3(a).</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R&amp;D Plan</w:t>
      </w:r>
      <w:r>
        <w:rPr>
          <w:rFonts w:ascii="Arial" w:cs="Arial" w:eastAsia="Arial" w:hAnsi="Arial"/>
          <w:sz w:val="16"/>
          <w:szCs w:val="16"/>
          <w:color w:val="auto"/>
        </w:rPr>
        <w:t>. Within [*****] after the Effective Date, Apollo shall furnish to VistaGen a copy of Apollo’s Research and Development Plan (“</w:t>
      </w:r>
      <w:r>
        <w:rPr>
          <w:rFonts w:ascii="Arial" w:cs="Arial" w:eastAsia="Arial" w:hAnsi="Arial"/>
          <w:sz w:val="16"/>
          <w:szCs w:val="16"/>
          <w:u w:val="single" w:color="auto"/>
          <w:color w:val="auto"/>
        </w:rPr>
        <w:t>R&amp;D</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for Licensed Products; and a status and progress report as to Apollo’s implementation of the R&amp;D Plan shall be furnished to VistaGen annually thereafter, in conjunction with submission to VistaGen of the annual report, together with an update for the R&amp;D Plan for the next year. The Parties acknowledge that the R&amp;D Plan will represent the optimal and desired goals and timeline for [*****], and that there is no guarantee of achieving the goals within said timeline.</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Annual Report</w:t>
      </w:r>
      <w:r>
        <w:rPr>
          <w:rFonts w:ascii="Arial" w:cs="Arial" w:eastAsia="Arial" w:hAnsi="Arial"/>
          <w:sz w:val="16"/>
          <w:szCs w:val="16"/>
          <w:color w:val="auto"/>
        </w:rPr>
        <w:t>. [*****] each Calendar Year during the Term, Apollo shall prepare and deliver to VistaGen a written summary report which shall describe (a) the research performed to date employing the Licensed IP, (b) the progress of [*****] Licensed Products [*****] and (c) [*****].</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ROYALTIES AND PAYMENT TERMS</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Consideration for Grant of Rights</w:t>
      </w:r>
    </w:p>
    <w:p>
      <w:pPr>
        <w:spacing w:after="0" w:line="252" w:lineRule="exact"/>
        <w:rPr>
          <w:sz w:val="20"/>
          <w:szCs w:val="20"/>
          <w:color w:val="auto"/>
        </w:rPr>
      </w:pPr>
    </w:p>
    <w:p>
      <w:pPr>
        <w:ind w:firstLine="1305"/>
        <w:spacing w:after="0" w:line="268" w:lineRule="auto"/>
        <w:tabs>
          <w:tab w:leader="none" w:pos="17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License and Sublicense Issue</w:t>
      </w:r>
      <w:r>
        <w:rPr>
          <w:rFonts w:ascii="Arial" w:cs="Arial" w:eastAsia="Arial" w:hAnsi="Arial"/>
          <w:sz w:val="18"/>
          <w:szCs w:val="18"/>
          <w:color w:val="auto"/>
        </w:rPr>
        <w:t>. Within [*****], Apollo shall pay to VistaGen a sublicense and license issue fee of One Million Two Hundred Fifty Thousand U.S. dollars (U.S.$1,250,000). [*****].</w:t>
      </w:r>
    </w:p>
    <w:p>
      <w:pPr>
        <w:spacing w:after="0" w:line="104" w:lineRule="exact"/>
        <w:rPr>
          <w:rFonts w:ascii="Arial" w:cs="Arial" w:eastAsia="Arial" w:hAnsi="Arial"/>
          <w:sz w:val="18"/>
          <w:szCs w:val="18"/>
          <w:color w:val="auto"/>
        </w:rPr>
      </w:pPr>
    </w:p>
    <w:p>
      <w:pPr>
        <w:jc w:val="both"/>
        <w:ind w:firstLine="1305"/>
        <w:spacing w:after="0" w:line="259" w:lineRule="auto"/>
        <w:tabs>
          <w:tab w:leader="none" w:pos="173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Running Royalties</w:t>
      </w:r>
      <w:r>
        <w:rPr>
          <w:rFonts w:ascii="Arial" w:cs="Arial" w:eastAsia="Arial" w:hAnsi="Arial"/>
          <w:sz w:val="18"/>
          <w:szCs w:val="18"/>
          <w:color w:val="auto"/>
        </w:rPr>
        <w:t>. Beginning upon the First Commercial Sale of a Revenue Bearing Product, Apollo shall pay to VistaGen a [*****] royalty on a [*****] basis on [*****] Net Sales for [*****]. Running royalties shall be payable for each Reporting Period and shall be due to VistaGen within [*****] of the end of each Reporting Period.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firstLine="1305"/>
        <w:spacing w:after="0" w:line="294" w:lineRule="auto"/>
        <w:tabs>
          <w:tab w:leader="none" w:pos="170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Royalty Stacking</w:t>
      </w:r>
      <w:r>
        <w:rPr>
          <w:rFonts w:ascii="Arial" w:cs="Arial" w:eastAsia="Arial" w:hAnsi="Arial"/>
          <w:sz w:val="16"/>
          <w:szCs w:val="16"/>
          <w:color w:val="auto"/>
        </w:rPr>
        <w:t>. To the extent that Apollo or any of its Affiliates or Sublicensees obtains licenses to third party patent rights or other intellectual property in order to practice the Licensed IP or to develop or commercialize any Licensed Products, Apollo and its Affiliates and Sublicensees may deduct from any royalty due to VistaGen hereunder [*****] of the royalties due according to agreements between Apollo (and its Affiliates and Sublicensees, as applicable) and a third party(ies) on such patents or intellectual property up to an amount equal to [*****] of the running royalties owed in any Reporting Period hereunder, with any excess third party royalties carried over into next succeeding Reporting Periods until exhausted.</w:t>
      </w:r>
    </w:p>
    <w:p>
      <w:pPr>
        <w:spacing w:after="0" w:line="88" w:lineRule="exact"/>
        <w:rPr>
          <w:rFonts w:ascii="Arial" w:cs="Arial" w:eastAsia="Arial" w:hAnsi="Arial"/>
          <w:sz w:val="16"/>
          <w:szCs w:val="16"/>
          <w:color w:val="auto"/>
        </w:rPr>
      </w:pPr>
    </w:p>
    <w:p>
      <w:pPr>
        <w:jc w:val="both"/>
        <w:ind w:firstLine="1305"/>
        <w:spacing w:after="0" w:line="289" w:lineRule="auto"/>
        <w:tabs>
          <w:tab w:leader="none" w:pos="1717"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Biosimilar Competition</w:t>
      </w:r>
      <w:r>
        <w:rPr>
          <w:rFonts w:ascii="Arial" w:cs="Arial" w:eastAsia="Arial" w:hAnsi="Arial"/>
          <w:sz w:val="16"/>
          <w:szCs w:val="16"/>
          <w:color w:val="auto"/>
        </w:rPr>
        <w:t>. Notwithstanding the foregoing, on a country-by-country basis in the Territory, the royalty rate for Net Sales of a Revenue Bearing Product set forth in Section 4.1(b) shall be reduced (A) by [*****], following a launch of a Biosimilar Product, if the unit sales of all Biosimilar Products in such country exceed [*****] of the sum of unit sales of Revenue Bearing Products plus unit sales of all Biosimilar Products in such country, (B) by [*****] following a launch of a Biosimilar Product, if the unit sales of all Biosimilar Products in such country exceed [*****] of the sum of unit sales of Revenue Bearing Products plus unit sales of all Biosimilar Products in such country, or (C) by [*****] to become [*****] following a launch of Biosimilar Product, if the unit sales of all Biosimilar Products in such country exceed [*****] of the sum of unit sales of Revenue Bearing Products plus unit sales of all Biosimilar Products in such country. Unless otherwise agreed by the Parties, the unit sales of each such Biosimilar Product sold during a Reporting Period shall be as reported by [*****] or any other independent sales auditing firm reasonably agreed upon by the Parties.</w:t>
      </w:r>
    </w:p>
    <w:p>
      <w:pPr>
        <w:spacing w:after="0" w:line="91" w:lineRule="exact"/>
        <w:rPr>
          <w:rFonts w:ascii="Arial" w:cs="Arial" w:eastAsia="Arial" w:hAnsi="Arial"/>
          <w:sz w:val="16"/>
          <w:szCs w:val="16"/>
          <w:color w:val="auto"/>
        </w:rPr>
      </w:pPr>
    </w:p>
    <w:p>
      <w:pPr>
        <w:ind w:firstLine="1305"/>
        <w:spacing w:after="0" w:line="268" w:lineRule="auto"/>
        <w:tabs>
          <w:tab w:leader="none" w:pos="172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 Multiple Royalties</w:t>
      </w:r>
      <w:r>
        <w:rPr>
          <w:rFonts w:ascii="Arial" w:cs="Arial" w:eastAsia="Arial" w:hAnsi="Arial"/>
          <w:sz w:val="18"/>
          <w:szCs w:val="18"/>
          <w:color w:val="auto"/>
        </w:rPr>
        <w:t>. If the commercial sale of any Revenue Bearing Product is covered by more than one of the [*****], multiple royalties shall not be due.</w:t>
      </w:r>
    </w:p>
    <w:p>
      <w:pPr>
        <w:spacing w:after="0" w:line="104" w:lineRule="exact"/>
        <w:rPr>
          <w:rFonts w:ascii="Arial" w:cs="Arial" w:eastAsia="Arial" w:hAnsi="Arial"/>
          <w:sz w:val="18"/>
          <w:szCs w:val="18"/>
          <w:color w:val="auto"/>
        </w:rPr>
      </w:pPr>
    </w:p>
    <w:p>
      <w:pPr>
        <w:jc w:val="both"/>
        <w:ind w:firstLine="1305"/>
        <w:spacing w:after="0" w:line="256" w:lineRule="auto"/>
        <w:tabs>
          <w:tab w:leader="none" w:pos="168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Duration of Royalty Obligations</w:t>
      </w:r>
      <w:r>
        <w:rPr>
          <w:rFonts w:ascii="Arial" w:cs="Arial" w:eastAsia="Arial" w:hAnsi="Arial"/>
          <w:sz w:val="18"/>
          <w:szCs w:val="18"/>
          <w:color w:val="auto"/>
        </w:rPr>
        <w:t>. The royalty obligations of Apollo shall continue on a [*****] basis as to each Revenue Bearing Product, until the expiration or termination of the last to expire Valid Claim within [*****] in that country. Upon the expiration of Apollo’s royalty obligations with respect to a Revenue Bearing Product in a country, the license grants contained in Sections 2.1 shall become fully paid-up, royalty-free, perpetual and irrevocable for such Revenue Bearing Product in such country.</w:t>
      </w:r>
    </w:p>
    <w:p>
      <w:pPr>
        <w:spacing w:after="0" w:line="116" w:lineRule="exact"/>
        <w:rPr>
          <w:rFonts w:ascii="Arial" w:cs="Arial" w:eastAsia="Arial" w:hAnsi="Arial"/>
          <w:sz w:val="18"/>
          <w:szCs w:val="18"/>
          <w:color w:val="auto"/>
        </w:rPr>
      </w:pPr>
    </w:p>
    <w:p>
      <w:pPr>
        <w:jc w:val="both"/>
        <w:ind w:firstLine="1305"/>
        <w:spacing w:after="0" w:line="294" w:lineRule="auto"/>
        <w:tabs>
          <w:tab w:leader="none" w:pos="175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Development Milestone Payments</w:t>
      </w:r>
      <w:r>
        <w:rPr>
          <w:rFonts w:ascii="Arial" w:cs="Arial" w:eastAsia="Arial" w:hAnsi="Arial"/>
          <w:sz w:val="16"/>
          <w:szCs w:val="16"/>
          <w:color w:val="auto"/>
        </w:rPr>
        <w:t>. Subject to Section 4.1(h), Apollo shall pay to VistaGen the following development milestone payments listed in the tables below for [*****] Revenue Bearing Product to achieve each development milestone event. Apollo shall provide VistaGen with written notice and such milestone payment within [*****] after achieving each development milestone. Each such milestone payment shall be payable only once on the [*****] Revenue Bearing Product to achieve such development milestone event. For the avoidance of doubt, in no event shall Apollo be required to pay VistaGen more than an aggregate of [*****] in development milestone payments under this Section 4.1(g).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31750</wp:posOffset>
            </wp:positionV>
            <wp:extent cx="256413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4130" cy="188595"/>
                    </a:xfrm>
                    <a:prstGeom prst="rect">
                      <a:avLst/>
                    </a:prstGeom>
                    <a:noFill/>
                  </pic:spPr>
                </pic:pic>
              </a:graphicData>
            </a:graphic>
          </wp:anchor>
        </w:drawing>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20" w:type="dxa"/>
            <w:vAlign w:val="bottom"/>
            <w:tcBorders>
              <w:top w:val="single" w:sz="8" w:color="auto"/>
              <w:left w:val="single" w:sz="8" w:color="auto"/>
              <w:right w:val="single" w:sz="8" w:color="auto"/>
            </w:tcBorders>
          </w:tcPr>
          <w:p>
            <w:pPr>
              <w:spacing w:after="0"/>
              <w:rPr>
                <w:sz w:val="16"/>
                <w:szCs w:val="16"/>
                <w:color w:val="auto"/>
              </w:rPr>
            </w:pPr>
          </w:p>
        </w:tc>
        <w:tc>
          <w:tcPr>
            <w:tcW w:w="6720" w:type="dxa"/>
            <w:vAlign w:val="bottom"/>
            <w:tcBorders>
              <w:top w:val="single" w:sz="8" w:color="auto"/>
            </w:tcBorders>
            <w:gridSpan w:val="3"/>
          </w:tcPr>
          <w:p>
            <w:pPr>
              <w:ind w:left="2220"/>
              <w:spacing w:after="0" w:line="189" w:lineRule="exact"/>
              <w:rPr>
                <w:sz w:val="20"/>
                <w:szCs w:val="20"/>
                <w:color w:val="auto"/>
              </w:rPr>
            </w:pPr>
            <w:r>
              <w:rPr>
                <w:rFonts w:ascii="Arial" w:cs="Arial" w:eastAsia="Arial" w:hAnsi="Arial"/>
                <w:sz w:val="18"/>
                <w:szCs w:val="18"/>
                <w:b w:val="1"/>
                <w:bCs w:val="1"/>
                <w:color w:val="auto"/>
              </w:rPr>
              <w:t>Development Milestone Event</w:t>
            </w:r>
          </w:p>
        </w:tc>
        <w:tc>
          <w:tcPr>
            <w:tcW w:w="3980" w:type="dxa"/>
            <w:vAlign w:val="bottom"/>
            <w:gridSpan w:val="3"/>
          </w:tcPr>
          <w:p>
            <w:pPr>
              <w:ind w:left="1260"/>
              <w:spacing w:after="0" w:line="189" w:lineRule="exact"/>
              <w:rPr>
                <w:sz w:val="20"/>
                <w:szCs w:val="20"/>
                <w:color w:val="auto"/>
              </w:rPr>
            </w:pPr>
            <w:r>
              <w:rPr>
                <w:rFonts w:ascii="Arial" w:cs="Arial" w:eastAsia="Arial" w:hAnsi="Arial"/>
                <w:sz w:val="18"/>
                <w:szCs w:val="18"/>
                <w:b w:val="1"/>
                <w:bCs w:val="1"/>
                <w:color w:val="auto"/>
              </w:rPr>
              <w:t>Milestone Payment</w:t>
            </w:r>
          </w:p>
        </w:tc>
        <w:tc>
          <w:tcPr>
            <w:tcW w:w="0" w:type="dxa"/>
            <w:vAlign w:val="bottom"/>
          </w:tcPr>
          <w:p>
            <w:pPr>
              <w:spacing w:after="0"/>
              <w:rPr>
                <w:sz w:val="1"/>
                <w:szCs w:val="1"/>
                <w:color w:val="auto"/>
              </w:rPr>
            </w:pPr>
          </w:p>
        </w:tc>
      </w:tr>
      <w:tr>
        <w:trPr>
          <w:trHeight w:val="28"/>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40" w:type="dxa"/>
            <w:vAlign w:val="bottom"/>
            <w:tcBorders>
              <w:top w:val="single" w:sz="8" w:color="auto"/>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60" w:type="dxa"/>
            <w:vAlign w:val="bottom"/>
            <w:vMerge w:val="restart"/>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222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2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222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222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2220" w:type="dxa"/>
            <w:vAlign w:val="bottom"/>
          </w:tcPr>
          <w:p>
            <w:pPr>
              <w:jc w:val="right"/>
              <w:ind w:right="1592"/>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760" w:hanging="455"/>
        <w:spacing w:after="0"/>
        <w:tabs>
          <w:tab w:leader="none" w:pos="1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sz w:val="20"/>
          <w:szCs w:val="20"/>
          <w:color w:val="auto"/>
        </w:rPr>
      </w:pPr>
    </w:p>
    <w:p>
      <w:pPr>
        <w:ind w:left="3640" w:hanging="391"/>
        <w:spacing w:after="0"/>
        <w:tabs>
          <w:tab w:leader="none" w:pos="3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3680" w:hanging="431"/>
        <w:spacing w:after="0"/>
        <w:tabs>
          <w:tab w:leader="none" w:pos="36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3720" w:hanging="471"/>
        <w:spacing w:after="0"/>
        <w:tabs>
          <w:tab w:leader="none" w:pos="3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1305"/>
        <w:spacing w:after="0" w:line="298" w:lineRule="auto"/>
        <w:tabs>
          <w:tab w:leader="none" w:pos="1678"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Commercial Milestone Payments</w:t>
      </w:r>
      <w:r>
        <w:rPr>
          <w:rFonts w:ascii="Arial" w:cs="Arial" w:eastAsia="Arial" w:hAnsi="Arial"/>
          <w:sz w:val="16"/>
          <w:szCs w:val="16"/>
          <w:color w:val="auto"/>
        </w:rPr>
        <w:t>. Apollo shall pay to VistaGen the following commercial milestone payments listed in the tables below after achievement of [*****] commercial milestone event. Apollo shall provide VistaGen with written notice and such milestone payment within [*****] after the end of the Calendar Year in which the applicable milestone event was achieved. Each such milestone payment shall be payable only once. For the avoidance of doubt, in no event shall Apollo be required to pay VistaGen more than an aggregate of [*****] in commercial milestone payments under this Section 4.1(i).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4700270</wp:posOffset>
            </wp:positionH>
            <wp:positionV relativeFrom="paragraph">
              <wp:posOffset>98425</wp:posOffset>
            </wp:positionV>
            <wp:extent cx="256413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4130" cy="188595"/>
                    </a:xfrm>
                    <a:prstGeom prst="rect">
                      <a:avLst/>
                    </a:prstGeom>
                    <a:noFill/>
                  </pic:spPr>
                </pic:pic>
              </a:graphicData>
            </a:graphic>
          </wp:anchor>
        </w:drawing>
      </w:r>
    </w:p>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20" w:type="dxa"/>
            <w:vAlign w:val="bottom"/>
            <w:tcBorders>
              <w:top w:val="single" w:sz="8" w:color="auto"/>
              <w:left w:val="single" w:sz="8" w:color="auto"/>
              <w:right w:val="single" w:sz="8" w:color="auto"/>
            </w:tcBorders>
          </w:tcPr>
          <w:p>
            <w:pPr>
              <w:spacing w:after="0"/>
              <w:rPr>
                <w:sz w:val="16"/>
                <w:szCs w:val="16"/>
                <w:color w:val="auto"/>
              </w:rPr>
            </w:pPr>
          </w:p>
        </w:tc>
        <w:tc>
          <w:tcPr>
            <w:tcW w:w="6720" w:type="dxa"/>
            <w:vAlign w:val="bottom"/>
            <w:tcBorders>
              <w:top w:val="single" w:sz="8" w:color="auto"/>
            </w:tcBorders>
            <w:gridSpan w:val="3"/>
          </w:tcPr>
          <w:p>
            <w:pPr>
              <w:ind w:left="2260"/>
              <w:spacing w:after="0" w:line="189" w:lineRule="exact"/>
              <w:rPr>
                <w:sz w:val="20"/>
                <w:szCs w:val="20"/>
                <w:color w:val="auto"/>
              </w:rPr>
            </w:pPr>
            <w:r>
              <w:rPr>
                <w:rFonts w:ascii="Arial" w:cs="Arial" w:eastAsia="Arial" w:hAnsi="Arial"/>
                <w:sz w:val="18"/>
                <w:szCs w:val="18"/>
                <w:b w:val="1"/>
                <w:bCs w:val="1"/>
                <w:color w:val="auto"/>
              </w:rPr>
              <w:t>Commercial Milestone Event</w:t>
            </w:r>
          </w:p>
        </w:tc>
        <w:tc>
          <w:tcPr>
            <w:tcW w:w="3980" w:type="dxa"/>
            <w:vAlign w:val="bottom"/>
            <w:gridSpan w:val="3"/>
          </w:tcPr>
          <w:p>
            <w:pPr>
              <w:ind w:left="1260"/>
              <w:spacing w:after="0" w:line="189" w:lineRule="exact"/>
              <w:rPr>
                <w:sz w:val="20"/>
                <w:szCs w:val="20"/>
                <w:color w:val="auto"/>
              </w:rPr>
            </w:pPr>
            <w:r>
              <w:rPr>
                <w:rFonts w:ascii="Arial" w:cs="Arial" w:eastAsia="Arial" w:hAnsi="Arial"/>
                <w:sz w:val="18"/>
                <w:szCs w:val="18"/>
                <w:b w:val="1"/>
                <w:bCs w:val="1"/>
                <w:color w:val="auto"/>
              </w:rPr>
              <w:t>Milestone Payment</w:t>
            </w:r>
          </w:p>
        </w:tc>
        <w:tc>
          <w:tcPr>
            <w:tcW w:w="0" w:type="dxa"/>
            <w:vAlign w:val="bottom"/>
          </w:tcPr>
          <w:p>
            <w:pPr>
              <w:spacing w:after="0"/>
              <w:rPr>
                <w:sz w:val="1"/>
                <w:szCs w:val="1"/>
                <w:color w:val="auto"/>
              </w:rPr>
            </w:pPr>
          </w:p>
        </w:tc>
      </w:tr>
      <w:tr>
        <w:trPr>
          <w:trHeight w:val="28"/>
        </w:trPr>
        <w:tc>
          <w:tcPr>
            <w:tcW w:w="72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2180" w:type="dxa"/>
            <w:vAlign w:val="bottom"/>
            <w:tcBorders>
              <w:top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60" w:type="dxa"/>
            <w:vAlign w:val="bottom"/>
            <w:vMerge w:val="restart"/>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w:t>
            </w:r>
          </w:p>
        </w:tc>
        <w:tc>
          <w:tcPr>
            <w:tcW w:w="226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26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w:t>
            </w:r>
          </w:p>
        </w:tc>
        <w:tc>
          <w:tcPr>
            <w:tcW w:w="226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w:t>
            </w:r>
          </w:p>
        </w:tc>
        <w:tc>
          <w:tcPr>
            <w:tcW w:w="226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w:t>
            </w:r>
          </w:p>
        </w:tc>
        <w:tc>
          <w:tcPr>
            <w:tcW w:w="2260" w:type="dxa"/>
            <w:vAlign w:val="bottom"/>
          </w:tcPr>
          <w:p>
            <w:pPr>
              <w:jc w:val="right"/>
              <w:ind w:right="1632"/>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 w:type="dxa"/>
            <w:vAlign w:val="bottom"/>
            <w:tcBorders>
              <w:left w:val="single" w:sz="8" w:color="auto"/>
              <w:bottom w:val="single" w:sz="8" w:color="auto"/>
              <w:right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228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680" w:hanging="375"/>
        <w:spacing w:after="0"/>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 Transaction Agreement Revenue</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300" w:firstLine="1949"/>
        <w:spacing w:after="0" w:line="268" w:lineRule="auto"/>
        <w:tabs>
          <w:tab w:leader="none" w:pos="3667" w:val="left"/>
        </w:tabs>
        <w:numPr>
          <w:ilvl w:val="1"/>
          <w:numId w:val="52"/>
        </w:numPr>
        <w:rPr>
          <w:rFonts w:ascii="Arial" w:cs="Arial" w:eastAsia="Arial" w:hAnsi="Arial"/>
          <w:sz w:val="18"/>
          <w:szCs w:val="18"/>
          <w:color w:val="auto"/>
        </w:rPr>
      </w:pPr>
      <w:r>
        <w:rPr>
          <w:rFonts w:ascii="Arial" w:cs="Arial" w:eastAsia="Arial" w:hAnsi="Arial"/>
          <w:sz w:val="18"/>
          <w:szCs w:val="18"/>
          <w:color w:val="auto"/>
        </w:rPr>
        <w:t>Subject to Sections 4.1(j)(ii), Apollo shall pay VistaGen the following percentage of all consideration allocable solely to [*****] received by Apollo pursuant to the [*****] Transaction Agreement:</w:t>
      </w:r>
    </w:p>
    <w:p>
      <w:pPr>
        <w:spacing w:after="0" w:line="104" w:lineRule="exact"/>
        <w:rPr>
          <w:rFonts w:ascii="Arial" w:cs="Arial" w:eastAsia="Arial" w:hAnsi="Arial"/>
          <w:sz w:val="18"/>
          <w:szCs w:val="18"/>
          <w:color w:val="auto"/>
        </w:rPr>
      </w:pPr>
    </w:p>
    <w:p>
      <w:pPr>
        <w:ind w:left="5000" w:hanging="454"/>
        <w:spacing w:after="0"/>
        <w:tabs>
          <w:tab w:leader="none" w:pos="50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0" w:hanging="454"/>
        <w:spacing w:after="0"/>
        <w:tabs>
          <w:tab w:leader="none" w:pos="50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5000" w:hanging="454"/>
        <w:spacing w:after="0"/>
        <w:tabs>
          <w:tab w:leader="none" w:pos="5000" w:val="left"/>
        </w:tabs>
        <w:numPr>
          <w:ilvl w:val="2"/>
          <w:numId w:val="5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Apollo shall provide VistaGen with written notice of [*****] Transaction Agreement and payment of the amount represented by the above percentages within [*****] after [*****]. [*****].</w:t>
      </w:r>
    </w:p>
    <w:p>
      <w:pPr>
        <w:spacing w:after="0" w:line="105" w:lineRule="exact"/>
        <w:rPr>
          <w:sz w:val="20"/>
          <w:szCs w:val="20"/>
          <w:color w:val="auto"/>
        </w:rPr>
      </w:pPr>
    </w:p>
    <w:p>
      <w:pPr>
        <w:ind w:left="3680" w:hanging="431"/>
        <w:spacing w:after="0"/>
        <w:tabs>
          <w:tab w:leader="none" w:pos="3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following shall not be considered consideration and subject to the sharing percentages in Section 4.1(j)</w:t>
      </w:r>
    </w:p>
    <w:p>
      <w:pPr>
        <w:spacing w:after="0" w:line="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w:t>
      </w:r>
    </w:p>
    <w:p>
      <w:pPr>
        <w:spacing w:after="0" w:line="138" w:lineRule="exact"/>
        <w:rPr>
          <w:sz w:val="20"/>
          <w:szCs w:val="20"/>
          <w:color w:val="auto"/>
        </w:rPr>
      </w:pPr>
    </w:p>
    <w:p>
      <w:pPr>
        <w:jc w:val="both"/>
        <w:ind w:left="1300" w:firstLine="1949"/>
        <w:spacing w:after="0" w:line="298" w:lineRule="auto"/>
        <w:tabs>
          <w:tab w:leader="none" w:pos="3724" w:val="left"/>
        </w:tabs>
        <w:numPr>
          <w:ilvl w:val="1"/>
          <w:numId w:val="54"/>
        </w:numPr>
        <w:rPr>
          <w:rFonts w:ascii="Arial" w:cs="Arial" w:eastAsia="Arial" w:hAnsi="Arial"/>
          <w:sz w:val="16"/>
          <w:szCs w:val="16"/>
          <w:color w:val="auto"/>
        </w:rPr>
      </w:pPr>
      <w:r>
        <w:rPr>
          <w:rFonts w:ascii="Arial" w:cs="Arial" w:eastAsia="Arial" w:hAnsi="Arial"/>
          <w:sz w:val="16"/>
          <w:szCs w:val="16"/>
          <w:color w:val="auto"/>
        </w:rPr>
        <w:t>To the extent that patent rights, other intellectual property rights or other rights, products or obligations other than those applicable to Revenue Bearing Products are [*****] Transaction Agreement, that portion of the consideration received by Apollo and subject to Section 4.1(j)(i) shall be equitably apportioned between the Revenue Bearing Products and those other rights, products and obligations, and such apportionment shall be reasonable and in accordance with customary standards in the industry.</w:t>
      </w:r>
    </w:p>
    <w:p>
      <w:pPr>
        <w:spacing w:after="0" w:line="85" w:lineRule="exact"/>
        <w:rPr>
          <w:rFonts w:ascii="Arial" w:cs="Arial" w:eastAsia="Arial" w:hAnsi="Arial"/>
          <w:sz w:val="16"/>
          <w:szCs w:val="16"/>
          <w:color w:val="auto"/>
        </w:rPr>
      </w:pPr>
    </w:p>
    <w:p>
      <w:pPr>
        <w:jc w:val="both"/>
        <w:ind w:left="1300" w:firstLine="1949"/>
        <w:spacing w:after="0" w:line="259" w:lineRule="auto"/>
        <w:tabs>
          <w:tab w:leader="none" w:pos="37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the extent Apollo [*****] Transaction Agreement, that portion of the consideration received by Apollo and subject to Section 4.1(j)(i) shall be equitably apportioned between [*****] and any other such applicable country, and such apportionment shall be reasonable and in accordance with customary standards in the industry. [*****].</w:t>
      </w:r>
    </w:p>
    <w:p>
      <w:pPr>
        <w:spacing w:after="0" w:line="113" w:lineRule="exact"/>
        <w:rPr>
          <w:rFonts w:ascii="Arial" w:cs="Arial" w:eastAsia="Arial" w:hAnsi="Arial"/>
          <w:sz w:val="18"/>
          <w:szCs w:val="18"/>
          <w:color w:val="auto"/>
        </w:rPr>
      </w:pPr>
    </w:p>
    <w:p>
      <w:pPr>
        <w:jc w:val="both"/>
        <w:ind w:left="1300" w:firstLine="1949"/>
        <w:spacing w:after="0" w:line="254" w:lineRule="auto"/>
        <w:tabs>
          <w:tab w:leader="none" w:pos="3665" w:val="left"/>
        </w:tabs>
        <w:numPr>
          <w:ilvl w:val="1"/>
          <w:numId w:val="54"/>
        </w:numPr>
        <w:rPr>
          <w:rFonts w:ascii="Arial" w:cs="Arial" w:eastAsia="Arial" w:hAnsi="Arial"/>
          <w:sz w:val="18"/>
          <w:szCs w:val="18"/>
          <w:color w:val="auto"/>
        </w:rPr>
      </w:pPr>
      <w:r>
        <w:rPr>
          <w:rFonts w:ascii="Arial" w:cs="Arial" w:eastAsia="Arial" w:hAnsi="Arial"/>
          <w:sz w:val="18"/>
          <w:szCs w:val="18"/>
          <w:color w:val="auto"/>
        </w:rPr>
        <w:t>With respect to each of Sections 4.1(j)(iii) and 4.1(j)(iv), Apollo shall promptly deliver to VistaGen a written report setting forth each such apportionment. In the event VistaGen disagrees with the determination made by Apollo, VistaGen shall so notify Apollo within [*****] of receipt of Apollo’s report and the Parties shall meet to discuss and resolve such disagreement in good faith. If the Parties are unable to agree in good faith as to such fair market values within [*****], then (a) the matter shall be submitted in accordance with the dispute resolution process set forth in Article 13, and (b) VistaGen shall not be entitled to terminate this Agreement until such matter is fully determined by a court of competent jurisdiction.</w:t>
      </w:r>
    </w:p>
    <w:p>
      <w:pPr>
        <w:spacing w:after="0" w:line="117" w:lineRule="exact"/>
        <w:rPr>
          <w:rFonts w:ascii="Arial" w:cs="Arial" w:eastAsia="Arial" w:hAnsi="Arial"/>
          <w:sz w:val="18"/>
          <w:szCs w:val="18"/>
          <w:color w:val="auto"/>
        </w:rPr>
      </w:pPr>
    </w:p>
    <w:p>
      <w:pPr>
        <w:ind w:left="1720" w:hanging="415"/>
        <w:spacing w:after="0"/>
        <w:tabs>
          <w:tab w:leader="none" w:pos="172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Method of Payment</w:t>
      </w:r>
      <w:r>
        <w:rPr>
          <w:rFonts w:ascii="Arial" w:cs="Arial" w:eastAsia="Arial" w:hAnsi="Arial"/>
          <w:sz w:val="16"/>
          <w:szCs w:val="16"/>
          <w:color w:val="auto"/>
        </w:rPr>
        <w:t>. All payments shall be made by wire transfer of immediately available funds into an account designated by VistaGen.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1305"/>
        <w:spacing w:after="0" w:line="298" w:lineRule="auto"/>
        <w:tabs>
          <w:tab w:leader="none" w:pos="170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Payments in U.S. Dollars</w:t>
      </w:r>
      <w:r>
        <w:rPr>
          <w:rFonts w:ascii="Arial" w:cs="Arial" w:eastAsia="Arial" w:hAnsi="Arial"/>
          <w:sz w:val="16"/>
          <w:szCs w:val="16"/>
          <w:color w:val="auto"/>
        </w:rPr>
        <w:t>. All payments due under this Agreement shall be payable in United States dollars. Conversion of foreign currency to U.S. dollars shall be made at the conversion rate existing in the United States (as reported in the Wall Street Journal) on the last working day of the calendar quarter of the applicable Reporting Period. Such payments shall be without deduction of exchange, collection, or other charges, and, specifically, without deduction of withholding or similar taxes or other government imposed fees or taxes, except as permitted in the definition of Net Sales.</w:t>
      </w:r>
    </w:p>
    <w:p>
      <w:pPr>
        <w:spacing w:after="0" w:line="85" w:lineRule="exact"/>
        <w:rPr>
          <w:rFonts w:ascii="Arial" w:cs="Arial" w:eastAsia="Arial" w:hAnsi="Arial"/>
          <w:sz w:val="16"/>
          <w:szCs w:val="16"/>
          <w:color w:val="auto"/>
        </w:rPr>
      </w:pPr>
    </w:p>
    <w:p>
      <w:pPr>
        <w:ind w:firstLine="1305"/>
        <w:spacing w:after="0" w:line="332" w:lineRule="auto"/>
        <w:tabs>
          <w:tab w:leader="none" w:pos="1766"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Late Payments</w:t>
      </w:r>
      <w:r>
        <w:rPr>
          <w:rFonts w:ascii="Arial" w:cs="Arial" w:eastAsia="Arial" w:hAnsi="Arial"/>
          <w:sz w:val="16"/>
          <w:szCs w:val="16"/>
          <w:color w:val="auto"/>
        </w:rPr>
        <w:t>. Any payments by Apollo that are not paid on or before the date such payments are due under this Agreement shall bear interest, to the extent permitted by law, at [*****] above the Prime Rate of interest as reported in the Wall Street Journal on the date payment is due.</w:t>
      </w:r>
    </w:p>
    <w:p>
      <w:pPr>
        <w:spacing w:after="0" w:line="58" w:lineRule="exact"/>
        <w:rPr>
          <w:rFonts w:ascii="Arial" w:cs="Arial" w:eastAsia="Arial" w:hAnsi="Arial"/>
          <w:sz w:val="16"/>
          <w:szCs w:val="16"/>
          <w:color w:val="auto"/>
        </w:rPr>
      </w:pPr>
    </w:p>
    <w:p>
      <w:pPr>
        <w:jc w:val="both"/>
        <w:ind w:firstLine="1305"/>
        <w:spacing w:after="0" w:line="256" w:lineRule="auto"/>
        <w:tabs>
          <w:tab w:leader="none" w:pos="1717"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Payments to UHN</w:t>
      </w:r>
      <w:r>
        <w:rPr>
          <w:rFonts w:ascii="Arial" w:cs="Arial" w:eastAsia="Arial" w:hAnsi="Arial"/>
          <w:sz w:val="18"/>
          <w:szCs w:val="18"/>
          <w:color w:val="auto"/>
        </w:rPr>
        <w:t>. VistaGen shall be solely responsible for any and all amounts payable to UHN pursuant to the terms of each License Agreement, including any amounts payable as a result of, or in connection with, entry by the Parties into this Agreement or any milestone achieved by, or royalties on Net Sales of, any Revenue Bearing Product. In no event shall Apollo be responsible or liable for any amounts due and payable to UHN under any License Agreement or the VistaGen SRA.</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REPORTS, RECORDS AND CONFIDENTIAL INFORMATION</w:t>
      </w:r>
    </w:p>
    <w:p>
      <w:pPr>
        <w:spacing w:after="0" w:line="144"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5"/>
          <w:szCs w:val="15"/>
          <w:u w:val="single" w:color="auto"/>
          <w:color w:val="auto"/>
        </w:rPr>
        <w:t>Frequency of Reports.</w:t>
      </w:r>
    </w:p>
    <w:p>
      <w:pPr>
        <w:spacing w:after="0" w:line="252" w:lineRule="exact"/>
        <w:rPr>
          <w:sz w:val="20"/>
          <w:szCs w:val="20"/>
          <w:color w:val="auto"/>
        </w:rPr>
      </w:pPr>
    </w:p>
    <w:p>
      <w:pPr>
        <w:ind w:firstLine="1305"/>
        <w:spacing w:after="0" w:line="268" w:lineRule="auto"/>
        <w:tabs>
          <w:tab w:leader="none" w:pos="1707"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Upon First Commercial Sale of a Revenue Bearing Product</w:t>
      </w:r>
      <w:r>
        <w:rPr>
          <w:rFonts w:ascii="Arial" w:cs="Arial" w:eastAsia="Arial" w:hAnsi="Arial"/>
          <w:sz w:val="18"/>
          <w:szCs w:val="18"/>
          <w:color w:val="auto"/>
        </w:rPr>
        <w:t>. Apollo shall report to VistaGen the date of the First Commercial Sale of a Revenue Bearing Product within [*****] of occurrence in each country.</w:t>
      </w:r>
    </w:p>
    <w:p>
      <w:pPr>
        <w:spacing w:after="0" w:line="104" w:lineRule="exact"/>
        <w:rPr>
          <w:rFonts w:ascii="Arial" w:cs="Arial" w:eastAsia="Arial" w:hAnsi="Arial"/>
          <w:sz w:val="18"/>
          <w:szCs w:val="18"/>
          <w:color w:val="auto"/>
        </w:rPr>
      </w:pPr>
    </w:p>
    <w:p>
      <w:pPr>
        <w:jc w:val="both"/>
        <w:ind w:firstLine="1305"/>
        <w:spacing w:after="0" w:line="259" w:lineRule="auto"/>
        <w:tabs>
          <w:tab w:leader="none" w:pos="173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After First Commercial Sale</w:t>
      </w:r>
      <w:r>
        <w:rPr>
          <w:rFonts w:ascii="Arial" w:cs="Arial" w:eastAsia="Arial" w:hAnsi="Arial"/>
          <w:sz w:val="18"/>
          <w:szCs w:val="18"/>
          <w:color w:val="auto"/>
        </w:rPr>
        <w:t>. After the First Commercial Sale of a Revenue Bearing Product, Apollo shall deliver reports to VistaGen within [*****] of the end of each Reporting Period, containing information concerning the immediately preceding Reporting Period, as further described in Section 5.2.</w:t>
      </w:r>
    </w:p>
    <w:p>
      <w:pPr>
        <w:spacing w:after="0" w:line="113" w:lineRule="exact"/>
        <w:rPr>
          <w:sz w:val="20"/>
          <w:szCs w:val="20"/>
          <w:color w:val="auto"/>
        </w:rPr>
      </w:pPr>
    </w:p>
    <w:p>
      <w:pPr>
        <w:ind w:right="20" w:firstLine="648"/>
        <w:spacing w:after="0" w:line="26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Content of Reports and Payments</w:t>
      </w:r>
      <w:r>
        <w:rPr>
          <w:rFonts w:ascii="Arial" w:cs="Arial" w:eastAsia="Arial" w:hAnsi="Arial"/>
          <w:sz w:val="18"/>
          <w:szCs w:val="18"/>
          <w:color w:val="auto"/>
        </w:rPr>
        <w:t>. Each report delivered by Apollo to VistaGen shall contain at least the following information for the immediately preceding Reporting Period:</w:t>
      </w:r>
    </w:p>
    <w:p>
      <w:pPr>
        <w:spacing w:after="0" w:line="213" w:lineRule="exact"/>
        <w:rPr>
          <w:sz w:val="20"/>
          <w:szCs w:val="20"/>
          <w:color w:val="auto"/>
        </w:rPr>
      </w:pPr>
    </w:p>
    <w:p>
      <w:pPr>
        <w:ind w:left="1720" w:hanging="415"/>
        <w:spacing w:after="0"/>
        <w:tabs>
          <w:tab w:leader="none" w:pos="1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number of Revenue Bearing Products sold by Apollo, its Affiliates and Sublicensees to independent third parties in each country;</w:t>
      </w:r>
    </w:p>
    <w:p>
      <w:pPr>
        <w:spacing w:after="0" w:line="167" w:lineRule="exact"/>
        <w:rPr>
          <w:rFonts w:ascii="Arial" w:cs="Arial" w:eastAsia="Arial" w:hAnsi="Arial"/>
          <w:sz w:val="16"/>
          <w:szCs w:val="16"/>
          <w:color w:val="auto"/>
        </w:rPr>
      </w:pPr>
    </w:p>
    <w:p>
      <w:pPr>
        <w:ind w:left="1720" w:hanging="415"/>
        <w:spacing w:after="0"/>
        <w:tabs>
          <w:tab w:leader="none" w:pos="1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gross price charged by Apollo, its Affiliates and Sublicensees for each Revenue Bearing Product in each country;</w:t>
      </w:r>
    </w:p>
    <w:p>
      <w:pPr>
        <w:spacing w:after="0" w:line="144" w:lineRule="exact"/>
        <w:rPr>
          <w:rFonts w:ascii="Arial" w:cs="Arial" w:eastAsia="Arial" w:hAnsi="Arial"/>
          <w:sz w:val="18"/>
          <w:szCs w:val="18"/>
          <w:color w:val="auto"/>
        </w:rPr>
      </w:pPr>
    </w:p>
    <w:p>
      <w:pPr>
        <w:ind w:left="1740" w:hanging="435"/>
        <w:spacing w:after="0"/>
        <w:tabs>
          <w:tab w:leader="none" w:pos="17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calculation of Net Sales for the applicable Reporting Period in each country, including, without limitation, a listing of applicable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deductions; and</w:t>
      </w:r>
    </w:p>
    <w:p>
      <w:pPr>
        <w:spacing w:after="0" w:line="138" w:lineRule="exact"/>
        <w:rPr>
          <w:sz w:val="20"/>
          <w:szCs w:val="20"/>
          <w:color w:val="auto"/>
        </w:rPr>
      </w:pPr>
    </w:p>
    <w:p>
      <w:pPr>
        <w:ind w:left="660" w:right="2420" w:firstLine="645"/>
        <w:spacing w:after="0" w:line="391" w:lineRule="auto"/>
        <w:tabs>
          <w:tab w:leader="none" w:pos="172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royalty payable on Net Sales in U.S. dollars, together with the exchange rates used for conversion. If no amounts are due to VistaGen for any Reporting Period, the report shall so state.</w:t>
      </w:r>
    </w:p>
    <w:p>
      <w:pPr>
        <w:spacing w:after="0" w:line="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Records</w:t>
      </w:r>
      <w:r>
        <w:rPr>
          <w:rFonts w:ascii="Arial" w:cs="Arial" w:eastAsia="Arial" w:hAnsi="Arial"/>
          <w:sz w:val="16"/>
          <w:szCs w:val="16"/>
          <w:color w:val="auto"/>
        </w:rPr>
        <w:t>. Apollo shall maintain, and shall cause its Affiliates and Sublicensees to maintain, complete and accurate records relating to amounts payable to VistaGen in relation to this Agreement. The relevant entity shall retain such records for at least [*****] following the end of the Calendar Year to which they pertain, during which time a certified, independent public accountant selected by VistaGen and reasonably acceptable to Apollo shall have the right, at VistaGen’s expense, to inspect such records during normal business hours to verify any reports and payments made or compliance in other respects under this Agreement. In the event that any audit performed under this Section 5.3 reveals an underpayment in excess of [*****], Apollo shall bear the full out-of-pocket cost of such audit and shall remit any amounts due to VistaGen within [*****] of receiving written notice thereof from VistaGen.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6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Confidentiality of Reports and Records</w:t>
      </w:r>
      <w:r>
        <w:rPr>
          <w:rFonts w:ascii="Arial" w:cs="Arial" w:eastAsia="Arial" w:hAnsi="Arial"/>
          <w:sz w:val="16"/>
          <w:szCs w:val="16"/>
          <w:color w:val="auto"/>
        </w:rPr>
        <w:t>. The reports and records (including the R&amp;D Plan) provided by Apollo hereunder shall be regarded as Apollo’s Confidential Information (as defined below) and, notwithstanding Section 5.5 below, VistaGen hereby covenants that it shall not use or disclose any information included in such reports for any purpose other than determining whether Apollo, its Affiliates and Sublicensees have complied with their obligations under this Agreement; provided that VistaGen may disclose such reports to UHN solely to use for the same purpose. VistaGen further agrees that, notwithstanding Section 5.5 below, until such time as such information is no longer confidential through no fault of VistaGen, it shall maintain such reports and any information included therein in strict confidence and treat such information in a manner at least as restrictive as its manner of treating its own confidential information of similar nature and in any event not less than with a reasonable degree of care.</w:t>
      </w:r>
    </w:p>
    <w:p>
      <w:pPr>
        <w:spacing w:after="0" w:line="19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w:t>
      </w:r>
    </w:p>
    <w:p>
      <w:pPr>
        <w:spacing w:after="0" w:line="252" w:lineRule="exact"/>
        <w:rPr>
          <w:sz w:val="20"/>
          <w:szCs w:val="20"/>
          <w:color w:val="auto"/>
        </w:rPr>
      </w:pPr>
    </w:p>
    <w:p>
      <w:pPr>
        <w:jc w:val="both"/>
        <w:ind w:firstLine="1305"/>
        <w:spacing w:after="0" w:line="285" w:lineRule="auto"/>
        <w:tabs>
          <w:tab w:leader="none" w:pos="1707"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Confidential Information; Exceptions</w:t>
      </w:r>
      <w:r>
        <w:rPr>
          <w:rFonts w:ascii="Arial" w:cs="Arial" w:eastAsia="Arial" w:hAnsi="Arial"/>
          <w:sz w:val="16"/>
          <w:szCs w:val="16"/>
          <w:color w:val="auto"/>
        </w:rPr>
        <w:t>. Except to the extent expressly authorized by this Agreement or otherwise agreed in writing, during</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 and for a period of [*****] thereafter, the Parties hereby agree to hold in strict confidence and not publish, disclose or transfer, directly or indirectly, or use for any purpose other than as provided for in this Agreement any information and materials furnished to it by or on behalf of the other Party or its Affiliates or generated pursuant to this Agreement (collectively,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For clarity, Confidential Information of a Party or its Affiliates will include, without limitation, all information and materials disclosed by such Party or its Affiliates or their respective designees that (a) is marked as “Confidential,” “Proprietary” or with similar designation at the time of disclosure or (b) by its nature can reasonably be expected to be considered Confidential Information by the recipient. Information disclosed orally will not be required to be identified as such to be considered Confidential Information. The terms of this Agreement shall be deemed to be the Confidential Information of both Parties. Notwithstanding the foregoing, Confidential Information will not include any information to the extent that it can be established by written documentation by the receiving Party that such information: (a) was already known to the receiving Party, other than under an obligation of confidentiality (except to the extent such obligation has expired or an exception is applicable under the relevant agreement pursuant to which such obligation was established), at the time of disclosure, (b) was generally available to the public or otherwise part of the public domain at the time of its disclosure to the receiving Party, (c) became generally available to the public or otherwise part of the public domain after its disclosure and other than through any act or omission of the receiving Party in breach of this Agreement, (d) was independently developed by the receiving Party as demonstrated by written documentation prepared contemporaneously with such independent development; or (e) was disclosed to the receiving Party, other than under an obligation of confidentiality (except to the extent such obligation has expired or an exception is applicable under the relevant agreement pursuant to which such obligation was established), by a third party who had no obligation to the disclosing Party not to disclose such information to others.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63"/>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firstLine="1305"/>
        <w:spacing w:after="0" w:line="284" w:lineRule="auto"/>
        <w:tabs>
          <w:tab w:leader="none" w:pos="1744"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Authorized Disclosure</w:t>
      </w:r>
      <w:r>
        <w:rPr>
          <w:rFonts w:ascii="Arial" w:cs="Arial" w:eastAsia="Arial" w:hAnsi="Arial"/>
          <w:sz w:val="16"/>
          <w:szCs w:val="16"/>
          <w:color w:val="auto"/>
        </w:rPr>
        <w:t>. Except as expressly provided otherwise in this Agreement, each Party may use and disclose Confidential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of the other Party solely as follows: (a) under appropriate confidentiality provisions substantially equivalent to those in this Agreement: (i) in connection with the performance of its obligations or as reasonably necessary or useful in the exercise of its rights under this Agreement, including the right to grant licenses or sublicenses as permitted hereunder, or (ii) to actual or potential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(sub)licensees, acquirers or assignees, collaborators, investment bankers, investors or lenders with whom a Party (or its Affiliates) has entered into good faith negotiations regarding a proposed transaction, or; (b) to the extent such disclosure is to a governmental authority as reasonably necessary in filing or prosecuting the UHN Patent Rights or Present Improvement Patent Rights, copyright and trademark applications in accordance with this Agreement, prosecuting or defending litigation related to this Agreement, complying with applicable governmental regulations with respect to performance under this Agreement, obtaining Regulatory Approval or fulfilling post-approval regulatory obligations for the Licensed Products, or otherwise required by applicable law;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Party is required by applicable law or the rules of any securities exchange or automated quotation system to make any such disclosure of the other Party’s Confidential Information it will, except where impracticable for necessary disclosures (for example, in the event of medical emergency), give reasonable advance notice to the other Party of such disclosure requirement and, in each of the foregoing, will use its reasonable efforts to secure confidential treatment of such Confidential Information required to be disclosed and will only disclosed that Confidential Information that is required to be disclosed; (c) to advisors (including lawyers and accountants) on a need to know basis, in each case under appropriate confidentiality provisions or professional standards of confidentiality substantially equivalent to those of this Agreement, or (d) to the extent mutually agreed to by the Parties. Each Party acknowledges and agrees that the other Party may submit this Agreement to the SEC and if a Party does submit this Agreement to the SEC, such Party agrees to consult with the other Party with respect to the preparation and submission of, a confidential treatment request for this Agreement. If a Party is required by applicable law to make a disclosure of the terms of this Agreement in a filing with or other submission to the SEC, and [*****], then such Party will have the right to make such public disclosure at the time and in the manner reasonably determined by its counsel to be required by applicable law. Notwithstanding anything to the contrary herein, it is hereby understood and agreed that if a Party seeking to make a disclosure to the SEC as set forth in this Section 5.5(b), [*****] such comments, limit disclosure or obtain confidential treatment to the extent reasonably requested by the other Party.</w:t>
      </w:r>
    </w:p>
    <w:p>
      <w:pPr>
        <w:spacing w:after="0" w:line="102" w:lineRule="exact"/>
        <w:rPr>
          <w:rFonts w:ascii="Arial" w:cs="Arial" w:eastAsia="Arial" w:hAnsi="Arial"/>
          <w:sz w:val="16"/>
          <w:szCs w:val="16"/>
          <w:color w:val="auto"/>
        </w:rPr>
      </w:pPr>
    </w:p>
    <w:p>
      <w:pPr>
        <w:jc w:val="both"/>
        <w:ind w:firstLine="1305"/>
        <w:spacing w:after="0" w:line="287" w:lineRule="auto"/>
        <w:tabs>
          <w:tab w:leader="none" w:pos="1734"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Press Releases</w:t>
      </w:r>
      <w:r>
        <w:rPr>
          <w:rFonts w:ascii="Arial" w:cs="Arial" w:eastAsia="Arial" w:hAnsi="Arial"/>
          <w:sz w:val="16"/>
          <w:szCs w:val="16"/>
          <w:color w:val="auto"/>
        </w:rPr>
        <w:t>. Neither Party may issue any press release or make any other public announcement or statement concerning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 transactions contemplated hereby or the terms hereof, without the prior written approval of the other Party, except as may be required by applicable law. In the event either Party (the “</w:t>
      </w:r>
      <w:r>
        <w:rPr>
          <w:rFonts w:ascii="Arial" w:cs="Arial" w:eastAsia="Arial" w:hAnsi="Arial"/>
          <w:sz w:val="16"/>
          <w:szCs w:val="16"/>
          <w:u w:val="single" w:color="auto"/>
          <w:color w:val="auto"/>
        </w:rPr>
        <w:t>Issuing Party</w:t>
      </w:r>
      <w:r>
        <w:rPr>
          <w:rFonts w:ascii="Arial" w:cs="Arial" w:eastAsia="Arial" w:hAnsi="Arial"/>
          <w:sz w:val="16"/>
          <w:szCs w:val="16"/>
          <w:color w:val="auto"/>
        </w:rPr>
        <w:t>”) desires to issue a press release or other public statement disclosing information relating to this Agreement, the transactions contemplated hereby or the terms hereof, the Issuing Party will provide the other Party (the “</w:t>
      </w:r>
      <w:r>
        <w:rPr>
          <w:rFonts w:ascii="Arial" w:cs="Arial" w:eastAsia="Arial" w:hAnsi="Arial"/>
          <w:sz w:val="16"/>
          <w:szCs w:val="16"/>
          <w:u w:val="single" w:color="auto"/>
          <w:color w:val="auto"/>
        </w:rPr>
        <w:t>Reviewing Party</w:t>
      </w:r>
      <w:r>
        <w:rPr>
          <w:rFonts w:ascii="Arial" w:cs="Arial" w:eastAsia="Arial" w:hAnsi="Arial"/>
          <w:sz w:val="16"/>
          <w:szCs w:val="16"/>
          <w:color w:val="auto"/>
        </w:rPr>
        <w:t>”) with a copy of the proposed press release or public statement (the “</w:t>
      </w:r>
      <w:r>
        <w:rPr>
          <w:rFonts w:ascii="Arial" w:cs="Arial" w:eastAsia="Arial" w:hAnsi="Arial"/>
          <w:sz w:val="16"/>
          <w:szCs w:val="16"/>
          <w:u w:val="single" w:color="auto"/>
          <w:color w:val="auto"/>
        </w:rPr>
        <w:t>Release</w:t>
      </w:r>
      <w:r>
        <w:rPr>
          <w:rFonts w:ascii="Arial" w:cs="Arial" w:eastAsia="Arial" w:hAnsi="Arial"/>
          <w:sz w:val="16"/>
          <w:szCs w:val="16"/>
          <w:color w:val="auto"/>
        </w:rPr>
        <w:t>”) and seek the Reviewing Party’s prior written consent. The Issuing Party will specify with each such Release, taking into account the urgency of the matter being disclosed, a reasonable period of time within which the Receiving Party may provide any comments on such Release and if the Receiving Party fails to provide any comments during the response period called for by the Issuing Party, the Reviewing Party will be deemed to have consented to the issuance of such Release. If the Receiving Party provides any comments, the Parties will consult on such Release and work in good faith to prepare a mutually acceptable Release. Either Party may subsequently publicly disclose any information previously contained in any Release so consented to.</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65"/>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PROSECUTION</w:t>
      </w:r>
    </w:p>
    <w:p>
      <w:pPr>
        <w:spacing w:after="0" w:line="1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Responsibility for UHN Patent Rights</w:t>
      </w:r>
      <w:r>
        <w:rPr>
          <w:rFonts w:ascii="Arial" w:cs="Arial" w:eastAsia="Arial" w:hAnsi="Arial"/>
          <w:sz w:val="16"/>
          <w:szCs w:val="16"/>
          <w:color w:val="auto"/>
        </w:rPr>
        <w:t>. Pursuant to each License Agreement, VistaGen has the right to control the preparation, filing, prosecution, defense in post-grant or post-issuance administrative proceedings, and maintenance of all patents and patent applications in respect of the UHN Patent Rights in the Territory. VistaGen hereby grants to Apollo the sole and exclusive right to exercise all of its rights regarding patent prosecution, maintenance and enforcement under each License Agreement, and VistaGen hereby appoints Apollo to act as its agent, to prepare, file, prosecute, maintain and defend in all agency proceedings (e.g., reissues, reexaminations, oppositions and interferences) all of the UHN Patent Rights during the Term. Likewise, VistaGen hereby grants to Apollo the sole and exclusive right to prepare, file, prosecute, maintain and defend in all agency proceedings (e.g., reissues, reexaminations, oppositions and interferences) any and all patent rights within the Present Improvements (the “</w:t>
      </w:r>
      <w:r>
        <w:rPr>
          <w:rFonts w:ascii="Arial" w:cs="Arial" w:eastAsia="Arial" w:hAnsi="Arial"/>
          <w:sz w:val="16"/>
          <w:szCs w:val="16"/>
          <w:u w:val="single" w:color="auto"/>
          <w:color w:val="auto"/>
        </w:rPr>
        <w:t>Present Improvement Patent Rights</w:t>
      </w:r>
      <w:r>
        <w:rPr>
          <w:rFonts w:ascii="Arial" w:cs="Arial" w:eastAsia="Arial" w:hAnsi="Arial"/>
          <w:sz w:val="16"/>
          <w:szCs w:val="16"/>
          <w:color w:val="auto"/>
        </w:rPr>
        <w:t>” and together with Future Improvement Patent Rights, “</w:t>
      </w:r>
      <w:r>
        <w:rPr>
          <w:rFonts w:ascii="Arial" w:cs="Arial" w:eastAsia="Arial" w:hAnsi="Arial"/>
          <w:sz w:val="16"/>
          <w:szCs w:val="16"/>
          <w:u w:val="single" w:color="auto"/>
          <w:color w:val="auto"/>
        </w:rPr>
        <w:t>Improvement Patent Rights</w:t>
      </w:r>
      <w:r>
        <w:rPr>
          <w:rFonts w:ascii="Arial" w:cs="Arial" w:eastAsia="Arial" w:hAnsi="Arial"/>
          <w:sz w:val="16"/>
          <w:szCs w:val="16"/>
          <w:color w:val="auto"/>
        </w:rPr>
        <w:t>”) during the Term. With respect to the foregoing, Apollo shall copy VistaGen on all patent prosecution documents and give VistaGen reasonable opportunities to advise Apollo on such filing, prosecution and maintenance. In the event Apollo desires to abandon any patent or patent application within the UHN Patent Rights or Present Improvement Patent Rights, Apollo shall provide VistaGen with reasonable prior written notice of such intended abandonment or decline of responsibility. If VistaGen elects to continue such patent or patent application, the Parties shall consult and Apollo may elect to retain responsibility therefor. Otherwise, the right to prepare, file, prosecute, maintain and defend the relevant UHN Patent Rights or Present Improvement Patent Rights, at VistaGen’s expense, shall revert to VistaGen and with respect to the UHN Patent Rights shall be subject to the terms and conditions of the applicable License Agreement.</w:t>
      </w:r>
    </w:p>
    <w:p>
      <w:pPr>
        <w:spacing w:after="0" w:line="2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Payment of Expenses</w:t>
      </w:r>
      <w:r>
        <w:rPr>
          <w:rFonts w:ascii="Arial" w:cs="Arial" w:eastAsia="Arial" w:hAnsi="Arial"/>
          <w:sz w:val="18"/>
          <w:szCs w:val="18"/>
          <w:color w:val="auto"/>
        </w:rPr>
        <w:t>. The Parties acknowledge and agree that pursuant to each License Agreement, payment of all fees and costs, including, without limitation, attorney’s fees, for the filing, prosecution and maintenance of the UHN Patent Rights incurred by UHN before the Effective Date shall be the responsibility of VistaGen. Apollo shall be responsible for all such fees and costs incurred after the Effective Date. For the avoidance of doubt, Apollo shall not be responsible for payment of any fees and costs associated with the prosecution and maintenance of the UHN Patent Rights or Present Improvement Patent Rights incurred prior to the Effective Date.</w:t>
      </w:r>
    </w:p>
    <w:p>
      <w:pPr>
        <w:spacing w:after="0" w:line="2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Patent Extensions and Orange or Purple Book Listings</w:t>
      </w:r>
      <w:r>
        <w:rPr>
          <w:rFonts w:ascii="Arial" w:cs="Arial" w:eastAsia="Arial" w:hAnsi="Arial"/>
          <w:sz w:val="16"/>
          <w:szCs w:val="16"/>
          <w:color w:val="auto"/>
        </w:rPr>
        <w:t>. If elections with respect to obtaining patent term extensions (including, without limitation, any available pediatric extensions) or supplemental protection certificates or their equivalents in any country with respect to UHN Patent Rights or Present Improvement Patent Rights are available, Apollo shall have the sole and exclusive right to make any such elections based on Licensed Products. With respect to data exclusivity periods (such as those periods listed in the FDA’s Orange or Purple Book (including, without limitation, any available pediatric extensions) or periods under national implementations of Article 10.1(a)(iii) of Directive 2001/EC/83 or orphan exclusivity periods, and all equivalents in any country), Apollo shall have the sole and exclusive right to seek and maintain all such data exclusivity periods available for the Licensed Products. With respect to all of the rights and activities identified in this Section 6.3, VistaGen hereby appoints Apollo as its agent for such purposes with the authority to act on VistaGen’s behalf with respect to the UHN Patent Rights or Present Improvement Patent Rights in a manner consistent with this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INFRINGEMENT</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Notification of Infringement of Licensed IP or Improvements</w:t>
      </w:r>
      <w:r>
        <w:rPr>
          <w:rFonts w:ascii="Arial" w:cs="Arial" w:eastAsia="Arial" w:hAnsi="Arial"/>
          <w:sz w:val="18"/>
          <w:szCs w:val="18"/>
          <w:color w:val="auto"/>
        </w:rPr>
        <w:t>. Each Party agrees to provide written notice to the other Party promptly after becoming aware of any infringement of the Licensed IP or Improvements by a third party and of any available evidence thereof, including to the extent VistaGen receives notice from UHN of any infringement of the Licensed IP by a third party and of any available evidence thereof.</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66"/>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Right to Prosecute Infringements</w:t>
      </w:r>
      <w:r>
        <w:rPr>
          <w:rFonts w:ascii="Arial" w:cs="Arial" w:eastAsia="Arial" w:hAnsi="Arial"/>
          <w:sz w:val="16"/>
          <w:szCs w:val="16"/>
          <w:color w:val="auto"/>
        </w:rPr>
        <w:t>. Pursuant to each License Agreement, VistaGen has the right to determine the appropriate course of action to enforce the Licensed IP or otherwise abate the infringement thereof, to take (or refrain from taking) appropriate action to enforce the Licensed IP, to defend any declaratory judgments seeking to invalidate or hold the Licensed IP unenforceable, to control any litigation or other enforcement action and to enter into, or permit, the settlement of any such litigation, declaratory judgments or other enforcement action with respect to Licensed IP.</w:t>
      </w:r>
    </w:p>
    <w:p>
      <w:pPr>
        <w:spacing w:after="0" w:line="194" w:lineRule="exact"/>
        <w:rPr>
          <w:sz w:val="20"/>
          <w:szCs w:val="20"/>
          <w:color w:val="auto"/>
        </w:rPr>
      </w:pPr>
    </w:p>
    <w:p>
      <w:pPr>
        <w:jc w:val="both"/>
        <w:ind w:firstLine="1305"/>
        <w:spacing w:after="0" w:line="259" w:lineRule="auto"/>
        <w:tabs>
          <w:tab w:leader="none" w:pos="170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Apollo Right to Prosecute</w:t>
      </w:r>
      <w:r>
        <w:rPr>
          <w:rFonts w:ascii="Arial" w:cs="Arial" w:eastAsia="Arial" w:hAnsi="Arial"/>
          <w:sz w:val="18"/>
          <w:szCs w:val="18"/>
          <w:color w:val="auto"/>
        </w:rPr>
        <w:t>. VistaGen hereby assigns to Apollo the first and exclusive right, but not the obligation, under its own control and at its own expense, to prosecute any third party infringement of the Licensed IP or Present Improvements, subject to Sections 7.4 and 7.5. The total cost of any such infringement action commenced or defended solely by Apollo shall be borne by Apollo.</w:t>
      </w:r>
    </w:p>
    <w:p>
      <w:pPr>
        <w:spacing w:after="0" w:line="113" w:lineRule="exact"/>
        <w:rPr>
          <w:rFonts w:ascii="Arial" w:cs="Arial" w:eastAsia="Arial" w:hAnsi="Arial"/>
          <w:sz w:val="18"/>
          <w:szCs w:val="18"/>
          <w:color w:val="auto"/>
        </w:rPr>
      </w:pPr>
    </w:p>
    <w:p>
      <w:pPr>
        <w:jc w:val="both"/>
        <w:ind w:firstLine="1305"/>
        <w:spacing w:after="0" w:line="298" w:lineRule="auto"/>
        <w:tabs>
          <w:tab w:leader="none" w:pos="1717"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VistaGen Right to Prosecute</w:t>
      </w:r>
      <w:r>
        <w:rPr>
          <w:rFonts w:ascii="Arial" w:cs="Arial" w:eastAsia="Arial" w:hAnsi="Arial"/>
          <w:sz w:val="16"/>
          <w:szCs w:val="16"/>
          <w:color w:val="auto"/>
        </w:rPr>
        <w:t>. If within [*****] after having been notified of any alleged infringement that is material and competitive in the marketplace Apollo is unsuccessful in persuading the alleged infringer to desist and shall not have brought and shall not be diligently prosecuting an infringement action, then VistaGen shall have the right, but shall not be obligated, under its own control and at its own expense, to prosecute any infringement of the Licensed IP or Present Improvements, and, with respect to the Licensed IP, the terms and conditions of the applicable License Agreement shall govern.</w:t>
      </w:r>
    </w:p>
    <w:p>
      <w:pPr>
        <w:spacing w:after="0" w:line="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Declaratory Judgment Actions</w:t>
      </w:r>
      <w:r>
        <w:rPr>
          <w:rFonts w:ascii="Arial" w:cs="Arial" w:eastAsia="Arial" w:hAnsi="Arial"/>
          <w:sz w:val="16"/>
          <w:szCs w:val="16"/>
          <w:color w:val="auto"/>
        </w:rPr>
        <w:t>. If a declaratory judgment action is brought naming UHN, VistaGen or Apollo or any of its Affiliates or Sublicensees as a defendant and alleging invalidity, unenforceability or non-infringement of any UHN Patent Rights or Improvement Patent Rights, Apollo or VistaGen, as the case may be, shall promptly notify the other Party in writing and Apollo may elect, upon written notice to VistaGen within [*****] after receiving or giving notice of the commencement of such action, to take over the sole control of such action at its own expense solely with respect to UHN Patent Rights or Present Improvement Patent Rights. If Apollo does not defend any such action, then VistaGen shall have the right, but shall not be obligated, to defend such action at VistaGen’s expense and, with respect to the UHN Patent Rights, the terms of the applicable License Agreement shall govern.</w:t>
      </w:r>
    </w:p>
    <w:p>
      <w:pPr>
        <w:spacing w:after="0" w:line="20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Offsets</w:t>
      </w:r>
      <w:r>
        <w:rPr>
          <w:rFonts w:ascii="Arial" w:cs="Arial" w:eastAsia="Arial" w:hAnsi="Arial"/>
          <w:sz w:val="18"/>
          <w:szCs w:val="18"/>
          <w:color w:val="auto"/>
        </w:rPr>
        <w:t>. Apollo may offset a total of [*****] of any expenses incurred under Sections 7.2 and 7.3 against any payments due to VistaGen under Article 4, provided that in no event shall such payments under Article 4, when aggregated with any other offsets and credits allowed under this Agreement, be reduced by more than [*****] in any Reporting Period.</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Recovery</w:t>
      </w:r>
      <w:r>
        <w:rPr>
          <w:rFonts w:ascii="Arial" w:cs="Arial" w:eastAsia="Arial" w:hAnsi="Arial"/>
          <w:sz w:val="16"/>
          <w:szCs w:val="16"/>
          <w:color w:val="auto"/>
        </w:rPr>
        <w:t>. In the event that either Party exercises the rights conferred in this Article 7 and recovers any damages or other sums in such action, such damages or other sums recovered shall first be applied to all out-of-pocket costs and expenses incurred by the Parties in connection therewith (including, without limitation, attorneys’ fees). If such recovery is insufficient to cover all such costs and expenses of both Parties, the controlling Party’s costs shall be paid in full first before any of the other Party’s costs. If after such reimbursement any funds shall remain from such damages or other sums recovered, such funds shall be retained by the Party that controlled the action or proceeding under this Article 7; provided, however, that (a) if Apollo is the Party that controlled such action or proceeding, VistaGen shall receive out of any such remaining recovery received by Apollo an amount equal to royalties payable hereunder by treating such remaining recovery as “Net Sales” hereunder and (b) if VistaGen is the Party that controlled such action or proceeding, the remaining recovery received by VistaGen shall be shared equally between Apollo and VistaGen.</w:t>
      </w:r>
    </w:p>
    <w:p>
      <w:pPr>
        <w:spacing w:after="0" w:line="199"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Cooperation</w:t>
      </w:r>
      <w:r>
        <w:rPr>
          <w:rFonts w:ascii="Arial" w:cs="Arial" w:eastAsia="Arial" w:hAnsi="Arial"/>
          <w:sz w:val="16"/>
          <w:szCs w:val="16"/>
          <w:color w:val="auto"/>
        </w:rPr>
        <w:t>. Each Party agrees to cooperate in any action under this Article 7 which is controlled by the other Party, including, without limitation, joining such action as a party plaintiff if necessary or desirable for initiation or continuation of such action; provided that the controlling Party reimburses the cooperating Party promptly for any reasonable costs and expenses incurred by the cooperating Party in connection with providing such assistance.</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68"/>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INDEMNIFICATION AND INSURANCE</w:t>
      </w:r>
    </w:p>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Indemnification of VistaGen</w:t>
      </w:r>
      <w:r>
        <w:rPr>
          <w:rFonts w:ascii="Arial" w:cs="Arial" w:eastAsia="Arial" w:hAnsi="Arial"/>
          <w:sz w:val="16"/>
          <w:szCs w:val="16"/>
          <w:color w:val="auto"/>
        </w:rPr>
        <w:t>. Apollo hereby agrees to indemnify, defend and hold harmless each of VistaGen and its Affiliates and its and their trustees, directors, officers, employees, scientists, agents, successors, assigns and other representatives (collectively, the “</w:t>
      </w:r>
      <w:r>
        <w:rPr>
          <w:rFonts w:ascii="Arial" w:cs="Arial" w:eastAsia="Arial" w:hAnsi="Arial"/>
          <w:sz w:val="16"/>
          <w:szCs w:val="16"/>
          <w:u w:val="single" w:color="auto"/>
          <w:color w:val="auto"/>
        </w:rPr>
        <w:t>VistaGen Indemnitees</w:t>
      </w:r>
      <w:r>
        <w:rPr>
          <w:rFonts w:ascii="Arial" w:cs="Arial" w:eastAsia="Arial" w:hAnsi="Arial"/>
          <w:sz w:val="16"/>
          <w:szCs w:val="16"/>
          <w:color w:val="auto"/>
        </w:rPr>
        <w:t>”) from and against all damages, liabilities, losses and other expenses, including, without limitation, reasonable attorney’s fees, expert witness fees and costs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regarding any claims, suits or proceedings brought by a third party, whether or not a lawsuit or other proceeding is filed (collectively “</w:t>
      </w:r>
      <w:r>
        <w:rPr>
          <w:rFonts w:ascii="Arial" w:cs="Arial" w:eastAsia="Arial" w:hAnsi="Arial"/>
          <w:sz w:val="16"/>
          <w:szCs w:val="16"/>
          <w:u w:val="single" w:color="auto"/>
          <w:color w:val="auto"/>
        </w:rPr>
        <w:t>Claim</w:t>
      </w:r>
      <w:r>
        <w:rPr>
          <w:rFonts w:ascii="Arial" w:cs="Arial" w:eastAsia="Arial" w:hAnsi="Arial"/>
          <w:sz w:val="16"/>
          <w:szCs w:val="16"/>
          <w:color w:val="auto"/>
        </w:rPr>
        <w:t>”), that arise out of or relate to (a) any product, process, or service that is made, used, sold, imported, or performed by or on behalf of Apollo pursuant to any right or license granted under this Agreement, (b) Apollo’s failure to comply with any applicable laws, rules or regulations in connection with this Agreement and (c) the [*****] of Apollo, except that Apollo’s liability for damages under its indemnity shall be reduced or apportioned to the extent any claim is proximately caused by VistaGen’s [*****]. [*****].</w:t>
      </w:r>
    </w:p>
    <w:p>
      <w:pPr>
        <w:spacing w:after="0" w:line="19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Indemnification of Apollo</w:t>
      </w:r>
      <w:r>
        <w:rPr>
          <w:rFonts w:ascii="Arial" w:cs="Arial" w:eastAsia="Arial" w:hAnsi="Arial"/>
          <w:sz w:val="16"/>
          <w:szCs w:val="16"/>
          <w:color w:val="auto"/>
        </w:rPr>
        <w:t>. VistaGen hereby agrees to indemnify, defend and hold harmless Apollo and its Affiliates and its and their trustees, directors, officers, employees, scientists, agents, successors, assigns and other representatives (collectively, the “</w:t>
      </w:r>
      <w:r>
        <w:rPr>
          <w:rFonts w:ascii="Arial" w:cs="Arial" w:eastAsia="Arial" w:hAnsi="Arial"/>
          <w:sz w:val="16"/>
          <w:szCs w:val="16"/>
          <w:u w:val="single" w:color="auto"/>
          <w:color w:val="auto"/>
        </w:rPr>
        <w:t>Apollo Indemnitees</w:t>
      </w:r>
      <w:r>
        <w:rPr>
          <w:rFonts w:ascii="Arial" w:cs="Arial" w:eastAsia="Arial" w:hAnsi="Arial"/>
          <w:sz w:val="16"/>
          <w:szCs w:val="16"/>
          <w:color w:val="auto"/>
        </w:rPr>
        <w:t>”) from and against all Losses regarding any Claims that arise out of or relate to (a) any product, process, or service that is made, used, sold, imported, or performed by or on behalf of VistaGen using or incorporating the Licensed IP, (b) VistaGen’s failure to comply with any applicable laws, rules or regulations in connection with this Agreement, (c) any Claims brought by UHN with respect to any payments due and payable to UHN under any License Agreement and (d) the [*****] of VistaGen, except that VistaGen’s liability for damages under its indemnity shall be reduced or apportioned to the extent any claim is proximately caused by Apollo’s [*****].</w:t>
      </w:r>
    </w:p>
    <w:p>
      <w:pPr>
        <w:spacing w:after="0" w:line="2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Indemnification Procedure</w:t>
      </w:r>
      <w:r>
        <w:rPr>
          <w:rFonts w:ascii="Arial" w:cs="Arial" w:eastAsia="Arial" w:hAnsi="Arial"/>
          <w:sz w:val="18"/>
          <w:szCs w:val="18"/>
          <w:color w:val="auto"/>
        </w:rPr>
        <w:t>. A party entitled to indemnification hereunder shall provide the indemnifying Party with prompt written notice of any claim, suit, action, demand, or judgment for which indemnification is sought under this Agreement. The indemnifying Party shall, at its own expense, provide attorneys reasonably acceptable to the other Party to defend against any such claim. The indemnified Party shall cooperate fully with the indemnifying Party in such defense and shall permit the indemnifying Party to conduct and control such defense and the disposition of such claim, suit, or action (including all decisions relative to litigation, appeal, and settlement).</w:t>
      </w:r>
    </w:p>
    <w:p>
      <w:pPr>
        <w:spacing w:after="0" w:line="2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Insurance</w:t>
      </w:r>
      <w:r>
        <w:rPr>
          <w:rFonts w:ascii="Arial" w:cs="Arial" w:eastAsia="Arial" w:hAnsi="Arial"/>
          <w:sz w:val="18"/>
          <w:szCs w:val="18"/>
          <w:color w:val="auto"/>
        </w:rPr>
        <w:t>. Within [*****] after the Effective Date, Apollo shall obtain and carry in full force and effect commercial general liability insurance, including, without limitation, product liability and errors and omissions insurance which shall protect Apollo and VistaGen Indemnitees with respect to events covered by Section 8.1. The limits of such insurance shall be customary and reasonable in Apollo’s industry. At the request of VistaGen, Apollo shall provide VistaGen with Certificates of Insurance evidencing compliance with this Section 8.4. Apollo shall continue to maintain such insurance after the expiration or termination of this Agreement during any period in which Apollo or any Affiliate or Sublicensee continues to make, use, or sell a product that was a Licensed Product under this Agreement, [*****].</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OR WARRANTIES</w:t>
      </w:r>
    </w:p>
    <w:p>
      <w:pPr>
        <w:spacing w:after="0" w:line="14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Mutual Representations</w:t>
      </w:r>
      <w:r>
        <w:rPr>
          <w:rFonts w:ascii="Arial" w:cs="Arial" w:eastAsia="Arial" w:hAnsi="Arial"/>
          <w:sz w:val="18"/>
          <w:szCs w:val="18"/>
          <w:color w:val="auto"/>
        </w:rPr>
        <w:t>. Each Party represents and warrants to the other that (i) such Party is a company or corporation duly organized, validly existing and in good standing under the laws of the jurisdiction in which it is organized; (ii) such Party has the legal power and authority to execute, deliver and perform this Agreement; (iii) the execution, delivery and performance by such Party of this Agreement has been duly authorized by all necessary corporate action; (iv) this Agreement constitutes the legal, valid and binding obligation of such Party, enforceable against such Party in accordance with its terms; and (v) the execution, delivery and performance of this Agreement shall not cause or result in a violation of any law, of such Party’s charter documents, or of any contract by which such Party is bound.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6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u w:val="single" w:color="auto"/>
          <w:color w:val="auto"/>
        </w:rPr>
        <w:t>VistaGen Representations, Warranties and Covenants</w:t>
      </w:r>
      <w:r>
        <w:rPr>
          <w:rFonts w:ascii="Arial" w:cs="Arial" w:eastAsia="Arial" w:hAnsi="Arial"/>
          <w:sz w:val="15"/>
          <w:szCs w:val="15"/>
          <w:color w:val="auto"/>
        </w:rPr>
        <w:t>. VistaGen represents, warrants and covenants that:</w:t>
      </w:r>
    </w:p>
    <w:p>
      <w:pPr>
        <w:spacing w:after="0" w:line="252" w:lineRule="exact"/>
        <w:rPr>
          <w:sz w:val="20"/>
          <w:szCs w:val="20"/>
          <w:color w:val="auto"/>
        </w:rPr>
      </w:pPr>
    </w:p>
    <w:p>
      <w:pPr>
        <w:jc w:val="both"/>
        <w:ind w:firstLine="1305"/>
        <w:spacing w:after="0" w:line="259" w:lineRule="auto"/>
        <w:tabs>
          <w:tab w:leader="none" w:pos="17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 has, or will have (with respect to Future Improvements), the power and authority to grant the licenses and sublicenses provided for herein to Apollo, and that it has not earlier granted, or assumed any obligation to grant, any rights in the Licensed IP or Improvements to any third party that would conflict with the rights granted to Apollo herein;</w:t>
      </w:r>
    </w:p>
    <w:p>
      <w:pPr>
        <w:spacing w:after="0" w:line="113" w:lineRule="exact"/>
        <w:rPr>
          <w:rFonts w:ascii="Arial" w:cs="Arial" w:eastAsia="Arial" w:hAnsi="Arial"/>
          <w:sz w:val="18"/>
          <w:szCs w:val="18"/>
          <w:color w:val="auto"/>
        </w:rPr>
      </w:pPr>
    </w:p>
    <w:p>
      <w:pPr>
        <w:ind w:left="1720" w:hanging="415"/>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it has obtained from UHN the exclusive right to grant sublicenses (including exclusive sublicenses) under the Licensed IP;</w:t>
      </w:r>
    </w:p>
    <w:p>
      <w:pPr>
        <w:spacing w:after="0" w:line="144" w:lineRule="exact"/>
        <w:rPr>
          <w:rFonts w:ascii="Arial" w:cs="Arial" w:eastAsia="Arial" w:hAnsi="Arial"/>
          <w:sz w:val="18"/>
          <w:szCs w:val="18"/>
          <w:color w:val="auto"/>
        </w:rPr>
      </w:pPr>
    </w:p>
    <w:p>
      <w:pPr>
        <w:ind w:firstLine="1305"/>
        <w:spacing w:after="0" w:line="268" w:lineRule="auto"/>
        <w:tabs>
          <w:tab w:leader="none" w:pos="170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the Effective Date, neither UHN nor VistaGen is in breach of any License Agreement, nor has VistaGen received any notification from UHN alleging it is in breach of any License Agreement;</w:t>
      </w:r>
    </w:p>
    <w:p>
      <w:pPr>
        <w:spacing w:after="0" w:line="104" w:lineRule="exact"/>
        <w:rPr>
          <w:rFonts w:ascii="Arial" w:cs="Arial" w:eastAsia="Arial" w:hAnsi="Arial"/>
          <w:sz w:val="18"/>
          <w:szCs w:val="18"/>
          <w:color w:val="auto"/>
        </w:rPr>
      </w:pPr>
    </w:p>
    <w:p>
      <w:pPr>
        <w:jc w:val="both"/>
        <w:ind w:firstLine="1305"/>
        <w:spacing w:after="0" w:line="259" w:lineRule="auto"/>
        <w:tabs>
          <w:tab w:leader="none" w:pos="17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the Term, in the event that it (i) receives formal written notice from UHN of a material breach of its obligations under any License Agreement or (ii) sends formal written notice to UHN of a material breach of UHN’s obligations under any License Agreement, in each of (i) and (ii), it shall promptly provide Apollo a copy of any such written notice;</w:t>
      </w:r>
    </w:p>
    <w:p>
      <w:pPr>
        <w:spacing w:after="0" w:line="113" w:lineRule="exact"/>
        <w:rPr>
          <w:rFonts w:ascii="Arial" w:cs="Arial" w:eastAsia="Arial" w:hAnsi="Arial"/>
          <w:sz w:val="18"/>
          <w:szCs w:val="18"/>
          <w:color w:val="auto"/>
        </w:rPr>
      </w:pPr>
    </w:p>
    <w:p>
      <w:pPr>
        <w:ind w:firstLine="1305"/>
        <w:spacing w:after="0" w:line="268" w:lineRule="auto"/>
        <w:tabs>
          <w:tab w:leader="none" w:pos="172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the Effective Date, to its knowledge, there are no actions, suits, investigations, claims or proceedings pending or threatened in writing relating to the Licensed IP or Improvements;</w:t>
      </w:r>
    </w:p>
    <w:p>
      <w:pPr>
        <w:spacing w:after="0" w:line="104" w:lineRule="exact"/>
        <w:rPr>
          <w:rFonts w:ascii="Arial" w:cs="Arial" w:eastAsia="Arial" w:hAnsi="Arial"/>
          <w:sz w:val="18"/>
          <w:szCs w:val="18"/>
          <w:color w:val="auto"/>
        </w:rPr>
      </w:pPr>
    </w:p>
    <w:p>
      <w:pPr>
        <w:ind w:firstLine="1305"/>
        <w:spacing w:after="0" w:line="268" w:lineRule="auto"/>
        <w:tabs>
          <w:tab w:leader="none" w:pos="170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of the Effective Date, VistaGen has not received any written notice from UHN or any third party with respect to any actions, suits, investigations, claims or proceedings pending or threatened in writing relating to the Licensed IP or Improvements;</w:t>
      </w:r>
    </w:p>
    <w:p>
      <w:pPr>
        <w:spacing w:after="0" w:line="104" w:lineRule="exact"/>
        <w:rPr>
          <w:rFonts w:ascii="Arial" w:cs="Arial" w:eastAsia="Arial" w:hAnsi="Arial"/>
          <w:sz w:val="18"/>
          <w:szCs w:val="18"/>
          <w:color w:val="auto"/>
        </w:rPr>
      </w:pPr>
    </w:p>
    <w:p>
      <w:pPr>
        <w:ind w:firstLine="1305"/>
        <w:spacing w:after="0" w:line="268" w:lineRule="auto"/>
        <w:tabs>
          <w:tab w:leader="none" w:pos="17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than the License Agreements and the VistaGen SRA, it does not license or does not have the right to license from UHN any other patent rights or other intellectual property applicable to the Apollo Field of Use;</w:t>
      </w:r>
    </w:p>
    <w:p>
      <w:pPr>
        <w:spacing w:after="0" w:line="104" w:lineRule="exact"/>
        <w:rPr>
          <w:rFonts w:ascii="Arial" w:cs="Arial" w:eastAsia="Arial" w:hAnsi="Arial"/>
          <w:sz w:val="18"/>
          <w:szCs w:val="18"/>
          <w:color w:val="auto"/>
        </w:rPr>
      </w:pPr>
    </w:p>
    <w:p>
      <w:pPr>
        <w:ind w:left="1720" w:hanging="415"/>
        <w:spacing w:after="0"/>
        <w:tabs>
          <w:tab w:leader="none" w:pos="17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during the Term, VistaGen shall not breach or default under any provision of each License Agreement; and</w:t>
      </w:r>
    </w:p>
    <w:p>
      <w:pPr>
        <w:spacing w:after="0" w:line="144" w:lineRule="exact"/>
        <w:rPr>
          <w:rFonts w:ascii="Arial" w:cs="Arial" w:eastAsia="Arial" w:hAnsi="Arial"/>
          <w:sz w:val="18"/>
          <w:szCs w:val="18"/>
          <w:color w:val="auto"/>
        </w:rPr>
      </w:pPr>
    </w:p>
    <w:p>
      <w:pPr>
        <w:ind w:left="1700" w:hanging="395"/>
        <w:spacing w:after="0"/>
        <w:tabs>
          <w:tab w:leader="none" w:pos="17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during the Term and thereafter, VistaGen shall not amend or modify any License Agreement in any manner without the prior written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Apollo.</w:t>
      </w:r>
    </w:p>
    <w:p>
      <w:pPr>
        <w:spacing w:after="0" w:line="13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Disclaimer of Warranties</w:t>
      </w:r>
      <w:r>
        <w:rPr>
          <w:rFonts w:ascii="Arial" w:cs="Arial" w:eastAsia="Arial" w:hAnsi="Arial"/>
          <w:sz w:val="18"/>
          <w:szCs w:val="18"/>
          <w:color w:val="auto"/>
        </w:rPr>
        <w:t>. EXCEPT AS OTHERWISE EXPRESSLY SET FORTH IN THIS AGREEMENT, NEITHER PARTY MAKES ANY OTHER WARRANTIES CONCERNING LICENSED IP, IMPROVEMENTS OR ANY OTHER MATTER WHATSOEVER, INCLUDING, WITHOUT LIMITATION, ANY EXPRESS OR IMPLIED WARRANTIES OF MERCHANTABILITY, FITNESS FOR A PARTICULAR PURPOSE, NON-INFRINGEMENT OF THIRD PARTY RIGHTS OR ARISING OUT OF COURSE OF CONDUCT OR TRADE CUSTOM OR USAGE, AND EACH PARTY DISCLAIMS ALL SUCH EXPRESS OR IMPLIED WARRANTIES. VISTAGEN MAKES NO WARRANTY OR REPRESENTATION AS TO THE VALIDITY OR SCOPE OF UHN PATENT RIGHTS OR IMPROVEMENT PATENT RIGHTS, OR THAT ANY LICENSED PRODUCT SHALL BE FREE FROM AN INFRINGEMENT ON PATENTS OR OTHER INTELLECTUAL PROPERTY RIGHTS OF THIRD PARTIES. FURTHER, VISTAGEN HAS MADE NO INVESTIGATION AND MAKES NO REPRESENTATION THAT THE UHN PATENT RIGHTS OR IMPROVEMENT PATENT RIGHTS ARE SUITABLE FOR APOLLO’S PURPOSES.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7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 IN NO EVENT SHALL EITHER PARTY BE LIABLE FOR ANY INDIRECT, SPECIAL, INCIDENTAL, EXEMPLARY OR CONSEQUENTIAL DAMAGES (INCLUDING, WITHOUT LIMITATION, DAMAGES FOR LOSS OF PROFITS OR EXPECTED SAVINGS OR OTHER ECONOMIC LOSSES) ARISING OUT OF OR IN CONNECTION WITH THIS AGREEMENT OR ITS SUBJECT MATTER. EACH PARTY’S AGGREGATE LIABILITY, IF ANY, FOR ALL DAMAGES OF ANY KIND RELATING TO THIS AGREEMENT OR ITS SUBJECT MATTER SHALL NOT EXCEED THE AMOUNT PAID BY APOLLO TO VISTAGEN UNDER THIS AGREEMENT. THE FOREGOING EXCLUSIONS AND LIMITATIONS SHALL APPLY TO ALL CLAIMS AND ACTIONS OF ANY KIND AND ON ANY THEORY OF LIABILITY, WHETHER BASED ON CONTRACT, TORT (INCLUDING, WITHOUT LIMITATION, NEGLIGENCE OR STRICT LIABILITY), OR ANY OTHER GROUNDS, AND REGARDLESS OF WHETHER THE PARTY HAS BEEN ADVISED OF THE POSSIBILITY OF SUCH DAMAGES, AND NOTWITHSTANDING ANY FAILURE OF ESSENTIAL PURPOSE OF ANY LIMITED REMEDY. THE PARTIES FURTHER AGREE THAT EACH WARRANTY DISCLAIMER, EXCLUSION OF DAMAGES OR OTHER LIMITATION OF LIABILITY HEREIN IS INTENDED TO BE SEVERABLE AND INDEPENDENT OF THE OTHER PROVISIONS SINCE THEY EACH REPRESENT SEPARATE ELEMENTS OF RISK ALLOCATION BETWEEN THE PARTIES.</w:t>
      </w:r>
    </w:p>
    <w:p>
      <w:pPr>
        <w:spacing w:after="0" w:line="22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Breach by VistaGen</w:t>
      </w:r>
      <w:r>
        <w:rPr>
          <w:rFonts w:ascii="Arial" w:cs="Arial" w:eastAsia="Arial" w:hAnsi="Arial"/>
          <w:sz w:val="16"/>
          <w:szCs w:val="16"/>
          <w:color w:val="auto"/>
        </w:rPr>
        <w:t>. In the event that VistaGen commits a breach of any License Agreement and Apollo receives notice of such breach, within [*****] of the receipt of any such notice of breach, subject to any cure period permitted under the applicable License Agreement, Apollo may request to meet with UHN and VistaGen and representatives of the Parties shall meet and discuss in good faith a potential cure of such breach in accordance with the terms of the applicable License Agreement. In the event VistaGen is unable to cure such breach, VistaGen hereby provides Apollo (or any of its Affiliates or Sublicensees) the right, but not the obligation, to cure such breach directly with UHN on VistaGen’s behalf in accordance with the terms of the applicable License Agreement. VistaGen shall reimburse Apollo (or any of its Affiliates or Sublicensees) for any and all costs and expenses incurred in attempting to cure, or curing, such breach. In the event such breach is unable to be cured or is not cured (including because Apollo does not elect to cure such breach), at Apollo’s request, VistaGen shall use all reasonable efforts to assist Apollo in entering into a direct license with UHN equal in scope to the sublicense set forth in Article 2, [*****]. VistaGen further agrees not to impede, restrict or otherwise interfere with the entrance of Apollo and UHN into such direct license.</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Breach by UHN</w:t>
      </w:r>
      <w:r>
        <w:rPr>
          <w:rFonts w:ascii="Arial" w:cs="Arial" w:eastAsia="Arial" w:hAnsi="Arial"/>
          <w:sz w:val="18"/>
          <w:szCs w:val="18"/>
          <w:color w:val="auto"/>
        </w:rPr>
        <w:t>. In the event that UHN commits a material breach of any License Agreement and such License Agreement is terminated as a result of such breach, VistaGen shall delegate to Apollo, or pursue at Apollo’s written request and expense, any cause of action that VistaGen may have pursuant to the terms of the applicable License Agreement.</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10</w:t>
      </w:r>
    </w:p>
    <w:p>
      <w:pPr>
        <w:spacing w:after="0" w:line="1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ASSIGNMENT</w:t>
      </w:r>
    </w:p>
    <w:p>
      <w:pPr>
        <w:spacing w:after="0" w:line="117" w:lineRule="exact"/>
        <w:rPr>
          <w:sz w:val="20"/>
          <w:szCs w:val="20"/>
          <w:color w:val="auto"/>
        </w:rPr>
      </w:pPr>
    </w:p>
    <w:p>
      <w:pPr>
        <w:jc w:val="both"/>
        <w:ind w:firstLine="544"/>
        <w:spacing w:after="0" w:line="288" w:lineRule="auto"/>
        <w:rPr>
          <w:sz w:val="20"/>
          <w:szCs w:val="20"/>
          <w:color w:val="auto"/>
        </w:rPr>
      </w:pPr>
      <w:r>
        <w:rPr>
          <w:rFonts w:ascii="Arial" w:cs="Arial" w:eastAsia="Arial" w:hAnsi="Arial"/>
          <w:sz w:val="16"/>
          <w:szCs w:val="16"/>
          <w:color w:val="auto"/>
        </w:rPr>
        <w:t>This Agreement, and the rights and obligations hereunder, may not be assigned or transferred, in whole or in part, by either Party without the prior written consent of the other Party, except that no consent shall be required for either Party to assign this Agreement to (i) any entity acquiring it or all or substantially all of the assets of such Party as to which this Agreement relates whether by sale, merger, operation of law or otherwise (including, for clarity, with respect to VistaGen all of the License Agreements), or (ii) any of its Affiliates; provided that upon any such assignment with respect to VistaGen, VistaGen shall similarly assign each License Agreement and that certain letter agreement by and among UHN, Apollo and VistaGen effective as of the date hereof (the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such that the VistaGen contracting party in each License Agreement and the Letter Agreement is the same VistaGen contracting party as in this Agreement. Each Party shall notify the other Party no later than </w:t>
      </w:r>
      <w:r>
        <w:rPr>
          <w:rFonts w:ascii="Arial" w:cs="Arial" w:eastAsia="Arial" w:hAnsi="Arial"/>
          <w:sz w:val="16"/>
          <w:szCs w:val="16"/>
          <w:b w:val="1"/>
          <w:bCs w:val="1"/>
          <w:color w:val="auto"/>
        </w:rPr>
        <w:t>[*****]</w:t>
      </w:r>
      <w:r>
        <w:rPr>
          <w:rFonts w:ascii="Arial" w:cs="Arial" w:eastAsia="Arial" w:hAnsi="Arial"/>
          <w:sz w:val="16"/>
          <w:szCs w:val="16"/>
          <w:color w:val="auto"/>
        </w:rPr>
        <w:t xml:space="preserve"> after any assignment of this Agreement. Any assignment in circumvention of the foregoing shall be void. Subject to the foregoing, this Agreement shall be binding upon and inure to the benefit of the Parties hereto and their respective permitted successors and assigns.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7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COMPLIANCE WITH LAW</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Apollo shall use reasonable commercial efforts to comply with all commercially material local, state, federal, and international laws and regulations relating to the development, manufacture, use, and sale of Licensed Products.</w:t>
      </w:r>
    </w:p>
    <w:p>
      <w:pPr>
        <w:spacing w:after="0" w:line="2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Export Control</w:t>
      </w:r>
      <w:r>
        <w:rPr>
          <w:rFonts w:ascii="Arial" w:cs="Arial" w:eastAsia="Arial" w:hAnsi="Arial"/>
          <w:sz w:val="16"/>
          <w:szCs w:val="16"/>
          <w:color w:val="auto"/>
        </w:rPr>
        <w:t>. Apollo and its Affiliates and Sublicensees shall comply with all United States laws and regulations controlling the export of certain commodities and technical data, including, without limitation, all Export Administration Regulations of the United States Department of Commerce. Among other things, these laws and regulations prohibit or require a license for the export of certain types of commodities and technical data to specified countries. Apollo hereby gives written assurance that it shall comply with, and shall cause its Affiliates and Sublicensees to comply with, all United States export control laws and regulations, that it bears sole responsibility for any violation of such laws and regulations by itself or its Affiliates or Sublicensees, and that it shall indemnify, defend, and hold VistaGen harmless (in accordance with Section 8.1) for the consequences of any such violation.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Marking of Licensed Products</w:t>
      </w:r>
      <w:r>
        <w:rPr>
          <w:rFonts w:ascii="Arial" w:cs="Arial" w:eastAsia="Arial" w:hAnsi="Arial"/>
          <w:sz w:val="18"/>
          <w:szCs w:val="18"/>
          <w:color w:val="auto"/>
        </w:rPr>
        <w:t>. To the extent commercially feasible and consistent with prevailing business practices, Apollo shall mark, and shall cause its Affiliates and Sublicensees to mark, all Licensed Products that are manufactured or sold under this Agreement with the number of each issued patent under the UHN Patent Rights or Improvement Patent Rights that applies to such Licensed Product.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14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Term</w:t>
      </w:r>
      <w:r>
        <w:rPr>
          <w:rFonts w:ascii="Arial" w:cs="Arial" w:eastAsia="Arial" w:hAnsi="Arial"/>
          <w:sz w:val="16"/>
          <w:szCs w:val="16"/>
          <w:color w:val="auto"/>
        </w:rPr>
        <w:t>. Unless earlier terminated in accordance with the provisions of this Article 12, this Agreement shall continue in force on a country-by-country and Licensed Product-by-Licensed Product basis until the expiration of the last to expire patent within the UHN Patent Rights or Improvement Patent Rights (the “</w:t>
      </w:r>
      <w:r>
        <w:rPr>
          <w:rFonts w:ascii="Arial" w:cs="Arial" w:eastAsia="Arial" w:hAnsi="Arial"/>
          <w:sz w:val="16"/>
          <w:szCs w:val="16"/>
          <w:u w:val="single" w:color="auto"/>
          <w:color w:val="auto"/>
        </w:rPr>
        <w:t>Term</w:t>
      </w:r>
      <w:r>
        <w:rPr>
          <w:rFonts w:ascii="Arial" w:cs="Arial" w:eastAsia="Arial" w:hAnsi="Arial"/>
          <w:sz w:val="16"/>
          <w:szCs w:val="16"/>
          <w:color w:val="auto"/>
        </w:rPr>
        <w:t>”). Following the end of the Term for any such Licensed Product in such country by expiration (but not termination), the licenses granted to Apollo under Sections 2.1(a)-(c) will become perpetual, irrevocable, non-terminable, fully paid-up and royalty-free.</w:t>
      </w:r>
    </w:p>
    <w:p>
      <w:pPr>
        <w:spacing w:after="0" w:line="194"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u w:val="single" w:color="auto"/>
          <w:color w:val="auto"/>
        </w:rPr>
        <w:t>Voluntary Termination by Apollo.</w:t>
      </w:r>
    </w:p>
    <w:p>
      <w:pPr>
        <w:spacing w:after="0" w:line="252" w:lineRule="exact"/>
        <w:rPr>
          <w:sz w:val="20"/>
          <w:szCs w:val="20"/>
          <w:color w:val="auto"/>
        </w:rPr>
      </w:pPr>
    </w:p>
    <w:p>
      <w:pPr>
        <w:ind w:right="20" w:firstLine="1305"/>
        <w:spacing w:after="0" w:line="268" w:lineRule="auto"/>
        <w:tabs>
          <w:tab w:leader="none" w:pos="1721"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Apollo shall have the right to terminate this Agreement, for any reason, upon at least [*****] prior written notice to VistaGen, such notice to state the date at least [*****] in the future upon which termination is to be effective.</w:t>
      </w:r>
    </w:p>
    <w:p>
      <w:pPr>
        <w:spacing w:after="0" w:line="104" w:lineRule="exact"/>
        <w:rPr>
          <w:rFonts w:ascii="Arial" w:cs="Arial" w:eastAsia="Arial" w:hAnsi="Arial"/>
          <w:sz w:val="18"/>
          <w:szCs w:val="18"/>
          <w:color w:val="auto"/>
        </w:rPr>
      </w:pPr>
    </w:p>
    <w:p>
      <w:pPr>
        <w:jc w:val="both"/>
        <w:ind w:firstLine="1305"/>
        <w:spacing w:after="0" w:line="254" w:lineRule="auto"/>
        <w:tabs>
          <w:tab w:leader="none" w:pos="171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Apollo shall have the right to terminate this Agreement immediately upon written notice to VistaGen on a Licensed IP-by-Licensed IP, UHN Patent Right-by-UHN Patent Right, Improvement-by-Improvement or Improvement Patent Right-by-Improvement Patent Right basis, such notice to state the Licensed IP, UHN Patent Right, Improvement or Improvement Patent Right for which such termination shall be applicable (such terminated patent right or other intellectual property, the “</w:t>
      </w:r>
      <w:r>
        <w:rPr>
          <w:rFonts w:ascii="Arial" w:cs="Arial" w:eastAsia="Arial" w:hAnsi="Arial"/>
          <w:sz w:val="18"/>
          <w:szCs w:val="18"/>
          <w:u w:val="single" w:color="auto"/>
          <w:color w:val="auto"/>
        </w:rPr>
        <w:t>Terminated IP</w:t>
      </w:r>
      <w:r>
        <w:rPr>
          <w:rFonts w:ascii="Arial" w:cs="Arial" w:eastAsia="Arial" w:hAnsi="Arial"/>
          <w:sz w:val="18"/>
          <w:szCs w:val="18"/>
          <w:color w:val="auto"/>
        </w:rPr>
        <w:t>”). In the event Apollo provides such notice, the Terminated IP will no longer be subject to this Agreement, all licenses or sublicenses to such Terminated IP will terminate and Apollo shall have no further rights or obligations with respect to such Terminated IP as of the date of VistaGen’s receipt of such written notice.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74"/>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u w:val="single" w:color="auto"/>
          <w:color w:val="auto"/>
        </w:rPr>
        <w:t>Termination for Breach.</w:t>
      </w:r>
    </w:p>
    <w:p>
      <w:pPr>
        <w:spacing w:after="0" w:line="252" w:lineRule="exact"/>
        <w:rPr>
          <w:sz w:val="20"/>
          <w:szCs w:val="20"/>
          <w:color w:val="auto"/>
        </w:rPr>
      </w:pPr>
    </w:p>
    <w:p>
      <w:pPr>
        <w:jc w:val="both"/>
        <w:ind w:firstLine="1305"/>
        <w:spacing w:after="0" w:line="255" w:lineRule="auto"/>
        <w:tabs>
          <w:tab w:leader="none" w:pos="17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event Apollo commits a material breach of its obligations under this Agreement, and fails to cure that breach within [*****] after receiving written notice thereof, VistaGen may terminate this Agreement immediately upon written notice to Apollo, subject to completion of the dispute resolution process set forth in Article 13 and subsequent cure. Notwithstanding the foregoing, if VistaGen terminates this Agreement due to Apollo’s failure to timely pay the sublicense and license issue fee required in Section 4.1(a), the termination is effective upon notice and the dispute resolution process set forth in Article 13 shall not apply to such termination.</w:t>
      </w:r>
    </w:p>
    <w:p>
      <w:pPr>
        <w:spacing w:after="0" w:line="115" w:lineRule="exact"/>
        <w:rPr>
          <w:rFonts w:ascii="Arial" w:cs="Arial" w:eastAsia="Arial" w:hAnsi="Arial"/>
          <w:sz w:val="18"/>
          <w:szCs w:val="18"/>
          <w:color w:val="auto"/>
        </w:rPr>
      </w:pPr>
    </w:p>
    <w:p>
      <w:pPr>
        <w:jc w:val="both"/>
        <w:ind w:firstLine="1305"/>
        <w:spacing w:after="0" w:line="298" w:lineRule="auto"/>
        <w:tabs>
          <w:tab w:leader="none" w:pos="171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event VistaGen commits a material breach of its obligations under this Agreement, Apollo may, in its discretion, either (i) terminate this Agreement if VistaGen has not cured such breach within [*****] after receipt of written notice thereof or (ii) continue this Agreement and seek arbitration pursuant to Article 13 confirming that such breach has in fact occurred and/or seeking specific performance, and if such arbitration finds that such breach indeed has occurred, then any future payments to VistaGen pursuant to Article 4 of this Agreement shall be reduced by [*****] as of the termination date.</w:t>
      </w:r>
    </w:p>
    <w:p>
      <w:pPr>
        <w:spacing w:after="0" w:line="86"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Other Grounds for Bankruptcy</w:t>
      </w:r>
      <w:r>
        <w:rPr>
          <w:rFonts w:ascii="Arial" w:cs="Arial" w:eastAsia="Arial" w:hAnsi="Arial"/>
          <w:sz w:val="18"/>
          <w:szCs w:val="18"/>
          <w:color w:val="auto"/>
        </w:rPr>
        <w:t>. A Party may terminate this Agreement immediately if the other Party hereto is declared insolvent or commits an act of bankruptcy.</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u w:val="single" w:color="auto"/>
          <w:color w:val="auto"/>
        </w:rPr>
        <w:t>Effect of Expiration or Termination.</w:t>
      </w:r>
    </w:p>
    <w:p>
      <w:pPr>
        <w:spacing w:after="0" w:line="252" w:lineRule="exact"/>
        <w:rPr>
          <w:sz w:val="20"/>
          <w:szCs w:val="20"/>
          <w:color w:val="auto"/>
        </w:rPr>
      </w:pPr>
    </w:p>
    <w:p>
      <w:pPr>
        <w:jc w:val="both"/>
        <w:ind w:firstLine="1305"/>
        <w:spacing w:after="0" w:line="259" w:lineRule="auto"/>
        <w:tabs>
          <w:tab w:leader="none" w:pos="170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following provisions shall survive the expiration or termination of this Agreement: Article 1, Article 8, Article 9, Article 13 and Article 14, and Sections 4.1(f), 5.2 (but only with respect to obligation to provide final report and payment), 5.3, 11.1, 11.2, 12.1 (but only with respect to the second sentence) and 12.5.</w:t>
      </w:r>
    </w:p>
    <w:p>
      <w:pPr>
        <w:spacing w:after="0" w:line="113" w:lineRule="exact"/>
        <w:rPr>
          <w:rFonts w:ascii="Arial" w:cs="Arial" w:eastAsia="Arial" w:hAnsi="Arial"/>
          <w:sz w:val="18"/>
          <w:szCs w:val="18"/>
          <w:color w:val="auto"/>
        </w:rPr>
      </w:pPr>
    </w:p>
    <w:p>
      <w:pPr>
        <w:jc w:val="both"/>
        <w:ind w:firstLine="1305"/>
        <w:spacing w:after="0" w:line="298" w:lineRule="auto"/>
        <w:tabs>
          <w:tab w:leader="none" w:pos="1717"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Inventory</w:t>
      </w:r>
      <w:r>
        <w:rPr>
          <w:rFonts w:ascii="Arial" w:cs="Arial" w:eastAsia="Arial" w:hAnsi="Arial"/>
          <w:sz w:val="16"/>
          <w:szCs w:val="16"/>
          <w:color w:val="auto"/>
        </w:rPr>
        <w:t>. Upon the early termination of this Agreement, Apollo and its Affiliates and Sublicensees may complete and sell any work-in-progress and inventory of Licensed Products that exist as of the effective date of termination, provided that (i) Apollo pays VistaGen the applicable running royalty or other amounts due on Net Sales of any Revenue Bearing Products in accordance with the terms and conditions of this Agreement, and (ii) Apollo and its Affiliates and Sublicensees shall complete and sell all work-in-progress and inventory of Licensed Products after the effective date of termination.</w:t>
      </w:r>
    </w:p>
    <w:p>
      <w:pPr>
        <w:spacing w:after="0" w:line="85" w:lineRule="exact"/>
        <w:rPr>
          <w:rFonts w:ascii="Arial" w:cs="Arial" w:eastAsia="Arial" w:hAnsi="Arial"/>
          <w:sz w:val="16"/>
          <w:szCs w:val="16"/>
          <w:color w:val="auto"/>
        </w:rPr>
      </w:pPr>
    </w:p>
    <w:p>
      <w:pPr>
        <w:ind w:firstLine="1305"/>
        <w:spacing w:after="0" w:line="268" w:lineRule="auto"/>
        <w:tabs>
          <w:tab w:leader="none" w:pos="1721"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Expiration or termination of this Agreement for any reason shall not relieve either Party of any liability or obligation which accrued hereunder prior to the effective date of such termination or expiration.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DISPUTE RESOLUTION</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Mandatory Procedures</w:t>
      </w:r>
      <w:r>
        <w:rPr>
          <w:rFonts w:ascii="Arial" w:cs="Arial" w:eastAsia="Arial" w:hAnsi="Arial"/>
          <w:sz w:val="18"/>
          <w:szCs w:val="18"/>
          <w:color w:val="auto"/>
        </w:rPr>
        <w:t>. The Parties agree that any dispute arising out of or relating to this Agreement shall be resolved solely by means of the procedures set forth in this Article 13, and that such procedures constitute legally binding obligations that are an essential provision of this Agreement. If either Party fails to observe the procedures of this Article 13, as may be modified by their written agreement, the other Party may bring an action for specific performance of these procedures in any court of competent jurisdiction.</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Equitable Remedies</w:t>
      </w:r>
      <w:r>
        <w:rPr>
          <w:rFonts w:ascii="Arial" w:cs="Arial" w:eastAsia="Arial" w:hAnsi="Arial"/>
          <w:sz w:val="18"/>
          <w:szCs w:val="18"/>
          <w:color w:val="auto"/>
        </w:rPr>
        <w:t>. Although the procedures specified in this Article 13 are the sole and exclusive procedures for the resolution of disputes arising out of or relating to this Agreement, either Party may seek a preliminary injunction or other provisional equitable relief if, in its reasonable judgment, such action is necessary to avoid irreparable harm to itself or to preserve its rights under this Agreement.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77"/>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Dispute Resolution Procedures</w:t>
      </w:r>
      <w:r>
        <w:rPr>
          <w:rFonts w:ascii="Arial" w:cs="Arial" w:eastAsia="Arial" w:hAnsi="Arial"/>
          <w:sz w:val="16"/>
          <w:szCs w:val="16"/>
          <w:color w:val="auto"/>
        </w:rPr>
        <w:t>. Any controversy or claim arising out of or relating to this Agreement, or the breach thereof, shall be settled by binding confidential arbitration in accordance with the Commercial Arbitration Rules (the “</w:t>
      </w:r>
      <w:r>
        <w:rPr>
          <w:rFonts w:ascii="Arial" w:cs="Arial" w:eastAsia="Arial" w:hAnsi="Arial"/>
          <w:sz w:val="16"/>
          <w:szCs w:val="16"/>
          <w:u w:val="single" w:color="auto"/>
          <w:color w:val="auto"/>
        </w:rPr>
        <w:t>Rules</w:t>
      </w:r>
      <w:r>
        <w:rPr>
          <w:rFonts w:ascii="Arial" w:cs="Arial" w:eastAsia="Arial" w:hAnsi="Arial"/>
          <w:sz w:val="16"/>
          <w:szCs w:val="16"/>
          <w:color w:val="auto"/>
        </w:rPr>
        <w:t>”) of the American Arbitration Association (“</w:t>
      </w:r>
      <w:r>
        <w:rPr>
          <w:rFonts w:ascii="Arial" w:cs="Arial" w:eastAsia="Arial" w:hAnsi="Arial"/>
          <w:sz w:val="16"/>
          <w:szCs w:val="16"/>
          <w:u w:val="single" w:color="auto"/>
          <w:color w:val="auto"/>
        </w:rPr>
        <w:t>AAA</w:t>
      </w:r>
      <w:r>
        <w:rPr>
          <w:rFonts w:ascii="Arial" w:cs="Arial" w:eastAsia="Arial" w:hAnsi="Arial"/>
          <w:sz w:val="16"/>
          <w:szCs w:val="16"/>
          <w:color w:val="auto"/>
        </w:rPr>
        <w:t>”), and the procedures set forth below. In the event of any inconsistency between the Rules of AAA and the procedures set forth below, the procedures set forth below shall control. Judgment upon the award rendered by the arbitrators may be enforced in any court having jurisdiction thereof.</w:t>
      </w:r>
    </w:p>
    <w:p>
      <w:pPr>
        <w:spacing w:after="0" w:line="194" w:lineRule="exact"/>
        <w:rPr>
          <w:sz w:val="20"/>
          <w:szCs w:val="20"/>
          <w:color w:val="auto"/>
        </w:rPr>
      </w:pPr>
    </w:p>
    <w:p>
      <w:pPr>
        <w:jc w:val="both"/>
        <w:ind w:firstLine="1305"/>
        <w:spacing w:after="0" w:line="298" w:lineRule="auto"/>
        <w:tabs>
          <w:tab w:leader="none" w:pos="1721"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location of the arbitration shall be in the County of New York. VistaGen and Apollo hereby irrevocably submit to the exclusive jurisdiction and venue of the AAA arbitration panel selected by the Parties and located in New York, New York for any dispute regarding this Agreement, and to the exclusive jurisdiction and venue of the federal and state courts located in New York, New York for any action or proceeding to enforce an arbitration award or as otherwise provided in Section 13.3(e), and waive any right to contest or otherwise object to such jurisdiction or venue.</w:t>
      </w:r>
    </w:p>
    <w:p>
      <w:pPr>
        <w:spacing w:after="0" w:line="85" w:lineRule="exact"/>
        <w:rPr>
          <w:rFonts w:ascii="Arial" w:cs="Arial" w:eastAsia="Arial" w:hAnsi="Arial"/>
          <w:sz w:val="16"/>
          <w:szCs w:val="16"/>
          <w:color w:val="auto"/>
        </w:rPr>
      </w:pPr>
    </w:p>
    <w:p>
      <w:pPr>
        <w:jc w:val="both"/>
        <w:ind w:firstLine="1305"/>
        <w:spacing w:after="0" w:line="290" w:lineRule="auto"/>
        <w:tabs>
          <w:tab w:leader="none" w:pos="1717"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arbitration shall be conducted by a panel of three neutral arbitrators who are independent and disinterested with respect to the Parties, this Agreement, and the outcome of the arbitration. Each Party shall appoint one neutral arbitrator, and these two arbitrators so selected by the Parties shall then select the third arbitrator, and all arbitrators must have at least ten (10) years’ experience in mediating or arbitrating cases regarding the same or substantially similar subject matter as the dispute between VistaGen and Apollo. If one Party has given written notice to the other Party as to the identity of the arbitrator appointed by the Party, and the Party thereafter makes a written demand on the other Party to appoint its designated arbitrator within the next ten days, and the other Party fails to appoint its designated arbitrator within ten days after receiving said written demand, then the arbitrator who has already been designated shall appoint the other two arbitrators.</w:t>
      </w:r>
    </w:p>
    <w:p>
      <w:pPr>
        <w:spacing w:after="0" w:line="91" w:lineRule="exact"/>
        <w:rPr>
          <w:rFonts w:ascii="Arial" w:cs="Arial" w:eastAsia="Arial" w:hAnsi="Arial"/>
          <w:sz w:val="16"/>
          <w:szCs w:val="16"/>
          <w:color w:val="auto"/>
        </w:rPr>
      </w:pPr>
    </w:p>
    <w:p>
      <w:pPr>
        <w:ind w:firstLine="1305"/>
        <w:spacing w:after="0" w:line="268" w:lineRule="auto"/>
        <w:tabs>
          <w:tab w:leader="none" w:pos="17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arbitrators shall decide any disputes and shall control the process concerning these pre-hearing discovery matters. Pursuant to the Rules of AAA, the Parties may subpoena witnesses and documents for presentation at the hearing.</w:t>
      </w:r>
    </w:p>
    <w:p>
      <w:pPr>
        <w:spacing w:after="0" w:line="104" w:lineRule="exact"/>
        <w:rPr>
          <w:rFonts w:ascii="Arial" w:cs="Arial" w:eastAsia="Arial" w:hAnsi="Arial"/>
          <w:sz w:val="18"/>
          <w:szCs w:val="18"/>
          <w:color w:val="auto"/>
        </w:rPr>
      </w:pPr>
    </w:p>
    <w:p>
      <w:pPr>
        <w:jc w:val="both"/>
        <w:ind w:firstLine="1305"/>
        <w:spacing w:after="0" w:line="256" w:lineRule="auto"/>
        <w:tabs>
          <w:tab w:leader="none" w:pos="17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Prompt resolution of any dispute is important to both Parties; and the Parties agree that the arbitration of any dispute shall be conducted expeditiously. The arbitrators are instructed and directed to assume case management initiative and control over the arbitration process (including, without limitation, scheduling of events, pre-hearing discovery and activities, and the conduct of the hearing), in order to complete the arbitration as expeditiously as is reasonably practical for obtaining a just resolution of the dispute.</w:t>
      </w:r>
    </w:p>
    <w:p>
      <w:pPr>
        <w:spacing w:after="0" w:line="116" w:lineRule="exact"/>
        <w:rPr>
          <w:rFonts w:ascii="Arial" w:cs="Arial" w:eastAsia="Arial" w:hAnsi="Arial"/>
          <w:sz w:val="18"/>
          <w:szCs w:val="18"/>
          <w:color w:val="auto"/>
        </w:rPr>
      </w:pPr>
    </w:p>
    <w:p>
      <w:pPr>
        <w:jc w:val="both"/>
        <w:ind w:firstLine="1305"/>
        <w:spacing w:after="0" w:line="255" w:lineRule="auto"/>
        <w:tabs>
          <w:tab w:leader="none" w:pos="172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arbitrators may grant any legal or equitable remedy or relief that the arbitrators deem just and equitable, to the same extent that remedies or relief could be granted by a state or federal court, provided however, that no punitive damages may be awarded. No court action shall be maintained seeking punitive damages. The decision of any two of the three arbitrators appointed shall be binding upon the Parties. Notwithstanding anything to the contrary in this Agreement, prior to or while an arbitration proceeding is pending, either Party has the right to seek and obtain injunctive and other equitable relief from a court of competent jurisdiction to enforce that Party’s rights hereunder.</w:t>
      </w:r>
    </w:p>
    <w:p>
      <w:pPr>
        <w:spacing w:after="0" w:line="115" w:lineRule="exact"/>
        <w:rPr>
          <w:rFonts w:ascii="Arial" w:cs="Arial" w:eastAsia="Arial" w:hAnsi="Arial"/>
          <w:sz w:val="18"/>
          <w:szCs w:val="18"/>
          <w:color w:val="auto"/>
        </w:rPr>
      </w:pPr>
    </w:p>
    <w:p>
      <w:pPr>
        <w:jc w:val="both"/>
        <w:ind w:firstLine="1305"/>
        <w:spacing w:after="0" w:line="256" w:lineRule="auto"/>
        <w:tabs>
          <w:tab w:leader="none" w:pos="17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expenses of the arbitration, including, without limitation, the arbitrators’ fees, expert witness fees, and attorney’s fees, may be awarded to the prevailing Party, in the discretion of the arbitrators, or may be apportioned between the Parties in any manner deemed appropriate by the arbitrators. Unless and until the arbitrators decide that one Party is to pay for all (or a share) of such expenses, both Parties shall share equally in the payment of the arbitrators’ fees as and when billed by the arbitrators.</w:t>
      </w:r>
    </w:p>
    <w:p>
      <w:pPr>
        <w:spacing w:after="0" w:line="116" w:lineRule="exact"/>
        <w:rPr>
          <w:rFonts w:ascii="Arial" w:cs="Arial" w:eastAsia="Arial" w:hAnsi="Arial"/>
          <w:sz w:val="18"/>
          <w:szCs w:val="18"/>
          <w:color w:val="auto"/>
        </w:rPr>
      </w:pPr>
    </w:p>
    <w:p>
      <w:pPr>
        <w:ind w:firstLine="1305"/>
        <w:spacing w:after="0" w:line="268" w:lineRule="auto"/>
        <w:tabs>
          <w:tab w:leader="none" w:pos="1717"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any disputes arising hereunder with respect to the inventorship, validity, enforceability or other aspect of intellectual property rights shall be resolved by a court of competent jurisdiction and not by arbitration.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79"/>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52" w:lineRule="exact"/>
        <w:rPr>
          <w:sz w:val="20"/>
          <w:szCs w:val="20"/>
          <w:color w:val="auto"/>
        </w:rPr>
      </w:pPr>
    </w:p>
    <w:p>
      <w:pPr>
        <w:jc w:val="both"/>
        <w:ind w:firstLine="1305"/>
        <w:spacing w:after="0" w:line="314" w:lineRule="auto"/>
        <w:tabs>
          <w:tab w:leader="none" w:pos="1717" w:val="left"/>
        </w:tabs>
        <w:numPr>
          <w:ilvl w:val="0"/>
          <w:numId w:val="80"/>
        </w:numPr>
        <w:rPr>
          <w:rFonts w:ascii="Arial" w:cs="Arial" w:eastAsia="Arial" w:hAnsi="Arial"/>
          <w:sz w:val="15"/>
          <w:szCs w:val="15"/>
          <w:color w:val="auto"/>
        </w:rPr>
      </w:pPr>
      <w:r>
        <w:rPr>
          <w:rFonts w:ascii="Arial" w:cs="Arial" w:eastAsia="Arial" w:hAnsi="Arial"/>
          <w:sz w:val="15"/>
          <w:szCs w:val="15"/>
          <w:color w:val="auto"/>
        </w:rPr>
        <w:t>Except as set forth below and as necessary to obtain or enforce a judgment upon any arbitration award, the Parties shall keep confidential the fact of the arbitration, the dispute being arbitrated, and the decision of the arbitrators. Notwithstanding the foregoing, the Parties may disclose information about the arbitration to persons who have a need to know, such as directors, trustees, management employees, witnesses, experts, investors, attorneys, lenders, insurers, actual or potential collaborators or corporate partners of Apollo, actual or potential acquirors of Apollo, and others who may be directly affected provided that such persons are bound to keep such information confidential. Additionally, if a Party has stock which is publicly traded, the Party may make such disclosures as are required by applicable securities laws, but shall use commercially reasonably efforts to seek confidential treatment for such disclosure.</w:t>
      </w:r>
    </w:p>
    <w:p>
      <w:pPr>
        <w:spacing w:after="0" w:line="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Performance to Continue</w:t>
      </w:r>
      <w:r>
        <w:rPr>
          <w:rFonts w:ascii="Arial" w:cs="Arial" w:eastAsia="Arial" w:hAnsi="Arial"/>
          <w:sz w:val="18"/>
          <w:szCs w:val="18"/>
          <w:color w:val="auto"/>
        </w:rPr>
        <w:t>. Each Party shall continue to perform its undisputed obligations under this Agreement pending final resolution of any dispute arising out of or relating to this Agreement; provided, however, that a Party may suspend performance of its undisputed obligations during any period in which the other Party fails or refuses to perform its undisputed obligations.</w:t>
      </w:r>
    </w:p>
    <w:p>
      <w:pPr>
        <w:spacing w:after="0" w:line="221"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Statute of Limitations</w:t>
      </w:r>
      <w:r>
        <w:rPr>
          <w:rFonts w:ascii="Arial" w:cs="Arial" w:eastAsia="Arial" w:hAnsi="Arial"/>
          <w:sz w:val="16"/>
          <w:szCs w:val="16"/>
          <w:color w:val="auto"/>
        </w:rPr>
        <w:t>. The Parties agree that all applicable statutes of limitation and time-based defenses (such as estoppel and laches) shall be tolled while the procedures set forth in Section 13.5 are pending. The Parties shall cooperate in taking any actions necessary to achieve this result.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14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u w:val="single" w:color="auto"/>
          <w:color w:val="auto"/>
        </w:rPr>
        <w:t>Notice</w:t>
      </w:r>
      <w:r>
        <w:rPr>
          <w:rFonts w:ascii="Arial" w:cs="Arial" w:eastAsia="Arial" w:hAnsi="Arial"/>
          <w:sz w:val="18"/>
          <w:szCs w:val="18"/>
          <w:color w:val="auto"/>
        </w:rPr>
        <w:t>. Any notices required or permitted under this Agreement shall be in writing, shall specifically refer to this Agreement, and shall be sent by hand, recognized national overnight courier, confirmed facsimile transmission, confirmed electronic mail, or registered or certified mail, postage prepaid, return receipt requested, to the following addresses or facsimile numbers of the Parties: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VistaGen:</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VistaGen Therapeutics, Inc.</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343 Allerton Ave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Shawn K. Singh, CEO</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Apollo:</w:t>
      </w:r>
    </w:p>
    <w:p>
      <w:pPr>
        <w:spacing w:after="0" w:line="11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Apollo Biologics LP</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Versant Venture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One Sansome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Suite 3630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Jerel Davis, Authorized Representative</w:t>
      </w:r>
    </w:p>
    <w:p>
      <w:pPr>
        <w:spacing w:after="0" w:line="327"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All notices under this Agreement shall be deemed effective upon receipt. A Party may change its contact information immediately upon written notice to the other Party in the manner provided in this Section 14.1.</w:t>
      </w:r>
    </w:p>
    <w:p>
      <w:pPr>
        <w:spacing w:after="0" w:line="10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disputes arising out of or related to this Agreement, or the performance, enforcement, breach or termination hereof, and any remedies relating thereto, shall be construed, governed, interpreted and applied in accordance with the laws of the State of Delaware, without regard to conflict of laws principles, except that questions affecting the construction and effect of any patent shall be determined by the law of the country in which the patent shall have been granted.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81"/>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7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Force Majeure</w:t>
      </w:r>
      <w:r>
        <w:rPr>
          <w:rFonts w:ascii="Arial" w:cs="Arial" w:eastAsia="Arial" w:hAnsi="Arial"/>
          <w:sz w:val="16"/>
          <w:szCs w:val="16"/>
          <w:color w:val="auto"/>
        </w:rPr>
        <w:t>. Neither Party shall be responsible for delays resulting from causes beyond the reasonable control of such Party, including, without limitation fire, explosion, flood, war, strike, or riot, provided that the nonperforming Party uses commercially reasonable efforts to avoid or remove such causes of nonperformance and continues performance under this Agreement with reasonable dispatch whenever such causes are removed.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This Agreement may be amended, supplemented, or otherwise modified only by means of a written instrument signed by both Parties. Any waiver of any rights or failure to act in a specific instance shall relate only to such instance and shall not be construed as an agreement to waive any rights or fail to act in any other instance, whether or not similar.</w:t>
      </w:r>
    </w:p>
    <w:p>
      <w:pPr>
        <w:spacing w:after="0" w:line="2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14.5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shall be held invalid or unenforceable for any reason, such invalidity or unenforceability shall not affect any other provision of this Agreement, and the Parties shall negotiate in good faith to modify this Agreement to preserve (to the extent possible) their original intent. If the Parties fail to reach a modified agreement within thirty (30) days after the relevant provision is held invalid or unenforceable, then the dispute shall be resolved in accordance with the procedures set forth in Article 13. While the dispute is pending resolution, this Agreement shall be construed as if such provision were deleted by agreement of the Parties.</w:t>
      </w:r>
    </w:p>
    <w:p>
      <w:pPr>
        <w:spacing w:after="0" w:line="22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Parties and their respective legal representatives, successors and assigns.</w:t>
      </w:r>
    </w:p>
    <w:p>
      <w:pPr>
        <w:spacing w:after="0" w:line="21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u w:val="single" w:color="auto"/>
          <w:color w:val="auto"/>
        </w:rPr>
        <w:t>Headings</w:t>
      </w:r>
      <w:r>
        <w:rPr>
          <w:rFonts w:ascii="Arial" w:cs="Arial" w:eastAsia="Arial" w:hAnsi="Arial"/>
          <w:sz w:val="16"/>
          <w:szCs w:val="16"/>
          <w:color w:val="auto"/>
        </w:rPr>
        <w:t>. All headings are for convenience only and shall not affect the meaning of any provision of this Agreement.</w:t>
      </w:r>
    </w:p>
    <w:p>
      <w:pPr>
        <w:spacing w:after="0" w:line="252"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with respect to its subject matter and supersedes all prior agreements or understandings between the parties relating to its subject matter.</w:t>
      </w:r>
    </w:p>
    <w:p>
      <w:pPr>
        <w:spacing w:after="0" w:line="21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Construction</w:t>
      </w:r>
      <w:r>
        <w:rPr>
          <w:rFonts w:ascii="Arial" w:cs="Arial" w:eastAsia="Arial" w:hAnsi="Arial"/>
          <w:sz w:val="18"/>
          <w:szCs w:val="18"/>
          <w:color w:val="auto"/>
        </w:rPr>
        <w:t>. The use of words in the singular or plural, or with a particular gender, shall not limit the scope or exclude the application of any provision of this Agreement to such person or persons or circumstances as the context otherwise permits. The words “will” and “shall” shall have the same meaning and, unless the context otherwise requires, the use of the word “or” is used in the inclusive sense (and/or). The term “including, “include,” or “includes” as used herein shall mean including, without limiting the generality of any description preceding such term, irrespective of whether such term is used “without limitation” or “without limiting” throughout this Agreement.</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signed separately by the Parties, each of which together shall constitute one and the same instrument. Execution of this Agreement may be concluded by signing and delivery by electronic transmission to a Party of the other Party’s signed copy.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this page intentionally left blank</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9" w:lineRule="exact"/>
        <w:rPr>
          <w:sz w:val="20"/>
          <w:szCs w:val="20"/>
          <w:color w:val="auto"/>
        </w:rPr>
      </w:pPr>
    </w:p>
    <w:p>
      <w:pPr>
        <w:jc w:val="both"/>
        <w:ind w:left="360" w:hanging="352"/>
        <w:spacing w:after="0" w:line="226" w:lineRule="auto"/>
        <w:tabs>
          <w:tab w:leader="none" w:pos="360" w:val="left"/>
        </w:tabs>
        <w:numPr>
          <w:ilvl w:val="0"/>
          <w:numId w:val="82"/>
        </w:numPr>
        <w:rPr>
          <w:rFonts w:ascii="Arial" w:cs="Arial" w:eastAsia="Arial" w:hAnsi="Arial"/>
          <w:sz w:val="25"/>
          <w:szCs w:val="25"/>
          <w:color w:val="auto"/>
          <w:vertAlign w:val="superscript"/>
        </w:rPr>
      </w:pPr>
      <w:r>
        <w:rPr>
          <w:rFonts w:ascii="Arial" w:cs="Arial" w:eastAsia="Arial" w:hAnsi="Arial"/>
          <w:sz w:val="18"/>
          <w:szCs w:val="18"/>
          <w:b w:val="1"/>
          <w:bCs w:val="1"/>
          <w:color w:val="auto"/>
        </w:rPr>
        <w:t>VISTAGEN THERAPEUTICS, INC. HAS REQUESTED THAT THE OMITTED PORTIONS OF THIS DOCUMENT, WHICH ARE INDICATED BY [*****], BE AFFORDED CONFIDENTIAL TREATMENT. VISTAGEN THERAPEUTICS, INC. HAS SEPARATELY FILED THE OMITTED PORTIONS OF THE DOCUMENT WITH THE SECURITIES AND EXCHANGE COMMISSION.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ind w:left="8180"/>
        <w:spacing w:after="0"/>
        <w:rPr>
          <w:sz w:val="20"/>
          <w:szCs w:val="20"/>
          <w:color w:val="auto"/>
        </w:rPr>
      </w:pPr>
      <w:r>
        <w:rPr>
          <w:rFonts w:ascii="Arial" w:cs="Arial" w:eastAsia="Arial" w:hAnsi="Arial"/>
          <w:sz w:val="16"/>
          <w:szCs w:val="16"/>
          <w:color w:val="auto"/>
        </w:rPr>
        <w:t>E</w:t>
      </w:r>
      <w:r>
        <w:rPr>
          <w:rFonts w:ascii="Arial" w:cs="Arial" w:eastAsia="Arial" w:hAnsi="Arial"/>
          <w:sz w:val="11"/>
          <w:szCs w:val="11"/>
          <w:color w:val="auto"/>
        </w:rPr>
        <w:t>XCLUSIVE</w:t>
      </w:r>
      <w:r>
        <w:rPr>
          <w:rFonts w:ascii="Arial" w:cs="Arial" w:eastAsia="Arial" w:hAnsi="Arial"/>
          <w:sz w:val="16"/>
          <w:szCs w:val="16"/>
          <w:color w:val="auto"/>
        </w:rPr>
        <w:t xml:space="preserve"> L</w:t>
      </w:r>
      <w:r>
        <w:rPr>
          <w:rFonts w:ascii="Arial" w:cs="Arial" w:eastAsia="Arial" w:hAnsi="Arial"/>
          <w:sz w:val="11"/>
          <w:szCs w:val="11"/>
          <w:color w:val="auto"/>
        </w:rPr>
        <w:t>ICENSE AND</w:t>
      </w:r>
      <w:r>
        <w:rPr>
          <w:rFonts w:ascii="Arial" w:cs="Arial" w:eastAsia="Arial" w:hAnsi="Arial"/>
          <w:sz w:val="16"/>
          <w:szCs w:val="16"/>
          <w:color w:val="auto"/>
        </w:rPr>
        <w:t xml:space="preserve"> S</w:t>
      </w:r>
      <w:r>
        <w:rPr>
          <w:rFonts w:ascii="Arial" w:cs="Arial" w:eastAsia="Arial" w:hAnsi="Arial"/>
          <w:sz w:val="11"/>
          <w:szCs w:val="11"/>
          <w:color w:val="auto"/>
        </w:rPr>
        <w:t>UBLICENSE</w:t>
      </w:r>
      <w:r>
        <w:rPr>
          <w:rFonts w:ascii="Arial" w:cs="Arial" w:eastAsia="Arial" w:hAnsi="Arial"/>
          <w:sz w:val="16"/>
          <w:szCs w:val="16"/>
          <w:color w:val="auto"/>
        </w:rPr>
        <w:t xml:space="preserve"> A</w:t>
      </w:r>
      <w:r>
        <w:rPr>
          <w:rFonts w:ascii="Arial" w:cs="Arial" w:eastAsia="Arial" w:hAnsi="Arial"/>
          <w:sz w:val="11"/>
          <w:szCs w:val="11"/>
          <w:color w:val="auto"/>
        </w:rPr>
        <w:t>GREEMENT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caused this Agreement to be executed by their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Shawn K. Singh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Shawn K. Singh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33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APOLLO BIOLOGICS LP</w:t>
      </w:r>
    </w:p>
    <w:p>
      <w:pPr>
        <w:spacing w:after="0" w:line="36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By: BJD Newco, LLC, its general partner</w:t>
      </w:r>
    </w:p>
    <w:p>
      <w:pPr>
        <w:spacing w:after="0" w:line="37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Jerel Davis</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Jerel Davis</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u w:val="single" w:color="auto"/>
          <w:color w:val="auto"/>
        </w:rPr>
        <w:t>Authorized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LICENSED 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31"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3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60"/>
          </w:cols>
          <w:pgMar w:left="1440" w:top="320" w:right="29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w:t>
      </w:r>
      <w:r>
        <w:rPr>
          <w:rFonts w:ascii="Arial" w:cs="Arial" w:eastAsia="Arial" w:hAnsi="Arial"/>
          <w:sz w:val="12"/>
          <w:szCs w:val="12"/>
          <w:color w:val="auto"/>
        </w:rPr>
        <w:t>XCLUSIVE</w:t>
      </w:r>
      <w:r>
        <w:rPr>
          <w:rFonts w:ascii="Arial" w:cs="Arial" w:eastAsia="Arial" w:hAnsi="Arial"/>
          <w:sz w:val="18"/>
          <w:szCs w:val="18"/>
          <w:color w:val="auto"/>
        </w:rPr>
        <w:t xml:space="preserve"> L</w:t>
      </w:r>
      <w:r>
        <w:rPr>
          <w:rFonts w:ascii="Arial" w:cs="Arial" w:eastAsia="Arial" w:hAnsi="Arial"/>
          <w:sz w:val="12"/>
          <w:szCs w:val="12"/>
          <w:color w:val="auto"/>
        </w:rPr>
        <w:t>ICENSE AND</w:t>
      </w:r>
      <w:r>
        <w:rPr>
          <w:rFonts w:ascii="Arial" w:cs="Arial" w:eastAsia="Arial" w:hAnsi="Arial"/>
          <w:sz w:val="18"/>
          <w:szCs w:val="18"/>
          <w:color w:val="auto"/>
        </w:rPr>
        <w:t xml:space="preserve"> S</w:t>
      </w:r>
      <w:r>
        <w:rPr>
          <w:rFonts w:ascii="Arial" w:cs="Arial" w:eastAsia="Arial" w:hAnsi="Arial"/>
          <w:sz w:val="12"/>
          <w:szCs w:val="12"/>
          <w:color w:val="auto"/>
        </w:rPr>
        <w:t>UBLICENSE</w:t>
      </w:r>
      <w:r>
        <w:rPr>
          <w:rFonts w:ascii="Arial" w:cs="Arial" w:eastAsia="Arial" w:hAnsi="Arial"/>
          <w:sz w:val="18"/>
          <w:szCs w:val="18"/>
          <w:color w:val="auto"/>
        </w:rPr>
        <w:t xml:space="preserve"> A</w:t>
      </w:r>
      <w:r>
        <w:rPr>
          <w:rFonts w:ascii="Arial" w:cs="Arial" w:eastAsia="Arial" w:hAnsi="Arial"/>
          <w:sz w:val="12"/>
          <w:szCs w:val="12"/>
          <w:color w:val="auto"/>
        </w:rPr>
        <w:t>GREEMENT</w:t>
      </w:r>
    </w:p>
    <w:p>
      <w:pPr>
        <w:spacing w:after="0" w:line="33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10795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25" w:lineRule="exact"/>
        <w:rPr>
          <w:sz w:val="20"/>
          <w:szCs w:val="20"/>
          <w:color w:val="auto"/>
        </w:rPr>
      </w:pPr>
    </w:p>
    <w:p>
      <w:pPr>
        <w:ind w:left="660" w:hanging="652"/>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hanging="644"/>
        <w:spacing w:after="0" w:line="332" w:lineRule="auto"/>
        <w:tabs>
          <w:tab w:leader="none" w:pos="13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300" w:hanging="644"/>
        <w:spacing w:after="0" w:line="332" w:lineRule="auto"/>
        <w:tabs>
          <w:tab w:leader="none" w:pos="130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300" w:hanging="644"/>
        <w:spacing w:after="0" w:line="268" w:lineRule="auto"/>
        <w:tabs>
          <w:tab w:leader="none" w:pos="130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20"/>
                <w:szCs w:val="20"/>
                <w:color w:val="auto"/>
              </w:rPr>
            </w:pPr>
            <w:r>
              <w:rPr>
                <w:rFonts w:ascii="Arial" w:cs="Arial" w:eastAsia="Arial" w:hAnsi="Arial"/>
                <w:sz w:val="18"/>
                <w:szCs w:val="18"/>
                <w:color w:val="auto"/>
              </w:rPr>
              <w:t>February 13, 2017</w:t>
            </w:r>
          </w:p>
        </w:tc>
        <w:tc>
          <w:tcPr>
            <w:tcW w:w="1920" w:type="dxa"/>
            <w:vAlign w:val="bottom"/>
            <w:gridSpan w:val="2"/>
          </w:tcPr>
          <w:p>
            <w:pPr>
              <w:spacing w:after="0"/>
              <w:rPr>
                <w:sz w:val="20"/>
                <w:szCs w:val="20"/>
                <w:color w:val="auto"/>
              </w:rPr>
            </w:pPr>
            <w:r>
              <w:rPr>
                <w:rFonts w:ascii="Arial" w:cs="Arial" w:eastAsia="Arial" w:hAnsi="Arial"/>
                <w:sz w:val="18"/>
                <w:szCs w:val="18"/>
                <w:color w:val="auto"/>
              </w:rPr>
              <w:t>/s/ Shawn K. Singh</w:t>
            </w:r>
          </w:p>
        </w:tc>
      </w:tr>
      <w:tr>
        <w:trPr>
          <w:trHeight w:val="228"/>
        </w:trPr>
        <w:tc>
          <w:tcPr>
            <w:tcW w:w="650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Shawn K. Singh</w:t>
            </w:r>
          </w:p>
        </w:tc>
        <w:tc>
          <w:tcPr>
            <w:tcW w:w="580" w:type="dxa"/>
            <w:vAlign w:val="bottom"/>
          </w:tcPr>
          <w:p>
            <w:pPr>
              <w:spacing w:after="0"/>
              <w:rPr>
                <w:sz w:val="19"/>
                <w:szCs w:val="19"/>
                <w:color w:val="auto"/>
              </w:rPr>
            </w:pPr>
          </w:p>
        </w:tc>
      </w:tr>
      <w:tr>
        <w:trPr>
          <w:trHeight w:val="222"/>
        </w:trPr>
        <w:tc>
          <w:tcPr>
            <w:tcW w:w="650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0"/>
              </w:rPr>
              <w:t>Principal Executive Officer</w:t>
            </w:r>
          </w:p>
        </w:tc>
      </w:tr>
    </w:tbl>
    <w:p>
      <w:pPr>
        <w:sectPr>
          <w:pgSz w:w="11900" w:h="16838" w:orient="portrait"/>
          <w:cols w:equalWidth="0" w:num="1">
            <w:col w:w="11420"/>
          </w:cols>
          <w:pgMar w:left="240" w:top="287"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left="660" w:hanging="652"/>
        <w:spacing w:after="0" w:line="370" w:lineRule="auto"/>
        <w:tabs>
          <w:tab w:leader="none" w:pos="6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16" w:lineRule="exact"/>
        <w:rPr>
          <w:rFonts w:ascii="Arial" w:cs="Arial" w:eastAsia="Arial" w:hAnsi="Arial"/>
          <w:sz w:val="15"/>
          <w:szCs w:val="15"/>
          <w:color w:val="auto"/>
        </w:rPr>
      </w:pPr>
    </w:p>
    <w:p>
      <w:pPr>
        <w:ind w:left="660" w:hanging="652"/>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left="660" w:right="20" w:hanging="652"/>
        <w:spacing w:after="0" w:line="259"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1300" w:hanging="644"/>
        <w:spacing w:after="0" w:line="332"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1300" w:hanging="644"/>
        <w:spacing w:after="0" w:line="259"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660" w:right="20" w:hanging="652"/>
        <w:spacing w:after="0" w:line="33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1300" w:hanging="644"/>
        <w:spacing w:after="0" w:line="332" w:lineRule="auto"/>
        <w:tabs>
          <w:tab w:leader="none" w:pos="1300" w:val="left"/>
        </w:tabs>
        <w:numPr>
          <w:ilvl w:val="1"/>
          <w:numId w:val="8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Arial" w:cs="Arial" w:eastAsia="Arial" w:hAnsi="Arial"/>
          <w:sz w:val="16"/>
          <w:szCs w:val="16"/>
          <w:color w:val="auto"/>
        </w:rPr>
      </w:pPr>
    </w:p>
    <w:p>
      <w:pPr>
        <w:ind w:left="1300" w:hanging="644"/>
        <w:spacing w:after="0" w:line="268" w:lineRule="auto"/>
        <w:tabs>
          <w:tab w:leader="none" w:pos="130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Arial" w:cs="Arial" w:eastAsia="Arial" w:hAnsi="Arial"/>
                <w:sz w:val="18"/>
                <w:szCs w:val="18"/>
                <w:color w:val="auto"/>
              </w:rPr>
              <w:t>February 13, 2017</w:t>
            </w:r>
          </w:p>
        </w:tc>
        <w:tc>
          <w:tcPr>
            <w:tcW w:w="558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8"/>
        </w:trPr>
        <w:tc>
          <w:tcPr>
            <w:tcW w:w="5840" w:type="dxa"/>
            <w:vAlign w:val="bottom"/>
          </w:tcPr>
          <w:p>
            <w:pPr>
              <w:spacing w:after="0"/>
              <w:rPr>
                <w:sz w:val="19"/>
                <w:szCs w:val="19"/>
                <w:color w:val="auto"/>
              </w:rPr>
            </w:pPr>
          </w:p>
        </w:tc>
        <w:tc>
          <w:tcPr>
            <w:tcW w:w="1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120" w:type="dxa"/>
            <w:vAlign w:val="bottom"/>
          </w:tcPr>
          <w:p>
            <w:pPr>
              <w:spacing w:after="0"/>
              <w:rPr>
                <w:sz w:val="19"/>
                <w:szCs w:val="19"/>
                <w:color w:val="auto"/>
              </w:rPr>
            </w:pPr>
          </w:p>
        </w:tc>
      </w:tr>
      <w:tr>
        <w:trPr>
          <w:trHeight w:val="222"/>
        </w:trPr>
        <w:tc>
          <w:tcPr>
            <w:tcW w:w="584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1089"/>
        </w:trPr>
        <w:tc>
          <w:tcPr>
            <w:tcW w:w="5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December 31, 2016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97"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1)"/>
      <w:numFmt w:val="decimal"/>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1)"/>
      <w:numFmt w:val="lowerRoman"/>
      <w:start w:val="1"/>
    </w:lvl>
  </w:abstractNum>
  <w:abstractNum w:abstractNumId="30">
    <w:nsid w:val="235BA861"/>
    <w:multiLevelType w:val="hybridMultilevel"/>
    <w:lvl w:ilvl="0">
      <w:lvlJc w:val="left"/>
      <w:lvlText w:val="%1"/>
      <w:numFmt w:val="decimal"/>
      <w:start w:val="32"/>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Roman"/>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Letter"/>
      <w:start w:val="2"/>
    </w:lvl>
  </w:abstractNum>
  <w:abstractNum w:abstractNumId="39">
    <w:nsid w:val="7E0C57B1"/>
    <w:multiLevelType w:val="hybridMultilevel"/>
    <w:lvl w:ilvl="0">
      <w:lvlJc w:val="left"/>
      <w:lvlText w:val="(%1)"/>
      <w:numFmt w:val="lowerLetter"/>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lowerLetter"/>
      <w:start w:val="3"/>
    </w:lvl>
  </w:abstractNum>
  <w:abstractNum w:abstractNumId="42">
    <w:nsid w:val="310C50B3"/>
    <w:multiLevelType w:val="hybridMultilevel"/>
    <w:lvl w:ilvl="0">
      <w:lvlJc w:val="left"/>
      <w:lvlText w:val="(%1)"/>
      <w:numFmt w:val="lowerLetter"/>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1)"/>
      <w:numFmt w:val="lowerLetter"/>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lowerLetter"/>
      <w:start w:val="3"/>
    </w:lvl>
  </w:abstractNum>
  <w:abstractNum w:abstractNumId="47">
    <w:nsid w:val="4AD084E9"/>
    <w:multiLevelType w:val="hybridMultilevel"/>
    <w:lvl w:ilvl="0">
      <w:lvlJc w:val="left"/>
      <w:lvlText w:val="(%1)"/>
      <w:numFmt w:val="lowerLetter"/>
      <w:start w:val="8"/>
    </w:lvl>
  </w:abstractNum>
  <w:abstractNum w:abstractNumId="48">
    <w:nsid w:val="1F48EAA1"/>
    <w:multiLevelType w:val="hybridMultilevel"/>
    <w:lvl w:ilvl="0">
      <w:lvlJc w:val="left"/>
      <w:lvlText w:val="(%1)"/>
      <w:numFmt w:val="lowerRoman"/>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lowerRoman"/>
      <w:start w:val="1"/>
    </w:lvl>
  </w:abstractNum>
  <w:abstractNum w:abstractNumId="51">
    <w:nsid w:val="100F8FCA"/>
    <w:multiLevelType w:val="hybridMultilevel"/>
    <w:lvl w:ilvl="0">
      <w:lvlJc w:val="left"/>
      <w:lvlText w:val="(%1)"/>
      <w:numFmt w:val="lowerLetter"/>
      <w:start w:val="10"/>
    </w:lvl>
    <w:lvl w:ilvl="1">
      <w:lvlJc w:val="left"/>
      <w:lvlText w:val="(%2)"/>
      <w:numFmt w:val="lowerRoman"/>
      <w:start w:val="1"/>
    </w:lvl>
    <w:lvl w:ilvl="2">
      <w:lvlJc w:val="left"/>
      <w:lvlText w:val="(%3)"/>
      <w:numFmt w:val="upperLetter"/>
      <w:start w:val="1"/>
    </w:lvl>
  </w:abstractNum>
  <w:abstractNum w:abstractNumId="52">
    <w:nsid w:val="6590700B"/>
    <w:multiLevelType w:val="hybridMultilevel"/>
    <w:lvl w:ilvl="0">
      <w:lvlJc w:val="left"/>
      <w:lvlText w:val="(%1)"/>
      <w:numFmt w:val="lowerRoman"/>
      <w:start w:val="2"/>
    </w:lvl>
  </w:abstractNum>
  <w:abstractNum w:abstractNumId="53">
    <w:nsid w:val="15014ACB"/>
    <w:multiLevelType w:val="hybridMultilevel"/>
    <w:lvl w:ilvl="0">
      <w:lvlJc w:val="left"/>
      <w:lvlText w:val="%1"/>
      <w:numFmt w:val="lowerLetter"/>
      <w:start w:val="1"/>
    </w:lvl>
    <w:lvl w:ilvl="1">
      <w:lvlJc w:val="left"/>
      <w:lvlText w:val="(%2)"/>
      <w:numFmt w:val="lowerRoman"/>
      <w:start w:val="3"/>
    </w:lvl>
  </w:abstractNum>
  <w:abstractNum w:abstractNumId="54">
    <w:nsid w:val="5F5E7FD0"/>
    <w:multiLevelType w:val="hybridMultilevel"/>
    <w:lvl w:ilvl="0">
      <w:lvlJc w:val="left"/>
      <w:lvlText w:val="(%1)"/>
      <w:numFmt w:val="lowerLetter"/>
      <w:start w:val="11"/>
    </w:lvl>
    <w:lvl w:ilvl="1">
      <w:lvlJc w:val="left"/>
      <w:lvlText w:val="%2"/>
      <w:numFmt w:val="lowerRoman"/>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1)"/>
      <w:numFmt w:val="lowerLetter"/>
      <w:start w:val="12"/>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lowerLetter"/>
      <w:start w:val="1"/>
    </w:lvl>
  </w:abstractNum>
  <w:abstractNum w:abstractNumId="59">
    <w:nsid w:val="168E121F"/>
    <w:multiLevelType w:val="hybridMultilevel"/>
    <w:lvl w:ilvl="0">
      <w:lvlJc w:val="left"/>
      <w:lvlText w:val="(%1)"/>
      <w:numFmt w:val="lowerLetter"/>
      <w:start w:val="4"/>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1)"/>
      <w:numFmt w:val="lowerLetter"/>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lowerLetter"/>
      <w:start w:val="2"/>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1)"/>
      <w:numFmt w:val="lowerLetter"/>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1)"/>
      <w:numFmt w:val="lowerLetter"/>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
      <w:numFmt w:val="bullet"/>
      <w:start w:val="1"/>
    </w:lvl>
  </w:abstractNum>
  <w:abstractNum w:abstractNumId="72">
    <w:nsid w:val="1A32234B"/>
    <w:multiLevelType w:val="hybridMultilevel"/>
    <w:lvl w:ilvl="0">
      <w:lvlJc w:val="left"/>
      <w:lvlText w:val="(%1)"/>
      <w:numFmt w:val="lowerLetter"/>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lowerLetter"/>
      <w:start w:val="1"/>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1)"/>
      <w:numFmt w:val="lowerLetter"/>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1)"/>
      <w:numFmt w:val="lowerLetter"/>
      <w:start w:val="8"/>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
      <w:numFmt w:val="bullet"/>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2020-01-16T08:03:27Z</dcterms:created>
  <dcterms:modified xsi:type="dcterms:W3CDTF">2020-01-16T08:03:27Z</dcterms:modified>
</cp:coreProperties>
</file>