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300" w:hanging="995"/>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300" w:hanging="95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152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2540" w:type="dxa"/>
            <w:vAlign w:val="bottom"/>
          </w:tcPr>
          <w:p>
            <w:pPr>
              <w:jc w:val="right"/>
              <w:ind w:right="23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53"/>
        </w:trPr>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80" w:type="dxa"/>
            <w:vAlign w:val="bottom"/>
            <w:gridSpan w:val="6"/>
          </w:tcPr>
          <w:p>
            <w:pPr>
              <w:jc w:val="center"/>
              <w:ind w:right="2060"/>
              <w:spacing w:after="0"/>
              <w:rPr>
                <w:sz w:val="20"/>
                <w:szCs w:val="20"/>
                <w:color w:val="auto"/>
              </w:rPr>
            </w:pPr>
            <w:r>
              <w:rPr>
                <w:rFonts w:ascii="Arial" w:cs="Arial" w:eastAsia="Arial" w:hAnsi="Arial"/>
                <w:sz w:val="18"/>
                <w:szCs w:val="18"/>
                <w:b w:val="1"/>
                <w:bCs w:val="1"/>
                <w:color w:val="auto"/>
                <w:w w:val="91"/>
              </w:rPr>
              <w:t>Commission File Number: 000-54014</w:t>
            </w:r>
          </w:p>
        </w:tc>
      </w:tr>
      <w:tr>
        <w:trPr>
          <w:trHeight w:val="418"/>
        </w:trPr>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80" w:type="dxa"/>
            <w:vAlign w:val="bottom"/>
            <w:gridSpan w:val="6"/>
          </w:tcPr>
          <w:p>
            <w:pPr>
              <w:jc w:val="center"/>
              <w:ind w:right="2040"/>
              <w:spacing w:after="0"/>
              <w:rPr>
                <w:sz w:val="20"/>
                <w:szCs w:val="20"/>
                <w:color w:val="auto"/>
              </w:rPr>
            </w:pPr>
            <w:r>
              <w:rPr>
                <w:rFonts w:ascii="Arial" w:cs="Arial" w:eastAsia="Arial" w:hAnsi="Arial"/>
                <w:sz w:val="18"/>
                <w:szCs w:val="18"/>
                <w:b w:val="1"/>
                <w:bCs w:val="1"/>
                <w:color w:val="auto"/>
                <w:w w:val="91"/>
              </w:rPr>
              <w:t>VistaGen Therapeutics, Inc.</w:t>
            </w:r>
          </w:p>
        </w:tc>
      </w:tr>
      <w:tr>
        <w:trPr>
          <w:trHeight w:val="230"/>
        </w:trPr>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40" w:type="dxa"/>
            <w:vAlign w:val="bottom"/>
            <w:gridSpan w:val="7"/>
          </w:tcPr>
          <w:p>
            <w:pPr>
              <w:jc w:val="center"/>
              <w:ind w:right="118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392"/>
        </w:trPr>
        <w:tc>
          <w:tcPr>
            <w:tcW w:w="9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4"/>
          </w:tcPr>
          <w:p>
            <w:pPr>
              <w:jc w:val="center"/>
              <w:ind w:left="3110"/>
              <w:spacing w:after="0"/>
              <w:rPr>
                <w:sz w:val="20"/>
                <w:szCs w:val="20"/>
                <w:color w:val="auto"/>
              </w:rPr>
            </w:pPr>
            <w:r>
              <w:rPr>
                <w:rFonts w:ascii="Arial" w:cs="Arial" w:eastAsia="Arial" w:hAnsi="Arial"/>
                <w:sz w:val="18"/>
                <w:szCs w:val="18"/>
                <w:b w:val="1"/>
                <w:bCs w:val="1"/>
                <w:color w:val="auto"/>
                <w:w w:val="89"/>
              </w:rPr>
              <w:t>20-5093315</w:t>
            </w:r>
          </w:p>
        </w:tc>
      </w:tr>
      <w:tr>
        <w:trPr>
          <w:trHeight w:val="20"/>
        </w:trPr>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3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(State or other jurisdiction of</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40" w:type="dxa"/>
            <w:vAlign w:val="bottom"/>
            <w:gridSpan w:val="3"/>
          </w:tcPr>
          <w:p>
            <w:pPr>
              <w:jc w:val="center"/>
              <w:ind w:left="22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38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40" w:type="dxa"/>
            <w:vAlign w:val="bottom"/>
            <w:gridSpan w:val="3"/>
          </w:tcPr>
          <w:p>
            <w:pPr>
              <w:jc w:val="center"/>
              <w:ind w:left="221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343 Allerton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53"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620" w:space="720"/>
            <w:col w:w="2900" w:space="720"/>
            <w:col w:w="2680" w:space="720"/>
            <w:col w:w="1060"/>
          </w:cols>
          <w:pgMar w:left="240" w:top="553"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553" w:right="2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13, 2015, 1,473,528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593725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60" w:type="dxa"/>
            <w:vAlign w:val="bottom"/>
            <w:shd w:val="clear" w:color="auto" w:fill="CCEEFF"/>
          </w:tcPr>
          <w:p>
            <w:pPr>
              <w:ind w:left="3480"/>
              <w:spacing w:after="0"/>
              <w:rPr>
                <w:sz w:val="20"/>
                <w:szCs w:val="20"/>
                <w:color w:val="auto"/>
              </w:rPr>
            </w:pPr>
            <w:r>
              <w:rPr>
                <w:rFonts w:ascii="Arial" w:cs="Arial" w:eastAsia="Arial" w:hAnsi="Arial"/>
                <w:sz w:val="18"/>
                <w:szCs w:val="18"/>
                <w:b w:val="1"/>
                <w:bCs w:val="1"/>
                <w:color w:val="auto"/>
              </w:rPr>
              <w:t>PART I. FINANCIAL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Condensed Consolidated Financial Statements (Unaudited)</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Condensed Consolidated Balance Sheets at December 31, 2014 and March 31, 2014</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Condensed Consolidated Statements of Operations and Comprehensive (Loss) Income for the three and nine months ended December</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2014 and 2013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Condensed Consolidated Statements of Cash Flows for the nine months ended December 31, 2014 and 2013</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to the Condensed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2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PART II. OTHER INFORMATION</w:t>
            </w: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8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Proceedings</w:t>
            </w:r>
          </w:p>
        </w:tc>
        <w:tc>
          <w:tcPr>
            <w:tcW w:w="2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822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2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3.</w:t>
            </w:r>
          </w:p>
        </w:tc>
        <w:tc>
          <w:tcPr>
            <w:tcW w:w="8220" w:type="dxa"/>
            <w:vAlign w:val="bottom"/>
          </w:tcPr>
          <w:p>
            <w:pPr>
              <w:ind w:left="80"/>
              <w:spacing w:after="0"/>
              <w:rPr>
                <w:sz w:val="20"/>
                <w:szCs w:val="20"/>
                <w:color w:val="auto"/>
              </w:rPr>
            </w:pPr>
            <w:r>
              <w:rPr>
                <w:rFonts w:ascii="Arial" w:cs="Arial" w:eastAsia="Arial" w:hAnsi="Arial"/>
                <w:sz w:val="18"/>
                <w:szCs w:val="18"/>
                <w:color w:val="auto"/>
              </w:rPr>
              <w:t>Defaults Upon Senior Secured Securities</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w:t>
            </w:r>
          </w:p>
        </w:tc>
        <w:tc>
          <w:tcPr>
            <w:tcW w:w="2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SIGNATURES</w:t>
            </w:r>
          </w:p>
        </w:tc>
        <w:tc>
          <w:tcPr>
            <w:tcW w:w="2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tcPr>
          <w:p>
            <w:pPr>
              <w:ind w:left="4880"/>
              <w:spacing w:after="0"/>
              <w:rPr>
                <w:sz w:val="20"/>
                <w:szCs w:val="20"/>
                <w:color w:val="auto"/>
              </w:rPr>
            </w:pPr>
            <w:r>
              <w:rPr>
                <w:rFonts w:ascii="Arial" w:cs="Arial" w:eastAsia="Arial" w:hAnsi="Arial"/>
                <w:sz w:val="18"/>
                <w:szCs w:val="18"/>
                <w:color w:val="auto"/>
              </w:rPr>
              <w:t>-i-</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22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700" w:type="dxa"/>
            <w:vAlign w:val="bottom"/>
            <w:gridSpan w:val="3"/>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rPr>
              <w:t>VISTAGEN THERAPEUTICS,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56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560" w:type="dxa"/>
            <w:vAlign w:val="bottom"/>
            <w:vMerge w:val="restart"/>
          </w:tcPr>
          <w:p>
            <w:pPr>
              <w:jc w:val="center"/>
              <w:ind w:right="101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259,400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jc w:val="center"/>
              <w:ind w:right="101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2,415,300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2,443,900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Advance from officer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senior secured convertible promissory notes and accrued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2,842,700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 and accrued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1,929,900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 to related parties and accrued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4"/>
              </w:rPr>
              <w:t>Convertible promissory notes and accrued interest, net of discount of $1,182,100 and $697,400 at 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2014 and March 31,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2,038,800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10,763,600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5,205,700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Senior secured convertible promissory notes, net of discount of $0 at December 31, 2014 and $2,085,900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at March 31, 2014 and accrued interest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1,490,400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 payable, net of discount of $577,000 at December 31, 2014 and $848,100 at March 31, 2014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2,129,800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 payable to related parties, net of discount of $67,500 at December 31, 2014 and $103,200 at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March 31, 2014 and accrued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1,124,100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2,445,600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7,279,000</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18,042,600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13,063,600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10,000,000 shares, including 500,000 Series A shares, authorized at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December 31, 2014 and March 31, 2014; 500,000 Series A shares issued and outstanding at December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 2014 and March 31, 2014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7"/>
              </w:rPr>
              <w:t>Common stock, $0.001 par value; 10,000,000 shares authorized at December 31, 2014 and March 31, 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1,460,843 and 1,310,093 shares issued at December 31, 2014 and March 31, 2014,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64,484,400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Treasury stock, at cost, 135,665 shares of common stock held at December 31, 2014 and March 31, 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 receivable from sale of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(78,301,400)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(70,636,900)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(17,783,200)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(12,799,900)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60"/>
              <w:spacing w:after="0"/>
              <w:rPr>
                <w:sz w:val="20"/>
                <w:szCs w:val="20"/>
                <w:color w:val="auto"/>
              </w:rPr>
            </w:pPr>
            <w:r>
              <w:rPr>
                <w:rFonts w:ascii="Arial" w:cs="Arial" w:eastAsia="Arial" w:hAnsi="Arial"/>
                <w:sz w:val="18"/>
                <w:szCs w:val="18"/>
                <w:color w:val="auto"/>
              </w:rPr>
              <w:t>Total liabilities and stockholders’ deficit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259,400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551,300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1,476,600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2,024,600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3,501,200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(1,116,700)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(1,448,300)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(3,501,200)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(3,963,600)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(792,400)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(360,900)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(2,182,900)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warrant liability</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1,940,200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(2,371,400)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(1,090,300)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131,000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(7,662,100)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(1,140,400)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(1,090,300)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(7,664,500)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common share</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Basic net (loss) income per common share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1,302,300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1,110,529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1,270,495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1,077,746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loss per common share</w:t>
            </w: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1,302,300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1,110,529</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1,288,674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1,087,087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(1,090,300)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(7,664,500)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62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rPr>
              <w:t>VISTAGEN THERAPEUTICS, INC.</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7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7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(Amounts in Dollars)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1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14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(7,664,500)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(1,143,100)</w:t>
            </w:r>
          </w:p>
        </w:tc>
      </w:tr>
      <w:tr>
        <w:trPr>
          <w:trHeight w:val="216"/>
        </w:trPr>
        <w:tc>
          <w:tcPr>
            <w:tcW w:w="8620" w:type="dxa"/>
            <w:vAlign w:val="bottom"/>
            <w:gridSpan w:val="2"/>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40,200</w:t>
            </w:r>
          </w:p>
        </w:tc>
      </w:tr>
      <w:tr>
        <w:trPr>
          <w:trHeight w:val="216"/>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Amortization of discounts on convertible and promissory notes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1,294,700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356,100</w:t>
            </w:r>
          </w:p>
        </w:tc>
      </w:tr>
      <w:tr>
        <w:trPr>
          <w:trHeight w:val="216"/>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warrant liability</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(3,823,700)</w:t>
            </w:r>
          </w:p>
        </w:tc>
      </w:tr>
      <w:tr>
        <w:trPr>
          <w:trHeight w:val="216"/>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564,000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893,700</w:t>
            </w:r>
          </w:p>
        </w:tc>
      </w:tr>
      <w:tr>
        <w:trPr>
          <w:trHeight w:val="216"/>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 related to modification of warrants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174,500</w:t>
            </w:r>
          </w:p>
        </w:tc>
      </w:tr>
      <w:tr>
        <w:trPr>
          <w:trHeight w:val="216"/>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Non-cash rent and relocation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56,700</w:t>
            </w:r>
          </w:p>
        </w:tc>
      </w:tr>
      <w:tr>
        <w:trPr>
          <w:trHeight w:val="216"/>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 on note receivable for stock purchase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Loss on settlement of note receivable for stock purchase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Fair value of common stock granted for services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Fair value of warrants granted for services and interest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54,000</w:t>
            </w:r>
          </w:p>
        </w:tc>
      </w:tr>
      <w:tr>
        <w:trPr>
          <w:trHeight w:val="216"/>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currency fluctuation</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(30,100)</w:t>
            </w:r>
          </w:p>
        </w:tc>
      </w:tr>
      <w:tr>
        <w:trPr>
          <w:trHeight w:val="216"/>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2,371,400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56,100</w:t>
            </w:r>
          </w:p>
        </w:tc>
      </w:tr>
      <w:tr>
        <w:trPr>
          <w:trHeight w:val="216"/>
        </w:trPr>
        <w:tc>
          <w:tcPr>
            <w:tcW w:w="86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Security deposits and other assets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(17,900)</w:t>
            </w:r>
          </w:p>
        </w:tc>
      </w:tr>
      <w:tr>
        <w:trPr>
          <w:trHeight w:val="216"/>
        </w:trPr>
        <w:tc>
          <w:tcPr>
            <w:tcW w:w="8620" w:type="dxa"/>
            <w:vAlign w:val="bottom"/>
            <w:gridSpan w:val="2"/>
          </w:tcPr>
          <w:p>
            <w:pPr>
              <w:ind w:left="62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1,696,100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1,725,000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(1,874,400)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(1,658,900)</w:t>
            </w:r>
          </w:p>
        </w:tc>
      </w:tr>
      <w:tr>
        <w:trPr>
          <w:trHeight w:val="216"/>
        </w:trPr>
        <w:tc>
          <w:tcPr>
            <w:tcW w:w="114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140"/>
              <w:spacing w:after="0"/>
              <w:rPr>
                <w:sz w:val="20"/>
                <w:szCs w:val="20"/>
                <w:color w:val="auto"/>
              </w:rPr>
            </w:pPr>
            <w:r>
              <w:rPr>
                <w:rFonts w:ascii="Arial" w:cs="Arial" w:eastAsia="Arial" w:hAnsi="Arial"/>
                <w:sz w:val="18"/>
                <w:szCs w:val="18"/>
                <w:color w:val="auto"/>
              </w:rPr>
              <w:t>Purchases of equipment,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(9,600)</w:t>
            </w:r>
          </w:p>
        </w:tc>
      </w:tr>
      <w:tr>
        <w:trPr>
          <w:trHeight w:val="216"/>
        </w:trPr>
        <w:tc>
          <w:tcPr>
            <w:tcW w:w="114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14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2,128,200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597,900</w:t>
            </w:r>
          </w:p>
        </w:tc>
      </w:tr>
      <w:tr>
        <w:trPr>
          <w:trHeight w:val="216"/>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exercise of modified warrants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264,200</w:t>
            </w:r>
          </w:p>
        </w:tc>
      </w:tr>
      <w:tr>
        <w:trPr>
          <w:trHeight w:val="216"/>
        </w:trPr>
        <w:tc>
          <w:tcPr>
            <w:tcW w:w="8620" w:type="dxa"/>
            <w:vAlign w:val="bottom"/>
            <w:gridSpan w:val="2"/>
          </w:tcPr>
          <w:p>
            <w:pPr>
              <w:ind w:left="140"/>
              <w:spacing w:after="0"/>
              <w:rPr>
                <w:sz w:val="20"/>
                <w:szCs w:val="20"/>
                <w:color w:val="auto"/>
              </w:rPr>
            </w:pPr>
            <w:r>
              <w:rPr>
                <w:rFonts w:ascii="Arial" w:cs="Arial" w:eastAsia="Arial" w:hAnsi="Arial"/>
                <w:sz w:val="18"/>
                <w:szCs w:val="18"/>
                <w:color w:val="auto"/>
              </w:rPr>
              <w:t>Proceeds from sale of note and warrant to Platinum</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Advance from officer</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r>
      <w:tr>
        <w:trPr>
          <w:trHeight w:val="216"/>
        </w:trPr>
        <w:tc>
          <w:tcPr>
            <w:tcW w:w="8620" w:type="dxa"/>
            <w:vAlign w:val="bottom"/>
            <w:gridSpan w:val="2"/>
          </w:tcPr>
          <w:p>
            <w:pPr>
              <w:ind w:left="140"/>
              <w:spacing w:after="0"/>
              <w:rPr>
                <w:sz w:val="20"/>
                <w:szCs w:val="20"/>
                <w:color w:val="auto"/>
              </w:rPr>
            </w:pPr>
            <w:r>
              <w:rPr>
                <w:rFonts w:ascii="Arial" w:cs="Arial" w:eastAsia="Arial" w:hAnsi="Arial"/>
                <w:sz w:val="18"/>
                <w:szCs w:val="18"/>
                <w:color w:val="auto"/>
              </w:rPr>
              <w:t>Repayment of capital lease obligations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(5,700)</w:t>
            </w:r>
          </w:p>
        </w:tc>
      </w:tr>
      <w:tr>
        <w:trPr>
          <w:trHeight w:val="216"/>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 of notes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(119,300)</w:t>
            </w:r>
          </w:p>
        </w:tc>
      </w:tr>
      <w:tr>
        <w:trPr>
          <w:trHeight w:val="27"/>
        </w:trPr>
        <w:tc>
          <w:tcPr>
            <w:tcW w:w="11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1,887,600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1,051,100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(617,400)</w:t>
            </w:r>
          </w:p>
        </w:tc>
      </w:tr>
      <w:tr>
        <w:trPr>
          <w:trHeight w:val="216"/>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638,100</w:t>
            </w:r>
          </w:p>
        </w:tc>
      </w:tr>
      <w:tr>
        <w:trPr>
          <w:trHeight w:val="27"/>
        </w:trPr>
        <w:tc>
          <w:tcPr>
            <w:tcW w:w="1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20,700</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VistaGen Therapeutics, Inc., a Nevada corporation, is a clinical-stage biopharmaceutical company focused on developing novel medicine to treat depression and other conditions involving the central nervous system and cancer.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Unless the context otherwise requires, the words “</w:t>
      </w:r>
      <w:r>
        <w:rPr>
          <w:rFonts w:ascii="Arial" w:cs="Arial" w:eastAsia="Arial" w:hAnsi="Arial"/>
          <w:sz w:val="16"/>
          <w:szCs w:val="16"/>
          <w:i w:val="1"/>
          <w:iCs w:val="1"/>
          <w:color w:val="auto"/>
        </w:rPr>
        <w:t>VistaGen Therapeutics, Inc.</w:t>
      </w:r>
      <w:r>
        <w:rPr>
          <w:rFonts w:ascii="Arial" w:cs="Arial" w:eastAsia="Arial" w:hAnsi="Arial"/>
          <w:sz w:val="16"/>
          <w:szCs w:val="16"/>
          <w:color w:val="auto"/>
        </w:rPr>
        <w:t>” “</w:t>
      </w:r>
      <w:r>
        <w:rPr>
          <w:rFonts w:ascii="Arial" w:cs="Arial" w:eastAsia="Arial" w:hAnsi="Arial"/>
          <w:sz w:val="16"/>
          <w:szCs w:val="16"/>
          <w:i w:val="1"/>
          <w:iCs w:val="1"/>
          <w:color w:val="auto"/>
        </w:rPr>
        <w:t>VistaGen</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the Company</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 a Nevada corporation.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VistaGen Therapeutics, Inc., a California corporation incorporated on May 26, 1998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8"/>
          <w:szCs w:val="18"/>
          <w:i w:val="1"/>
          <w:iCs w:val="1"/>
          <w:color w:val="auto"/>
        </w:rPr>
        <w:t>Merger</w:t>
      </w:r>
      <w:r>
        <w:rPr>
          <w:rFonts w:ascii="Arial" w:cs="Arial" w:eastAsia="Arial" w:hAnsi="Arial"/>
          <w:sz w:val="18"/>
          <w:szCs w:val="18"/>
          <w:color w:val="auto"/>
        </w:rPr>
        <w:t>), and assumed all of VistaGen California’s pre-Merger obligations.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 (4-Cl-KYN) is our drug candidate in Phase 2 development as a potential new generation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one of the most common mental disorders in the U.S., affecting 6.7% of U.S. adults each year. AV-101 also has potential as a new treatment for other conditions of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including epilepsy and chronic neuropathic pain, and neurodegenerative diseases such as Parkinson’s disease and Huntington’s disease.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two-thirds of depression sufferers do not benefit from the first round treatment of currently approved antidepressant agents, including selective serotonin reuptake inhibitors (SSRIs) and serotonin-norepinephrine reuptake inhibitors (SNRIs). Because of their mechanism of action, currently approved antidepressant drugs often take many weeks to relieve depressive symptoms and induce remission of a major depressive episode. During this multiple-week lag period before onset of therapeutic benefits, risks of side effects, including suicidal thoughts and behaviors, may be considerable. Ultimately, after as many as four treatment cycles, involving several different antidepressant medications, approximately two out of three patients may find an antidepressant drug combination that induces remission of depressive symptoms. Unfortunately, this serial trial and error period to find an effective antidepressant medication can take months to more than a year to achieve, with an increasing rate of potentially significant side effect risks with each successive treatment attempt.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randomized, placebo-controlled, double-blind clinical trials conducted by Dr. Carlos Zarate, Chief, Section on the Neurobiology and Treatment of Mood Disorders and Chief of the Experimental Therapeutics and Pathophysiology Branch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ketamine, an NMDA receptor antagonist which acts as an NMDA channel blocker, produced robust and rapid, within hours, antidepressant effects in MDD patients who had not responded to approved antidepressant drugs. Although the potential for widespread therapeutic use of ketamine may be severely limited by its potential for abuse, its dissociative and psychosis-like side effects, as well as practical challenges associated with its required intravenous administration in a medical center, the discovery of ketamine’s rapid onset antidepressant effects revolutionized thinking about the MDD treatment paradigm and mechanism of action of antidepressant medicines. It also increased interest in the development of a new generation of drug candidates with a mechanism of action similar to ketamine’s and a more rapid therapeutic benefit compared to currently approved antidepressants.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AV-101 is a unique prodrug candidate that produces, in the brain, 7-chlorokynurenic acid (7-Cl-KYNA), one of the most potent and selective antagonists of the required glycine-binding site of the N-methyl-D-aspartate (</w:t>
      </w:r>
      <w:r>
        <w:rPr>
          <w:rFonts w:ascii="Arial" w:cs="Arial" w:eastAsia="Arial" w:hAnsi="Arial"/>
          <w:sz w:val="17"/>
          <w:szCs w:val="17"/>
          <w:i w:val="1"/>
          <w:iCs w:val="1"/>
          <w:color w:val="auto"/>
        </w:rPr>
        <w:t>NMDA</w:t>
      </w:r>
      <w:r>
        <w:rPr>
          <w:rFonts w:ascii="Arial" w:cs="Arial" w:eastAsia="Arial" w:hAnsi="Arial"/>
          <w:sz w:val="17"/>
          <w:szCs w:val="17"/>
          <w:color w:val="auto"/>
        </w:rPr>
        <w:t>) receptor, resulting in the down-regulation of NMDA signaling. Growing evidence suggests that the glutamatergic system is central to the neurobiology and treatment of MDD and other mood disorders.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fundamentally novel mechanism of action of AV-101 places it among a new generation of glutamatergic antidepressants with breakthrough potential to treat millions of depression sufferers worldwide who are poorly served by SSRIs, SNRIs and other currently available depression therapies. Like ketamine, AV-101 modulates (down-regulates) NMDA receptor channel activity. However, unlike ketamine’s antagonistic activity, which results from its blocking the NMDA receptor channel, AV-101’s antagonistic activity results from its selective binding to, and blocking, the functionally-required glycine-binding co-agonist site of the NMDA receptor.</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NIH previously awarded VistaGen $8.8 million to advance preclinical and Phase 1 clinical development of AV-101. In two randomized, double-blind, placebo-controlled Phase 1 safety studies, AV-101 was well tolerated and not associated with any severe adverse events. There were no signs of sedation, hallucinations or schizophrenia-like side effects often associated with ketamine and traditional NMDAR channel blockers. AV-101’s preclinical efficacy data, novel mechanism of action, rapid and efficient oral-delivery and demonstrated clinical safety, support our belief that it has breakthrough potential to address the urgent need for antidepressant agents with rapid-acting therapeutic benefits, in a manner similar to results seen in MDD studies with ketamine, but without any delivery limitations or safety concerns of ketamine.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NIH Cooperative Research and Development Agreement for NIH-Sponsored AV-101 Phase 2 Study in MDD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to collaborate with Dr. Zarate and his colleagues at the NIMH on an NIH-sponsored Phase 2 clinical study of the efficacy and safety of AV-101 in subjects with MDD. Dr. Zarate will be the Principal Investigator for the NIH-funded AV-101 Phase 2 MDD study under the CRADA. The study is expected to commence during the first half of 2015 and be completed at the end of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Technology-based Drug Rescue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With mature, adult human heart cells and liver cells produced using our proprietary pluripotent stem cell technology, we have developed two customized human cellular bioassay systems,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predicting heart toxicity and liver toxicity of new drug candidates, long before they are ever tested in animal or human studies. We are leveraging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drug rescue focused on producing proprietary new chemical entities (NCE’s) which are safer variants of drug rescue candidates previously optimized and tested for efficacy by pharmaceutical companies and others but terminated before FDA approval due to heart or liver toxicity concerns. Our initial drug rescue programs are focused on NCEs for cancer and CNS disorders.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Going Concern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2014 has been derived from our audited consolidated financial statements at that date but does not include all disclosures required by U.S. GAAP. The operating results for the three and nine months ended December 31, 2014 are not necessarily indicative of the operating results to be expected for our fiscal year ending March 31, 2015 or for any other interim period or any other future period.</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Condensed Consolidated Financial Statements and notes to Condensed Consolidated Financial Statements should be read in conjunction with our audited Consolidated Financial Statements for the fiscal year ended March 31, 2014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xml:space="preserve">) on June 25, 2014. Effective August 14, 2014, we consummated a 1-for-20 reverse split of our authorized, and issued and outstanding shares of common stock (the </w:t>
      </w:r>
      <w:r>
        <w:rPr>
          <w:rFonts w:ascii="Arial" w:cs="Arial" w:eastAsia="Arial" w:hAnsi="Arial"/>
          <w:sz w:val="17"/>
          <w:szCs w:val="17"/>
          <w:i w:val="1"/>
          <w:iCs w:val="1"/>
          <w:color w:val="auto"/>
        </w:rPr>
        <w:t>Stock Consolidation</w:t>
      </w:r>
      <w:r>
        <w:rPr>
          <w:rFonts w:ascii="Arial" w:cs="Arial" w:eastAsia="Arial" w:hAnsi="Arial"/>
          <w:sz w:val="17"/>
          <w:szCs w:val="17"/>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7"/>
          <w:szCs w:val="17"/>
          <w:i w:val="1"/>
          <w:iCs w:val="1"/>
          <w:color w:val="auto"/>
        </w:rPr>
        <w:t>Capital Stock</w:t>
      </w:r>
      <w:r>
        <w:rPr>
          <w:rFonts w:ascii="Arial" w:cs="Arial" w:eastAsia="Arial" w:hAnsi="Arial"/>
          <w:sz w:val="17"/>
          <w:szCs w:val="17"/>
          <w:color w:val="auto"/>
        </w:rPr>
        <w:t>, for more information regarding the Stock Consolidation.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$78.3 million accumulated from inception through December 31, 2014. We expect losses and negative cash flows from operations to continue for the foreseeable future as we engage in further potential development of AV-101 and launch and execute our drug rescue programs and pursue potential drug discovery, drug development and regenerative medicine opportunities.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December 31, 2014, we have financed our operations and technology acquisitions primarily through the issuance and sale of equity and debt securities, including convertible promissory notes and short-term promissory notes, for cash proceeds of approximately $28.0 million, as well as from an aggregate of approximately $16.4 million of government research grant awards, strategic collaboration payments and other revenues. Additionally, we have issued equity securities with an approximate value at issuance of $13.0 million in non-cash settlements of certain liabilities, including liabilities for professional services rendered to us or as compensation for such services. At December 31, 2014, we did not have sufficient cash and cash equivalents to enable us to fund our planned operations, including expected cash expenditures of approximately $7.5 million over the next twelve months.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To meet our cash needs and fund our working capital requirements after December 31, 2014, between January 1, 2015 and February 13, 2015, we entered into securities purchase agreements with certain accredited investors and institutions to sell units of our securities, for aggregate proceeds of $768,500 consisting of: (i) 10% subordinate convertible promissory notes in the aggregate face amount of $768,500 maturing on March 31, 2015; (ii) an aggregate of 128,350 restricted shares of our common stock; and (iii) warrants exercisable through December 31, 2016 to purchase an aggregate of 128,350 restricted shares of our common stock at an exercise price of $10.00 per share. See Note 10, </w:t>
      </w:r>
      <w:r>
        <w:rPr>
          <w:rFonts w:ascii="Arial" w:cs="Arial" w:eastAsia="Arial" w:hAnsi="Arial"/>
          <w:sz w:val="17"/>
          <w:szCs w:val="17"/>
          <w:i w:val="1"/>
          <w:iCs w:val="1"/>
          <w:color w:val="auto"/>
        </w:rPr>
        <w:t>Subsequent Events</w:t>
      </w:r>
      <w:r>
        <w:rPr>
          <w:rFonts w:ascii="Arial" w:cs="Arial" w:eastAsia="Arial" w:hAnsi="Arial"/>
          <w:sz w:val="17"/>
          <w:szCs w:val="17"/>
          <w:color w:val="auto"/>
        </w:rPr>
        <w:t>, for additional information.</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April 2013, we entered into a Securities Purchase Agreement (as amended, </w:t>
      </w:r>
      <w:r>
        <w:rPr>
          <w:rFonts w:ascii="Arial" w:cs="Arial" w:eastAsia="Arial" w:hAnsi="Arial"/>
          <w:sz w:val="17"/>
          <w:szCs w:val="17"/>
          <w:i w:val="1"/>
          <w:iCs w:val="1"/>
          <w:color w:val="auto"/>
        </w:rPr>
        <w:t>Securities Purchase Agreement</w:t>
      </w:r>
      <w:r>
        <w:rPr>
          <w:rFonts w:ascii="Arial" w:cs="Arial" w:eastAsia="Arial" w:hAnsi="Arial"/>
          <w:sz w:val="17"/>
          <w:szCs w:val="17"/>
          <w:color w:val="auto"/>
        </w:rPr>
        <w:t>) with Autilion AG, a company organized and existing under the laws of Switzerland (</w:t>
      </w:r>
      <w:r>
        <w:rPr>
          <w:rFonts w:ascii="Arial" w:cs="Arial" w:eastAsia="Arial" w:hAnsi="Arial"/>
          <w:sz w:val="17"/>
          <w:szCs w:val="17"/>
          <w:i w:val="1"/>
          <w:iCs w:val="1"/>
          <w:color w:val="auto"/>
        </w:rPr>
        <w:t>Autilion</w:t>
      </w:r>
      <w:r>
        <w:rPr>
          <w:rFonts w:ascii="Arial" w:cs="Arial" w:eastAsia="Arial" w:hAnsi="Arial"/>
          <w:sz w:val="17"/>
          <w:szCs w:val="17"/>
          <w:color w:val="auto"/>
        </w:rPr>
        <w:t>), under which Autilion remains contractually obligated to purchase an aggregate of 3.6 million restricted shares of our common stock at a purchase price of $10.00 per share for aggregate cash proceeds to us of $36.0 million (</w:t>
      </w:r>
      <w:r>
        <w:rPr>
          <w:rFonts w:ascii="Arial" w:cs="Arial" w:eastAsia="Arial" w:hAnsi="Arial"/>
          <w:sz w:val="17"/>
          <w:szCs w:val="17"/>
          <w:i w:val="1"/>
          <w:iCs w:val="1"/>
          <w:color w:val="auto"/>
        </w:rPr>
        <w:t>Autilion Financing</w:t>
      </w:r>
      <w:r>
        <w:rPr>
          <w:rFonts w:ascii="Arial" w:cs="Arial" w:eastAsia="Arial" w:hAnsi="Arial"/>
          <w:sz w:val="17"/>
          <w:szCs w:val="17"/>
          <w:color w:val="auto"/>
        </w:rPr>
        <w:t>). Autilion is currently in default on its obligations under the Securities Purchase Agreement. Substantial doubt exists that the Autilion Financing will close, and therefore no assurances can be provided that Autilion will complete any material portion of its obligations under the Securities Purchase Agreement. In the event that Autilion does not complete a material portion of the Autilion Financing under the Securities Purchase Agreement in the near term, we estimate that we will need to obtain approximately $10 million to $15 million from alternative financing sources during the course of the next 12 months to execute our business plan. We believe our participation in potential strategic collaborations, including potential transactions involving development and commercialization of AV-101, may provide us with cash in support of our future cash needs and working capital requirements. To the extent necessary, we may also seek to meet our current and future cash needs, and fund our current and future working capital requirements, through a combination of private placements and/or registered public offerings of our securities, which may include both debt and equity securities, research and development collaborations, license fees, and government grant awards and collaborations. Notwithstanding the foregoing, substantial additional financing may not be available to us on a timely basis, on acceptable terms, or at all. If we are unable to obtain substantial financing from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 accompanying Condensed Consolidated Financial Statements do not include any adjustments that might result from the outcome of this uncertainty.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do not currently have any such arrangements, we have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208" w:lineRule="exact"/>
        <w:rPr>
          <w:sz w:val="20"/>
          <w:szCs w:val="20"/>
          <w:color w:val="auto"/>
        </w:rPr>
      </w:pPr>
    </w:p>
    <w:p>
      <w:pPr>
        <w:jc w:val="both"/>
        <w:ind w:left="960" w:hanging="439"/>
        <w:spacing w:after="0" w:line="269"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9" w:lineRule="exact"/>
        <w:rPr>
          <w:rFonts w:ascii="Arial" w:cs="Arial" w:eastAsia="Arial" w:hAnsi="Arial"/>
          <w:sz w:val="17"/>
          <w:szCs w:val="17"/>
          <w:color w:val="auto"/>
        </w:rPr>
      </w:pPr>
    </w:p>
    <w:p>
      <w:pPr>
        <w:jc w:val="both"/>
        <w:ind w:left="960" w:hanging="439"/>
        <w:spacing w:after="0" w:line="279"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98" w:lineRule="exact"/>
        <w:rPr>
          <w:rFonts w:ascii="Arial" w:cs="Arial" w:eastAsia="Arial" w:hAnsi="Arial"/>
          <w:sz w:val="17"/>
          <w:szCs w:val="17"/>
          <w:color w:val="auto"/>
        </w:rPr>
      </w:pPr>
    </w:p>
    <w:p>
      <w:pPr>
        <w:ind w:left="960" w:right="20" w:hanging="439"/>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grants, which have supported our research efforts on specific projects, generally provide for reimbursement of approved costs as defined in the terms of grant awards. Grant revenue is recognized when associated project costs are incurred.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 compensation cost for all stock-based awards to employees based on the grant date fair value of the award. Non-cash, stock-based compensation expense is recognized over the period during which the employee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Income for the three and nine months ended December 31,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43"/>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1"/>
                <w:szCs w:val="21"/>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608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option grants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126,900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240,300</w:t>
            </w:r>
          </w:p>
        </w:tc>
      </w:tr>
      <w:tr>
        <w:trPr>
          <w:trHeight w:val="223"/>
        </w:trPr>
        <w:tc>
          <w:tcPr>
            <w:tcW w:w="6080" w:type="dxa"/>
            <w:vAlign w:val="bottom"/>
          </w:tcPr>
          <w:p>
            <w:pPr>
              <w:ind w:left="280"/>
              <w:spacing w:after="0"/>
              <w:rPr>
                <w:sz w:val="20"/>
                <w:szCs w:val="20"/>
                <w:color w:val="auto"/>
              </w:rPr>
            </w:pPr>
            <w:r>
              <w:rPr>
                <w:rFonts w:ascii="Arial" w:cs="Arial" w:eastAsia="Arial" w:hAnsi="Arial"/>
                <w:sz w:val="18"/>
                <w:szCs w:val="18"/>
                <w:color w:val="auto"/>
              </w:rPr>
              <w:t>Warrants granted to officer in March 2014 and 2013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33,400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100,300</w:t>
            </w:r>
          </w:p>
        </w:tc>
      </w:tr>
      <w:tr>
        <w:trPr>
          <w:trHeight w:val="216"/>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160,300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264,900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340,600</w:t>
            </w:r>
          </w:p>
        </w:tc>
      </w:tr>
      <w:tr>
        <w:trPr>
          <w:trHeight w:val="216"/>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Stock option grants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242,200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352,500</w:t>
            </w:r>
          </w:p>
        </w:tc>
      </w:tr>
      <w:tr>
        <w:trPr>
          <w:trHeight w:val="216"/>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Warrants granted to officers and directors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ind w:left="500"/>
              <w:spacing w:after="0"/>
              <w:rPr>
                <w:sz w:val="20"/>
                <w:szCs w:val="20"/>
                <w:color w:val="auto"/>
              </w:rPr>
            </w:pPr>
            <w:r>
              <w:rPr>
                <w:rFonts w:ascii="Arial" w:cs="Arial" w:eastAsia="Arial" w:hAnsi="Arial"/>
                <w:sz w:val="18"/>
                <w:szCs w:val="18"/>
                <w:color w:val="auto"/>
              </w:rPr>
              <w:t>in March 2014 and 2013</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70,700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66,900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200,600</w:t>
            </w:r>
          </w:p>
        </w:tc>
      </w:tr>
      <w:tr>
        <w:trPr>
          <w:trHeight w:val="216"/>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309,100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553,100</w:t>
            </w:r>
          </w:p>
        </w:tc>
      </w:tr>
      <w:tr>
        <w:trPr>
          <w:trHeight w:val="216"/>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155,500</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469,400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563,900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893,700</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did not grant any stock options to employees or consultants during the nine months ended December 31, 2014. During the nine months ended December 31, 2013, we granted stock options to purchase an aggregate of 156,000 shares of our common stock at exercise prices from $8.00 per share to $16.40 per share (the quoted market price on the grant dates after giving effect to the Stock Consolidation) to certain employees and consultants. During the quarter ended December 31, 2013, we modified certain outstanding stock options granted from our 2008 Stock Incentive Plan to reduce the exercise price to $8.00 per share or $10.00 per share and modified certain stock options granted from our 1999 Stock Incentive Plan to reduce the exercise price to $10.00 per share. The expense indicated in the table above for the three and nine months ended December 31, 2013 includes an aggregate of $252,000 attributable to these modifications. At December 31, 2014, there were stock options outstanding to purchase 207,638 shares of our common stock at a weighted average exercise price of $10.09 per share.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issued a substantial number of warrants to purchase unregistered shares of our common stock to Platinum Long Term Growth VII, LLC, our largest investor (</w:t>
      </w:r>
      <w:r>
        <w:rPr>
          <w:rFonts w:ascii="Arial" w:cs="Arial" w:eastAsia="Arial" w:hAnsi="Arial"/>
          <w:sz w:val="17"/>
          <w:szCs w:val="17"/>
          <w:i w:val="1"/>
          <w:iCs w:val="1"/>
          <w:color w:val="auto"/>
        </w:rPr>
        <w:t>Platinum</w:t>
      </w:r>
      <w:r>
        <w:rPr>
          <w:rFonts w:ascii="Arial" w:cs="Arial" w:eastAsia="Arial" w:hAnsi="Arial"/>
          <w:sz w:val="17"/>
          <w:szCs w:val="17"/>
          <w:color w:val="auto"/>
        </w:rPr>
        <w:t xml:space="preserve">), and, subject to Platinum’s exercise of its rights to exchange shares of our Series A Preferred Stock that it holds, we are also obligated to issue additional warrants to purchase unregistered shares of common stock to Platinum (collectively, the </w:t>
      </w:r>
      <w:r>
        <w:rPr>
          <w:rFonts w:ascii="Arial" w:cs="Arial" w:eastAsia="Arial" w:hAnsi="Arial"/>
          <w:sz w:val="17"/>
          <w:szCs w:val="17"/>
          <w:i w:val="1"/>
          <w:iCs w:val="1"/>
          <w:color w:val="auto"/>
        </w:rPr>
        <w:t>Platinum Warrants</w:t>
      </w:r>
      <w:r>
        <w:rPr>
          <w:rFonts w:ascii="Arial" w:cs="Arial" w:eastAsia="Arial" w:hAnsi="Arial"/>
          <w:sz w:val="17"/>
          <w:szCs w:val="17"/>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and Note 8</w:t>
      </w:r>
      <w:r>
        <w:rPr>
          <w:rFonts w:ascii="Arial" w:cs="Arial" w:eastAsia="Arial" w:hAnsi="Arial"/>
          <w:sz w:val="17"/>
          <w:szCs w:val="17"/>
          <w:i w:val="1"/>
          <w:iCs w:val="1"/>
          <w:color w:val="auto"/>
        </w:rPr>
        <w:t>, Capital Stock</w:t>
      </w:r>
      <w:r>
        <w:rPr>
          <w:rFonts w:ascii="Arial" w:cs="Arial" w:eastAsia="Arial" w:hAnsi="Arial"/>
          <w:sz w:val="17"/>
          <w:szCs w:val="17"/>
          <w:color w:val="auto"/>
        </w:rPr>
        <w:t>. We compute the fair value of the warrant liability at each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components of other comprehensive income (loss) other than net income (loss), and accordingly our comprehensive income (loss) is equivalent to our net income (loss)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outstanding warrants, only if dilutive, and increase the denominator to include the number of potentially dilutive common shares assumed to be outstanding during the period using the treasury stock method. As a result of our net loss for the periods presented, potentially dilutive securities were excluded from the computation, as their effect would be antidilutive. Potentially dilutive securities were assumed to be converted into common shares and outstanding during the periods for purposes of calculating diluted earnings per share as indicated in the table below.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5900" w:type="dxa"/>
            <w:vAlign w:val="bottom"/>
            <w:gridSpan w:val="4"/>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80" w:type="dxa"/>
            <w:vAlign w:val="bottom"/>
            <w:gridSpan w:val="8"/>
          </w:tcPr>
          <w:p>
            <w:pPr>
              <w:spacing w:after="0"/>
              <w:rPr>
                <w:sz w:val="20"/>
                <w:szCs w:val="20"/>
                <w:color w:val="auto"/>
              </w:rPr>
            </w:pPr>
            <w:r>
              <w:rPr>
                <w:rFonts w:ascii="Arial" w:cs="Arial" w:eastAsia="Arial" w:hAnsi="Arial"/>
                <w:sz w:val="18"/>
                <w:szCs w:val="18"/>
                <w:color w:val="auto"/>
                <w:w w:val="93"/>
              </w:rPr>
              <w:t>Basic and diluted net loss attributable to common stockholders per share was computed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80" w:type="dxa"/>
            <w:vAlign w:val="bottom"/>
            <w:gridSpan w:val="3"/>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3"/>
          </w:tcPr>
          <w:p>
            <w:pPr>
              <w:ind w:left="340"/>
              <w:spacing w:after="0"/>
              <w:rPr>
                <w:sz w:val="20"/>
                <w:szCs w:val="20"/>
                <w:color w:val="auto"/>
              </w:rPr>
            </w:pPr>
            <w:r>
              <w:rPr>
                <w:rFonts w:ascii="Arial" w:cs="Arial" w:eastAsia="Arial" w:hAnsi="Arial"/>
                <w:sz w:val="18"/>
                <w:szCs w:val="18"/>
                <w:color w:val="auto"/>
              </w:rPr>
              <w:t>Net (loss) income attributable to common stockholders for basic</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per share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(1,090,300)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(7,664,500)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8"/>
                <w:szCs w:val="18"/>
                <w:color w:val="auto"/>
              </w:rPr>
              <w:t>less: change in fair value of warrant liability attributable to Exchange,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Investment and Bridge Warrants issued to Platinum</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(620,800)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(251,500)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Net loss for diluted earnings per share attributable to common stockholders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(1,405,200)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(7,916,000)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ind w:left="340"/>
              <w:spacing w:after="0"/>
              <w:rPr>
                <w:sz w:val="20"/>
                <w:szCs w:val="20"/>
                <w:color w:val="auto"/>
              </w:rPr>
            </w:pPr>
            <w:r>
              <w:rPr>
                <w:rFonts w:ascii="Arial" w:cs="Arial" w:eastAsia="Arial" w:hAnsi="Arial"/>
                <w:sz w:val="18"/>
                <w:szCs w:val="18"/>
                <w:color w:val="auto"/>
              </w:rPr>
              <w:t>Weighted average basic common shares outstanding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1,302,300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1,110,529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1,270,495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Assumed conversion of dilutive securities: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gridSpan w:val="2"/>
          </w:tcPr>
          <w:p>
            <w:pPr>
              <w:ind w:left="540"/>
              <w:spacing w:after="0"/>
              <w:rPr>
                <w:sz w:val="20"/>
                <w:szCs w:val="20"/>
                <w:color w:val="auto"/>
              </w:rPr>
            </w:pPr>
            <w:r>
              <w:rPr>
                <w:rFonts w:ascii="Arial" w:cs="Arial" w:eastAsia="Arial" w:hAnsi="Arial"/>
                <w:sz w:val="18"/>
                <w:szCs w:val="18"/>
                <w:color w:val="auto"/>
              </w:rPr>
              <w:t>Warrants to purchase common stock</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Potentially dilutive common shares assumed converted</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Denominator for diluted earnings per share - adjusted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weighted average shares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1,302,300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1,110,529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1,288,674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1,087,087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Basic net (loss) income attributable to common stockholders per common share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20" w:type="dxa"/>
            <w:vAlign w:val="bottom"/>
            <w:gridSpan w:val="10"/>
          </w:tcPr>
          <w:p>
            <w:pPr>
              <w:spacing w:after="0"/>
              <w:rPr>
                <w:sz w:val="20"/>
                <w:szCs w:val="20"/>
                <w:color w:val="auto"/>
              </w:rPr>
            </w:pPr>
            <w:r>
              <w:rPr>
                <w:rFonts w:ascii="Arial" w:cs="Arial" w:eastAsia="Arial" w:hAnsi="Arial"/>
                <w:sz w:val="18"/>
                <w:szCs w:val="18"/>
                <w:color w:val="auto"/>
                <w:w w:val="93"/>
              </w:rPr>
              <w:t>Potentially dilutive securities excluded in determining diluted net loss per common share are as follows: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4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Warrant shares issuable to Platinum upon exercise of common stock warrants by Platinum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5"/>
          </w:tcPr>
          <w:p>
            <w:pPr>
              <w:ind w:left="160"/>
              <w:spacing w:after="0"/>
              <w:rPr>
                <w:sz w:val="20"/>
                <w:szCs w:val="20"/>
                <w:color w:val="auto"/>
              </w:rPr>
            </w:pPr>
            <w:r>
              <w:rPr>
                <w:rFonts w:ascii="Arial" w:cs="Arial" w:eastAsia="Arial" w:hAnsi="Arial"/>
                <w:sz w:val="18"/>
                <w:szCs w:val="18"/>
                <w:color w:val="auto"/>
                <w:w w:val="91"/>
              </w:rPr>
              <w:t>upon exchange of Series A Preferred under the terms of the October 11, 2012 Note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Exchange and Purchase Agreement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999,840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4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 convertible Exchange Note and Investment Notes issued to Platinum in October 2012,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7"/>
          </w:tcPr>
          <w:p>
            <w:pPr>
              <w:ind w:left="160"/>
              <w:spacing w:after="0"/>
              <w:rPr>
                <w:sz w:val="20"/>
                <w:szCs w:val="20"/>
                <w:color w:val="auto"/>
              </w:rPr>
            </w:pPr>
            <w:r>
              <w:rPr>
                <w:rFonts w:ascii="Arial" w:cs="Arial" w:eastAsia="Arial" w:hAnsi="Arial"/>
                <w:sz w:val="18"/>
                <w:szCs w:val="18"/>
                <w:color w:val="auto"/>
              </w:rPr>
              <w:t>February 2013 and March 2013, including accrued interest through December 31, 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and 2013, respectively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404,420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80" w:type="dxa"/>
            <w:vAlign w:val="bottom"/>
            <w:gridSpan w:val="9"/>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w w:val="94"/>
              </w:rPr>
              <w:t>10% convertible note issued to Platinum on July 26, 2013, including accrued interest through March 31, 2014 through</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2014 and 2013, 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80" w:type="dxa"/>
            <w:vAlign w:val="bottom"/>
            <w:gridSpan w:val="9"/>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w w:val="92"/>
              </w:rPr>
              <w:t>10% convertible notes issued as a component of Unit Private Placements, including accrued interest through March 31,</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w w:val="95"/>
              </w:rPr>
              <w:t xml:space="preserve">2014 accrued interest through December 31, 2014 and 2013, respectively </w:t>
            </w:r>
            <w:r>
              <w:rPr>
                <w:rFonts w:ascii="Arial" w:cs="Arial" w:eastAsia="Arial" w:hAnsi="Arial"/>
                <w:sz w:val="25"/>
                <w:szCs w:val="25"/>
                <w:color w:val="auto"/>
                <w:w w:val="95"/>
                <w:vertAlign w:val="superscript"/>
              </w:rPr>
              <w:t>(3)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322,091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5900" w:type="dxa"/>
            <w:vAlign w:val="bottom"/>
            <w:gridSpan w:val="4"/>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3,088,010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2,594,813</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40" w:hanging="232"/>
        <w:spacing w:after="0" w:line="214" w:lineRule="auto"/>
        <w:tabs>
          <w:tab w:leader="none" w:pos="2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Platinum</w:t>
      </w:r>
    </w:p>
    <w:p>
      <w:pPr>
        <w:spacing w:after="0" w:line="1" w:lineRule="exact"/>
        <w:rPr>
          <w:rFonts w:ascii="Arial" w:cs="Arial" w:eastAsia="Arial" w:hAnsi="Arial"/>
          <w:sz w:val="25"/>
          <w:szCs w:val="25"/>
          <w:color w:val="auto"/>
          <w:vertAlign w:val="superscript"/>
        </w:rPr>
      </w:pPr>
    </w:p>
    <w:p>
      <w:pPr>
        <w:ind w:right="1560" w:firstLine="8"/>
        <w:spacing w:after="0" w:line="249" w:lineRule="auto"/>
        <w:tabs>
          <w:tab w:leader="none" w:pos="182"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Assumes conversion under the terms of the October 11, 2012 Note Exchange and Purchase Agreement with Platinum and the terms of the individual notes</w:t>
      </w:r>
    </w:p>
    <w:p>
      <w:pPr>
        <w:ind w:right="1480" w:firstLine="8"/>
        <w:spacing w:after="0" w:line="237" w:lineRule="auto"/>
        <w:tabs>
          <w:tab w:leader="none" w:pos="19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Excludes effect of conversion premium upon conversion into securities which may be issued in a Qualified Financing, as defined in the notes</w:t>
      </w:r>
    </w:p>
    <w:p>
      <w:pPr>
        <w:sectPr>
          <w:pgSz w:w="11900" w:h="16838" w:orient="portrait"/>
          <w:cols w:equalWidth="0" w:num="1">
            <w:col w:w="11420"/>
          </w:cols>
          <w:pgMar w:left="240" w:top="118"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which supersedes the revenue recognition requirements in ASC 605, Revenue Recognition. This ASU is based on the principle that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quarter of our fiscal year ending March 31, 2018, using one of two retrospective application methods. We have not determined the potential effects of adopting this ASU on our consolidated financial statements.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2014, the FASB issued ASU No. 2014-10, </w:t>
      </w:r>
      <w:r>
        <w:rPr>
          <w:rFonts w:ascii="Arial" w:cs="Arial" w:eastAsia="Arial" w:hAnsi="Arial"/>
          <w:sz w:val="17"/>
          <w:szCs w:val="17"/>
          <w:i w:val="1"/>
          <w:iCs w:val="1"/>
          <w:color w:val="auto"/>
        </w:rPr>
        <w:t>Development Stage Entities (Topic 915): Elimination of Certain Financial Reporting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an Amendment to Variable Interest Entities Guidance in Topic 810, Consolidation</w:t>
      </w:r>
      <w:r>
        <w:rPr>
          <w:rFonts w:ascii="Arial" w:cs="Arial" w:eastAsia="Arial" w:hAnsi="Arial"/>
          <w:sz w:val="17"/>
          <w:szCs w:val="17"/>
          <w:color w:val="auto"/>
        </w:rPr>
        <w:t>. The amendments in this ASU remove all incremental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requirements for development stage entities. Among other changes, this ASU no 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Condensed Consolidated Statements of Operations and Comprehensive Loss and Condensed Consolidated Statements of Cash Flows.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Presentation of Financial Statements—Going Concern (Subtopic 205-40): Disclosure of Uncertainties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about an Entity’s Ability to Continue as a Going Concern. </w:t>
      </w:r>
      <w:r>
        <w:rPr>
          <w:rFonts w:ascii="Arial" w:cs="Arial" w:eastAsia="Arial" w:hAnsi="Arial"/>
          <w:sz w:val="17"/>
          <w:szCs w:val="17"/>
          <w:color w:val="auto"/>
        </w:rPr>
        <w:t>The amendments in this ASU define when and how an entity is required to disclose going concern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2014, our auditors indicated that there was substantial doubt about our ability to continue as a going concern. Although we have not yet adopted ASU 2014-15, we have indicated in Note 2, </w:t>
      </w:r>
      <w:r>
        <w:rPr>
          <w:rFonts w:ascii="Arial" w:cs="Arial" w:eastAsia="Arial" w:hAnsi="Arial"/>
          <w:sz w:val="17"/>
          <w:szCs w:val="17"/>
          <w:i w:val="1"/>
          <w:iCs w:val="1"/>
          <w:color w:val="auto"/>
        </w:rPr>
        <w:t>Basis of Presentation and Going Concern</w:t>
      </w:r>
      <w:r>
        <w:rPr>
          <w:rFonts w:ascii="Arial" w:cs="Arial" w:eastAsia="Arial" w:hAnsi="Arial"/>
          <w:sz w:val="17"/>
          <w:szCs w:val="17"/>
          <w:color w:val="auto"/>
        </w:rPr>
        <w:t>, management’s plans for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and classify fair value into three broad levels is described as follows:</w:t>
      </w:r>
    </w:p>
    <w:p>
      <w:pPr>
        <w:spacing w:after="0" w:line="192" w:lineRule="exact"/>
        <w:rPr>
          <w:sz w:val="20"/>
          <w:szCs w:val="20"/>
          <w:color w:val="auto"/>
        </w:rPr>
      </w:pPr>
    </w:p>
    <w:p>
      <w:pPr>
        <w:ind w:left="960" w:hanging="439"/>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gives the highest priority to Level 1 inputs.</w:t>
      </w:r>
    </w:p>
    <w:p>
      <w:pPr>
        <w:spacing w:after="0" w:line="197" w:lineRule="exact"/>
        <w:rPr>
          <w:rFonts w:ascii="Arial" w:cs="Arial" w:eastAsia="Arial" w:hAnsi="Arial"/>
          <w:sz w:val="18"/>
          <w:szCs w:val="18"/>
          <w:color w:val="auto"/>
        </w:rPr>
      </w:pPr>
    </w:p>
    <w:p>
      <w:pPr>
        <w:jc w:val="both"/>
        <w:ind w:left="960" w:hanging="439"/>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08" w:lineRule="exact"/>
        <w:rPr>
          <w:rFonts w:ascii="Arial" w:cs="Arial" w:eastAsia="Arial" w:hAnsi="Arial"/>
          <w:sz w:val="18"/>
          <w:szCs w:val="18"/>
          <w:color w:val="auto"/>
        </w:rPr>
      </w:pPr>
    </w:p>
    <w:p>
      <w:pPr>
        <w:jc w:val="both"/>
        <w:ind w:left="960" w:hanging="439"/>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estimating the fair value of an asset or liability) are used when little or no market data is available. The fair value hierarchy gives the lowest priority to Level 3 inputs.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do not use derivative instruments for hedging of market risks or for trading or speculative purposes. In conjunction with the issuance of the Senior Secured Convertible Promissory Notes and related Exchange Warrant and Investment Warrants to Platinum in October 2012, February 2013, March 2013, and the potential issuance of the Series A Exchange Warrant (see Note 9,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all pursuant to the Note Exchange and Purchase Agreement of October 2012 between the Company and Platinum (see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and the issuance of the warrant related to the Senior Secured Convertible Promissory Note issued to Platinum in July 2013, we determined that the Platinum Warrants included certain exercise price adjustment features requiring the warrants to be treated as non-cash liabilities, which were recorded at their estimated fair value. We determined the initial fair value of the warrant liability using a Monte Carlo simulation model with Level 3 inputs or the Black-Scholes Option Pricing model. Inputs used to determine fair value include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Exchange Warrant, the probability of Platinum’s exchange of the shares of Series A preferred stock it holds into shares of common stock. We have recognized the change in the fair value of these warrant liabilities since the end of the prior fiscal year and the prior fiscal quarter as a non-cash component of other expense, net in the Condensed Consolidated Statements of Operations and Comprehensive Loss for the three and nine months ended December 31, 2014 and 2013,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for the warrant liability measured at fair value on a recurring basis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at Reporting Date Using</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Active Markets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for 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Inputs (Level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December 31, 2014:</w:t>
            </w: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360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2,445,600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March 31, 2014:</w:t>
            </w:r>
          </w:p>
        </w:tc>
        <w:tc>
          <w:tcPr>
            <w:tcW w:w="2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2,973,900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 period ended December 31, 2014, there was no significant change to the valuation models used for purposes of determining the fair value of the Level 3 warrant liability. The decrease in the market price of our common stock since March 31, 2014 is the primary factor resulting in the decrease in the warrant liability.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Level 3 liabilities measured at fair value on a recurring basis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Measurements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Warrant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Mark to market income included in net loss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(528,300)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carried no assets or other liabilities at fair value at December 31, 2014 or March 31,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8620" w:type="dxa"/>
            <w:vAlign w:val="bottom"/>
            <w:gridSpan w:val="2"/>
          </w:tcPr>
          <w:p>
            <w:pPr>
              <w:spacing w:after="0"/>
              <w:rPr>
                <w:rFonts w:ascii="Arial" w:cs="Arial" w:eastAsia="Arial" w:hAnsi="Arial"/>
                <w:sz w:val="16"/>
                <w:szCs w:val="16"/>
                <w:i w:val="1"/>
                <w:iCs w:val="1"/>
                <w:color w:val="0000EE"/>
              </w:rPr>
            </w:pPr>
            <w:hyperlink w:anchor="page2">
              <w:r>
                <w:rPr>
                  <w:rFonts w:ascii="Arial" w:cs="Arial" w:eastAsia="Arial" w:hAnsi="Arial"/>
                  <w:sz w:val="16"/>
                  <w:szCs w:val="16"/>
                  <w:i w:val="1"/>
                  <w:iCs w:val="1"/>
                  <w:color w:val="0000EE"/>
                </w:rPr>
                <w:t>Table of Contents</w:t>
              </w:r>
            </w:hyperlink>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Prepaid expenses and other current assets are composed of the following at December 31, 2014 and March 31, 2014:</w:t>
            </w:r>
          </w:p>
        </w:tc>
        <w:tc>
          <w:tcPr>
            <w:tcW w:w="200" w:type="dxa"/>
            <w:vAlign w:val="bottom"/>
          </w:tcPr>
          <w:p>
            <w:pPr>
              <w:spacing w:after="0"/>
              <w:rPr>
                <w:sz w:val="24"/>
                <w:szCs w:val="24"/>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8620" w:type="dxa"/>
            <w:vAlign w:val="bottom"/>
            <w:gridSpan w:val="2"/>
          </w:tcPr>
          <w:p>
            <w:pPr>
              <w:ind w:left="60"/>
              <w:spacing w:after="0"/>
              <w:rPr>
                <w:sz w:val="20"/>
                <w:szCs w:val="20"/>
                <w:color w:val="auto"/>
              </w:rPr>
            </w:pPr>
            <w:r>
              <w:rPr>
                <w:rFonts w:ascii="Arial" w:cs="Arial" w:eastAsia="Arial" w:hAnsi="Arial"/>
                <w:sz w:val="18"/>
                <w:szCs w:val="18"/>
                <w:color w:val="auto"/>
              </w:rPr>
              <w:t>Legal fees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receivable on note receivable from sale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of common stock</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Technology license fees and all other</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shd w:val="clear" w:color="auto" w:fill="CCEEFF"/>
          </w:tcPr>
          <w:p>
            <w:pPr>
              <w:spacing w:after="0"/>
              <w:rPr>
                <w:sz w:val="22"/>
                <w:szCs w:val="22"/>
                <w:color w:val="auto"/>
              </w:rPr>
            </w:pPr>
          </w:p>
        </w:tc>
        <w:tc>
          <w:tcPr>
            <w:tcW w:w="74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453"/>
        </w:trPr>
        <w:tc>
          <w:tcPr>
            <w:tcW w:w="86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Note 6. Accrued Expenses</w:t>
            </w: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20" w:type="dxa"/>
            <w:vAlign w:val="bottom"/>
            <w:gridSpan w:val="2"/>
          </w:tcPr>
          <w:p>
            <w:pPr>
              <w:spacing w:after="0"/>
              <w:rPr>
                <w:sz w:val="20"/>
                <w:szCs w:val="20"/>
                <w:color w:val="auto"/>
              </w:rPr>
            </w:pPr>
            <w:r>
              <w:rPr>
                <w:rFonts w:ascii="Arial" w:cs="Arial" w:eastAsia="Arial" w:hAnsi="Arial"/>
                <w:sz w:val="18"/>
                <w:szCs w:val="18"/>
                <w:color w:val="auto"/>
              </w:rPr>
              <w:t>Accrued expenses are composed of the following at December 31, 2014 and March 31, 2014: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135,700</w:t>
            </w:r>
          </w:p>
        </w:tc>
        <w:tc>
          <w:tcPr>
            <w:tcW w:w="0" w:type="dxa"/>
            <w:vAlign w:val="bottom"/>
          </w:tcPr>
          <w:p>
            <w:pPr>
              <w:spacing w:after="0"/>
              <w:rPr>
                <w:sz w:val="1"/>
                <w:szCs w:val="1"/>
                <w:color w:val="auto"/>
              </w:rPr>
            </w:pPr>
          </w:p>
        </w:tc>
      </w:tr>
      <w:tr>
        <w:trPr>
          <w:trHeight w:val="223"/>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986,400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489,900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1,192,800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625,600</w:t>
            </w:r>
          </w:p>
        </w:tc>
        <w:tc>
          <w:tcPr>
            <w:tcW w:w="0" w:type="dxa"/>
            <w:vAlign w:val="bottom"/>
          </w:tcPr>
          <w:p>
            <w:pPr>
              <w:spacing w:after="0"/>
              <w:rPr>
                <w:sz w:val="1"/>
                <w:szCs w:val="1"/>
                <w:color w:val="auto"/>
              </w:rPr>
            </w:pPr>
          </w:p>
        </w:tc>
      </w:tr>
      <w:tr>
        <w:trPr>
          <w:trHeight w:val="21"/>
        </w:trPr>
        <w:tc>
          <w:tcPr>
            <w:tcW w:w="8620" w:type="dxa"/>
            <w:vAlign w:val="bottom"/>
            <w:gridSpan w:val="2"/>
            <w:vMerge w:val="restart"/>
          </w:tcPr>
          <w:p>
            <w:pPr>
              <w:ind w:left="556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line="62"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Convertible Promissory Notes and Other Notes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secured and unsecured promissory notes and other notes payable at December 31, 2014 and March 31, 2014.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3"/>
              </w:rPr>
              <w:t>March 31, 2014</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Principal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0"/>
              </w:rPr>
              <w:t>Accrued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Principal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3"/>
              </w:rPr>
              <w:t>Accrued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334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Senior Secured 10% Convertible</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Promissory Notes issued to Platinum:</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Note issued on October 11,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1,272,600</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1,592,600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9"/>
              </w:rPr>
              <w:t>Investment Note issued on October 11,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22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125,700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625,700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79,900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579,900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Investment Note issued on October 19,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124,400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624,400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6"/>
              </w:rPr>
              <w:t>Investment Note issued on February 22,</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22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51,500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301,500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29,400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Note issued on March 12,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3,272,600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4,044,200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3,272,600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475,400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Convertible promissory note issued 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July 26, 2013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288,900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Senior notes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4,333,100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Aggregate note discount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Net Senior notes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3,522,600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4,333,100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1,436,700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493,100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(2,272,600)</w:t>
            </w:r>
          </w:p>
        </w:tc>
        <w:tc>
          <w:tcPr>
            <w:tcW w:w="2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(570,100)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(2,842,700)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120" w:type="dxa"/>
            <w:vAlign w:val="bottom"/>
            <w:tcBorders>
              <w:top w:val="single" w:sz="8" w:color="CCEEFF"/>
            </w:tcBorders>
          </w:tcPr>
          <w:p>
            <w:pPr>
              <w:ind w:left="220"/>
              <w:spacing w:after="0" w:line="201" w:lineRule="exact"/>
              <w:rPr>
                <w:sz w:val="20"/>
                <w:szCs w:val="20"/>
                <w:color w:val="auto"/>
              </w:rPr>
            </w:pPr>
            <w:r>
              <w:rPr>
                <w:rFonts w:ascii="Arial" w:cs="Arial" w:eastAsia="Arial" w:hAnsi="Arial"/>
                <w:sz w:val="18"/>
                <w:szCs w:val="18"/>
                <w:color w:val="auto"/>
                <w:w w:val="94"/>
              </w:rPr>
              <w:t>Senior notes - non-current portion and</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discount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240,400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1,490,400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1,436,700</w:t>
            </w:r>
          </w:p>
        </w:tc>
        <w:tc>
          <w:tcPr>
            <w:tcW w:w="12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493,100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c>
          <w:tcPr>
            <w:tcW w:w="0" w:type="dxa"/>
            <w:vAlign w:val="bottom"/>
          </w:tcPr>
          <w:p>
            <w:pPr>
              <w:spacing w:after="0"/>
              <w:rPr>
                <w:sz w:val="1"/>
                <w:szCs w:val="1"/>
                <w:color w:val="auto"/>
              </w:rPr>
            </w:pPr>
          </w:p>
        </w:tc>
      </w:tr>
      <w:tr>
        <w:trPr>
          <w:trHeight w:val="21"/>
        </w:trPr>
        <w:tc>
          <w:tcPr>
            <w:tcW w:w="22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6"/>
              </w:rPr>
              <w:t>10% Convertible Promissory Notes (Unit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Notes)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2013/2014 Unit Notes, due 7/31/14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2014 Unit Notes, including amended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notes, due 3/31/15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3,048,400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3,220,900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3,048,400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440"/>
              <w:spacing w:after="0"/>
              <w:rPr>
                <w:sz w:val="20"/>
                <w:szCs w:val="20"/>
                <w:color w:val="auto"/>
              </w:rPr>
            </w:pPr>
            <w:r>
              <w:rPr>
                <w:rFonts w:ascii="Arial" w:cs="Arial" w:eastAsia="Arial" w:hAnsi="Arial"/>
                <w:sz w:val="18"/>
                <w:szCs w:val="18"/>
                <w:color w:val="auto"/>
              </w:rPr>
              <w:t>Note discounts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(1,182,100)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(1,182,100)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(697,400)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(697,400)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convertible notes (all current)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1,866,300</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2,038,800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360,100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CCEEFF"/>
              <w:bottom w:val="single" w:sz="8" w:color="auto"/>
            </w:tcBorders>
          </w:tcPr>
          <w:p>
            <w:pPr>
              <w:spacing w:after="0"/>
              <w:rPr>
                <w:sz w:val="18"/>
                <w:szCs w:val="18"/>
                <w:color w:val="auto"/>
              </w:rPr>
            </w:pPr>
          </w:p>
        </w:tc>
        <w:tc>
          <w:tcPr>
            <w:tcW w:w="31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Notes Payable to unrelated parties: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Notes payable to service providers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5"/>
              </w:rPr>
              <w:t>for</w:t>
            </w:r>
          </w:p>
        </w:tc>
        <w:tc>
          <w:tcPr>
            <w:tcW w:w="3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shd w:val="clear" w:color="auto" w:fill="CCEEFF"/>
              </w:rPr>
              <w:t xml:space="preserve">accounts </w:t>
            </w:r>
            <w:r>
              <w:rPr>
                <w:rFonts w:ascii="Arial" w:cs="Arial" w:eastAsia="Arial" w:hAnsi="Arial"/>
                <w:sz w:val="18"/>
                <w:szCs w:val="18"/>
                <w:color w:val="auto"/>
              </w:rPr>
              <w:t>payable converted to notes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Burr, Pilger, Mayer</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90,400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102,300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90,400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Desjardins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McCarthy Tetrault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43,600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391,200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360,900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August 2012 Morrison &amp; Foerster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A</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918,200</w:t>
            </w:r>
          </w:p>
        </w:tc>
        <w:tc>
          <w:tcPr>
            <w:tcW w:w="2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166,300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1,084,500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918,200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ind w:left="220"/>
              <w:spacing w:after="0" w:line="201" w:lineRule="exact"/>
              <w:rPr>
                <w:sz w:val="20"/>
                <w:szCs w:val="20"/>
                <w:color w:val="auto"/>
              </w:rPr>
            </w:pPr>
            <w:r>
              <w:rPr>
                <w:rFonts w:ascii="Arial" w:cs="Arial" w:eastAsia="Arial" w:hAnsi="Arial"/>
                <w:sz w:val="18"/>
                <w:szCs w:val="18"/>
                <w:color w:val="auto"/>
              </w:rPr>
              <w:t>August 2012 Morrison &amp;</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Foerster Note B </w:t>
            </w:r>
            <w:r>
              <w:rPr>
                <w:rFonts w:ascii="Arial" w:cs="Arial" w:eastAsia="Arial" w:hAnsi="Arial"/>
                <w:sz w:val="25"/>
                <w:szCs w:val="25"/>
                <w:color w:val="auto"/>
                <w:vertAlign w:val="superscript"/>
              </w:rPr>
              <w:t>(1)</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1,379,400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299,100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1,678,500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1,379,400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195,200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ind w:left="220"/>
              <w:spacing w:after="0" w:line="216" w:lineRule="exact"/>
              <w:rPr>
                <w:sz w:val="20"/>
                <w:szCs w:val="20"/>
                <w:color w:val="auto"/>
              </w:rPr>
            </w:pPr>
            <w:r>
              <w:rPr>
                <w:rFonts w:ascii="Arial" w:cs="Arial" w:eastAsia="Arial" w:hAnsi="Arial"/>
                <w:sz w:val="18"/>
                <w:szCs w:val="18"/>
                <w:color w:val="auto"/>
              </w:rPr>
              <w:t xml:space="preserve">University Health Network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549,500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4,090,600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 discount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(577,000)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2,878,000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3,513,600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2,628,900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3,018,300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(1,176,700)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(244,800)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(1,421,500)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non-current portion and discount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1,701,300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390,800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2,092,100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1,498,800</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255,800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1,754,600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5.75% and 10.25% Notes payable to</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insurance premium financing company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30,200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 Notes payable to vendors for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converted to notes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404,100</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450,200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(404,100)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(46,100)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(450,200)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(119,400)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(154,100)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portion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(August 2012)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ind w:left="26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(6,900)</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(15,800)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7.0% Notes payable - non-current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43,000</w:t>
            </w:r>
          </w:p>
        </w:tc>
      </w:tr>
      <w:tr>
        <w:trPr>
          <w:trHeight w:val="271"/>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portion</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34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Total notes payable to unrelated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3,948,100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688,600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4,636,700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3,660,100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4,088,000</w:t>
            </w:r>
          </w:p>
        </w:tc>
      </w:tr>
      <w:tr>
        <w:trPr>
          <w:trHeight w:val="216"/>
        </w:trPr>
        <w:tc>
          <w:tcPr>
            <w:tcW w:w="3340" w:type="dxa"/>
            <w:vAlign w:val="bottom"/>
          </w:tcPr>
          <w:p>
            <w:pPr>
              <w:ind w:left="66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(1,632,100)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(297,800)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(1,929,900)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(1,270,200)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(172,100)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(1,442,300)</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non-current portion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2,706,800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2,389,900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2,645,700</w:t>
            </w:r>
          </w:p>
        </w:tc>
      </w:tr>
      <w:tr>
        <w:trPr>
          <w:trHeight w:val="216"/>
        </w:trPr>
        <w:tc>
          <w:tcPr>
            <w:tcW w:w="3340" w:type="dxa"/>
            <w:vAlign w:val="bottom"/>
          </w:tcPr>
          <w:p>
            <w:pPr>
              <w:ind w:left="660"/>
              <w:spacing w:after="0"/>
              <w:rPr>
                <w:sz w:val="20"/>
                <w:szCs w:val="20"/>
                <w:color w:val="auto"/>
              </w:rPr>
            </w:pPr>
            <w:r>
              <w:rPr>
                <w:rFonts w:ascii="Arial" w:cs="Arial" w:eastAsia="Arial" w:hAnsi="Arial"/>
                <w:sz w:val="18"/>
                <w:szCs w:val="18"/>
                <w:color w:val="auto"/>
              </w:rPr>
              <w:t>less: discount</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(577,000)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(848,100)</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(848,100)</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3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1,739,000</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2,129,800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1,541,800</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1,797,600</w:t>
            </w:r>
          </w:p>
        </w:tc>
      </w:tr>
      <w:tr>
        <w:trPr>
          <w:trHeight w:val="264"/>
        </w:trPr>
        <w:tc>
          <w:tcPr>
            <w:tcW w:w="3340" w:type="dxa"/>
            <w:vAlign w:val="bottom"/>
            <w:tcBorders>
              <w:top w:val="single" w:sz="8" w:color="CCEEFF"/>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100" w:type="dxa"/>
            <w:vAlign w:val="bottom"/>
            <w:tcBorders>
              <w:top w:val="single" w:sz="8" w:color="CCEEFF"/>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CCEEFF"/>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CCEEFF"/>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EEFF"/>
              <w:bottom w:val="single" w:sz="8" w:color="auto"/>
            </w:tcBorders>
          </w:tcPr>
          <w:p>
            <w:pPr>
              <w:spacing w:after="0"/>
              <w:rPr>
                <w:sz w:val="22"/>
                <w:szCs w:val="22"/>
                <w:color w:val="auto"/>
              </w:rPr>
            </w:pPr>
          </w:p>
        </w:tc>
      </w:tr>
      <w:tr>
        <w:trPr>
          <w:trHeight w:val="426"/>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Notes payable to related parties: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3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October 2012 7.5% Note to Cato</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Holding Co.</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293,600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343,100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324,400</w:t>
            </w:r>
          </w:p>
        </w:tc>
      </w:tr>
      <w:tr>
        <w:trPr>
          <w:trHeight w:val="202"/>
        </w:trPr>
        <w:tc>
          <w:tcPr>
            <w:tcW w:w="3340" w:type="dxa"/>
            <w:vAlign w:val="bottom"/>
          </w:tcPr>
          <w:p>
            <w:pPr>
              <w:ind w:left="220"/>
              <w:spacing w:after="0" w:line="201" w:lineRule="exact"/>
              <w:rPr>
                <w:sz w:val="20"/>
                <w:szCs w:val="20"/>
                <w:color w:val="auto"/>
              </w:rPr>
            </w:pPr>
            <w:r>
              <w:rPr>
                <w:rFonts w:ascii="Arial" w:cs="Arial" w:eastAsia="Arial" w:hAnsi="Arial"/>
                <w:sz w:val="18"/>
                <w:szCs w:val="18"/>
                <w:color w:val="auto"/>
              </w:rPr>
              <w:t>October 2012 7.5% Note to</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Cato Research Ltd. </w:t>
            </w:r>
            <w:r>
              <w:rPr>
                <w:rFonts w:ascii="Arial" w:cs="Arial" w:eastAsia="Arial" w:hAnsi="Arial"/>
                <w:sz w:val="25"/>
                <w:szCs w:val="25"/>
                <w:color w:val="auto"/>
                <w:vertAlign w:val="superscript"/>
              </w:rPr>
              <w:t>(1)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182,600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1,191,600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117,300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1,126,300</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1,450,700</w:t>
            </w: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Note discount</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(103,200)</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(103,200)</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Total notes payable to related parties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1,347,500</w:t>
            </w: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(293,600)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(49,500)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(343,100)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(259,600)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(290,400)</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portion and discount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941,500</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1,124,100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939,800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1,057,100</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 Note and interest payable solely in restricted shares of the Company's common stock.</w:t>
      </w:r>
    </w:p>
    <w:p>
      <w:pPr>
        <w:spacing w:after="0" w:line="233"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Approximately $2.3 million in principal amount of our outstanding unsecured promissory notes summarized above are currently past due, and are currently payable on demand. Although no assurances can be given, management currently is engaged in on-going and cooperative discussions with the holders of these notes regarding continuing extensions of the maturity date of such promissory notes, or to otherwise restructure them.</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our convertible promissory notes and other promissory notes since March 31, 2014 are described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 Issued in Connection with 2014 Unit Private Placement</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As described more completely in the section entitled </w:t>
      </w:r>
      <w:r>
        <w:rPr>
          <w:rFonts w:ascii="Arial" w:cs="Arial" w:eastAsia="Arial" w:hAnsi="Arial"/>
          <w:sz w:val="17"/>
          <w:szCs w:val="17"/>
          <w:i w:val="1"/>
          <w:iCs w:val="1"/>
          <w:color w:val="auto"/>
        </w:rPr>
        <w:t>2014 Unit Private Placement</w:t>
      </w:r>
      <w:r>
        <w:rPr>
          <w:rFonts w:ascii="Arial" w:cs="Arial" w:eastAsia="Arial" w:hAnsi="Arial"/>
          <w:sz w:val="17"/>
          <w:szCs w:val="17"/>
          <w:color w:val="auto"/>
        </w:rPr>
        <w:t xml:space="preserve"> in Note 8,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between late March 2014 and December 31, 2014, we issued to accredited investors 10% convertible notes (the </w:t>
      </w:r>
      <w:r>
        <w:rPr>
          <w:rFonts w:ascii="Arial" w:cs="Arial" w:eastAsia="Arial" w:hAnsi="Arial"/>
          <w:sz w:val="17"/>
          <w:szCs w:val="17"/>
          <w:i w:val="1"/>
          <w:iCs w:val="1"/>
          <w:color w:val="auto"/>
        </w:rPr>
        <w:t>2014Unit Notes</w:t>
      </w:r>
      <w:r>
        <w:rPr>
          <w:rFonts w:ascii="Arial" w:cs="Arial" w:eastAsia="Arial" w:hAnsi="Arial"/>
          <w:sz w:val="17"/>
          <w:szCs w:val="17"/>
          <w:color w:val="auto"/>
        </w:rPr>
        <w:t xml:space="preserve">) in the aggregate face amount of $2,115,000, including an aggregate face amount of $750,000 of such notes issued to Platinum and 2014 Unit Notes in the aggregate principal amount of $50,000 issued prior to March 31, 2014, in connection with our private placement offering of Units. (See Note 10, </w:t>
      </w:r>
      <w:r>
        <w:rPr>
          <w:rFonts w:ascii="Arial" w:cs="Arial" w:eastAsia="Arial" w:hAnsi="Arial"/>
          <w:sz w:val="17"/>
          <w:szCs w:val="17"/>
          <w:i w:val="1"/>
          <w:iCs w:val="1"/>
          <w:color w:val="auto"/>
        </w:rPr>
        <w:t>Subsequent Events</w:t>
      </w:r>
      <w:r>
        <w:rPr>
          <w:rFonts w:ascii="Arial" w:cs="Arial" w:eastAsia="Arial" w:hAnsi="Arial"/>
          <w:sz w:val="17"/>
          <w:szCs w:val="17"/>
          <w:color w:val="auto"/>
        </w:rPr>
        <w:t>, for information regarding additional notes issued in connection with the 2014 Unit Private Placement after December 31, 2014, including additional Unit Notes issued to Platinum.) The 2014 Unit Notes mature on March 31, 2015 (</w:t>
      </w:r>
      <w:r>
        <w:rPr>
          <w:rFonts w:ascii="Arial" w:cs="Arial" w:eastAsia="Arial" w:hAnsi="Arial"/>
          <w:sz w:val="17"/>
          <w:szCs w:val="17"/>
          <w:i w:val="1"/>
          <w:iCs w:val="1"/>
          <w:color w:val="auto"/>
        </w:rPr>
        <w:t>Maturity</w:t>
      </w:r>
      <w:r>
        <w:rPr>
          <w:rFonts w:ascii="Arial" w:cs="Arial" w:eastAsia="Arial" w:hAnsi="Arial"/>
          <w:sz w:val="17"/>
          <w:szCs w:val="17"/>
          <w:color w:val="auto"/>
        </w:rPr>
        <w:t xml:space="preserve">) and the outstanding principal of the 2014 Unit Notes and their related accrued interest (the </w:t>
      </w:r>
      <w:r>
        <w:rPr>
          <w:rFonts w:ascii="Arial" w:cs="Arial" w:eastAsia="Arial" w:hAnsi="Arial"/>
          <w:sz w:val="17"/>
          <w:szCs w:val="17"/>
          <w:i w:val="1"/>
          <w:iCs w:val="1"/>
          <w:color w:val="auto"/>
        </w:rPr>
        <w:t>Outstanding Balance</w:t>
      </w:r>
      <w:r>
        <w:rPr>
          <w:rFonts w:ascii="Arial" w:cs="Arial" w:eastAsia="Arial" w:hAnsi="Arial"/>
          <w:sz w:val="17"/>
          <w:szCs w:val="17"/>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7"/>
          <w:szCs w:val="17"/>
          <w:i w:val="1"/>
          <w:iCs w:val="1"/>
          <w:color w:val="auto"/>
        </w:rPr>
        <w:t>Qualified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w:t>
      </w:r>
      <w:r>
        <w:rPr>
          <w:rFonts w:ascii="Arial" w:cs="Arial" w:eastAsia="Arial" w:hAnsi="Arial"/>
          <w:sz w:val="17"/>
          <w:szCs w:val="17"/>
          <w:color w:val="auto"/>
        </w:rPr>
        <w:t>), the Outstanding Balance of the 2014 Unit Notes will automatically convert into securities substantially similar to those sold in the 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based on the following formula: (the Outstanding Balance as of the closing of the Qualified Financing) x 1.25 / (the per security price of the securities sold in the Qualified Financing). This automatic conversion feature results in a contingent beneficial conversion feature which will be recognized subject to our consummation of a Qualified Financing. Under certain circumstances, the holders of the 2014 Unit Notes may request payment in cash in lieu of automatic conversion into the securities of the Qualified Financing.</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Based on their respective discounts and the period between issuance and maturity, the effective interest rates attributable to the 2014 Unit Notes range from 38.7% to 2,594.7%, with a weighted average rate of 510.5%. During November 2014, we repaid the $10,000 face amount of a 2014 Unit Note issued in October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2013 Unit Notes and Warrants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above (</w:t>
      </w:r>
      <w:r>
        <w:rPr>
          <w:rFonts w:ascii="Arial" w:cs="Arial" w:eastAsia="Arial" w:hAnsi="Arial"/>
          <w:sz w:val="16"/>
          <w:szCs w:val="16"/>
          <w:i w:val="1"/>
          <w:iCs w:val="1"/>
          <w:color w:val="auto"/>
        </w:rPr>
        <w:t>Amended 2013 Unit Notes</w:t>
      </w:r>
      <w:r>
        <w:rPr>
          <w:rFonts w:ascii="Arial" w:cs="Arial" w:eastAsia="Arial" w:hAnsi="Arial"/>
          <w:sz w:val="16"/>
          <w:szCs w:val="16"/>
          <w:color w:val="auto"/>
        </w:rPr>
        <w:t>), and (ii) modify certain terms of their 2013 Unit Warrants, including the exercise price and expiration date, to conform to the corresponding terms of the 2014 Unit Warrants (</w:t>
      </w:r>
      <w:r>
        <w:rPr>
          <w:rFonts w:ascii="Arial" w:cs="Arial" w:eastAsia="Arial" w:hAnsi="Arial"/>
          <w:sz w:val="16"/>
          <w:szCs w:val="16"/>
          <w:i w:val="1"/>
          <w:iCs w:val="1"/>
          <w:color w:val="auto"/>
        </w:rPr>
        <w:t>Amended</w:t>
      </w:r>
      <w:r>
        <w:rPr>
          <w:rFonts w:ascii="Arial" w:cs="Arial" w:eastAsia="Arial" w:hAnsi="Arial"/>
          <w:sz w:val="16"/>
          <w:szCs w:val="16"/>
          <w:color w:val="auto"/>
        </w:rPr>
        <w:t xml:space="preserve"> </w:t>
      </w:r>
      <w:r>
        <w:rPr>
          <w:rFonts w:ascii="Arial" w:cs="Arial" w:eastAsia="Arial" w:hAnsi="Arial"/>
          <w:sz w:val="16"/>
          <w:szCs w:val="16"/>
          <w:i w:val="1"/>
          <w:iCs w:val="1"/>
          <w:color w:val="auto"/>
        </w:rPr>
        <w:t>2013 Unit Warrants</w:t>
      </w:r>
      <w:r>
        <w:rPr>
          <w:rFonts w:ascii="Arial" w:cs="Arial" w:eastAsia="Arial" w:hAnsi="Arial"/>
          <w:sz w:val="16"/>
          <w:szCs w:val="16"/>
          <w:color w:val="auto"/>
        </w:rPr>
        <w:t>). Holders of 2013 Unit Notes having an aggregate initial face amount of $895,000 agreed to such amendments. The maturity date of 2013</w:t>
      </w:r>
      <w:r>
        <w:rPr>
          <w:rFonts w:ascii="Arial" w:cs="Arial" w:eastAsia="Arial" w:hAnsi="Arial"/>
          <w:sz w:val="16"/>
          <w:szCs w:val="16"/>
          <w:i w:val="1"/>
          <w:iCs w:val="1"/>
          <w:color w:val="auto"/>
        </w:rPr>
        <w:t xml:space="preserve"> </w:t>
      </w:r>
      <w:r>
        <w:rPr>
          <w:rFonts w:ascii="Arial" w:cs="Arial" w:eastAsia="Arial" w:hAnsi="Arial"/>
          <w:sz w:val="16"/>
          <w:szCs w:val="16"/>
          <w:color w:val="auto"/>
        </w:rPr>
        <w:t>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8, </w:t>
      </w:r>
      <w:r>
        <w:rPr>
          <w:rFonts w:ascii="Arial" w:cs="Arial" w:eastAsia="Arial" w:hAnsi="Arial"/>
          <w:sz w:val="16"/>
          <w:szCs w:val="16"/>
          <w:i w:val="1"/>
          <w:iCs w:val="1"/>
          <w:color w:val="auto"/>
        </w:rPr>
        <w:t>Capital Stock</w:t>
      </w:r>
      <w:r>
        <w:rPr>
          <w:rFonts w:ascii="Arial" w:cs="Arial" w:eastAsia="Arial" w:hAnsi="Arial"/>
          <w:sz w:val="16"/>
          <w:szCs w:val="16"/>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Conversion and Warrant Amendment Agreement with Platinum</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18, 2014, we entered into an Amended and Restated Note Conversion Agreement and Warrant Amendment with Platinum (</w:t>
      </w:r>
      <w:r>
        <w:rPr>
          <w:rFonts w:ascii="Arial" w:cs="Arial" w:eastAsia="Arial" w:hAnsi="Arial"/>
          <w:sz w:val="16"/>
          <w:szCs w:val="16"/>
          <w:i w:val="1"/>
          <w:iCs w:val="1"/>
          <w:color w:val="auto"/>
        </w:rPr>
        <w:t>Amendment</w:t>
      </w:r>
      <w:r>
        <w:rPr>
          <w:rFonts w:ascii="Arial" w:cs="Arial" w:eastAsia="Arial" w:hAnsi="Arial"/>
          <w:sz w:val="16"/>
          <w:szCs w:val="16"/>
          <w:color w:val="auto"/>
        </w:rPr>
        <w:t>), pursuant to which Platinum agreed to convert into our unregistered equity securities all Senior Secured Convertible Promissory Notes (</w:t>
      </w:r>
      <w:r>
        <w:rPr>
          <w:rFonts w:ascii="Arial" w:cs="Arial" w:eastAsia="Arial" w:hAnsi="Arial"/>
          <w:sz w:val="16"/>
          <w:szCs w:val="16"/>
          <w:i w:val="1"/>
          <w:iCs w:val="1"/>
          <w:color w:val="auto"/>
        </w:rPr>
        <w:t>Senior Notes</w:t>
      </w:r>
      <w:r>
        <w:rPr>
          <w:rFonts w:ascii="Arial" w:cs="Arial" w:eastAsia="Arial" w:hAnsi="Arial"/>
          <w:sz w:val="16"/>
          <w:szCs w:val="16"/>
          <w:color w:val="auto"/>
        </w:rPr>
        <w:t>) held by Platinum, including accrued but unpaid interest thereon (</w:t>
      </w:r>
      <w:r>
        <w:rPr>
          <w:rFonts w:ascii="Arial" w:cs="Arial" w:eastAsia="Arial" w:hAnsi="Arial"/>
          <w:sz w:val="16"/>
          <w:szCs w:val="16"/>
          <w:i w:val="1"/>
          <w:iCs w:val="1"/>
          <w:color w:val="auto"/>
        </w:rPr>
        <w:t>Outstanding Balance</w:t>
      </w:r>
      <w:r>
        <w:rPr>
          <w:rFonts w:ascii="Arial" w:cs="Arial" w:eastAsia="Arial" w:hAnsi="Arial"/>
          <w:sz w:val="16"/>
          <w:szCs w:val="16"/>
          <w:color w:val="auto"/>
        </w:rPr>
        <w:t>), in the aggregate amount of approximately $4.3 million at December 31, 2014, upon our consummation on or before August 31, 2014 (</w:t>
      </w:r>
      <w:r>
        <w:rPr>
          <w:rFonts w:ascii="Arial" w:cs="Arial" w:eastAsia="Arial" w:hAnsi="Arial"/>
          <w:sz w:val="16"/>
          <w:szCs w:val="16"/>
          <w:i w:val="1"/>
          <w:iCs w:val="1"/>
          <w:color w:val="auto"/>
        </w:rPr>
        <w:t>Closing Date</w:t>
      </w:r>
      <w:r>
        <w:rPr>
          <w:rFonts w:ascii="Arial" w:cs="Arial" w:eastAsia="Arial" w:hAnsi="Arial"/>
          <w:sz w:val="16"/>
          <w:szCs w:val="16"/>
          <w:color w:val="auto"/>
        </w:rPr>
        <w:t>), of either (i) a private equity financing resulting in aggregate gross proceeds of at least $36.0 million (</w:t>
      </w:r>
      <w:r>
        <w:rPr>
          <w:rFonts w:ascii="Arial" w:cs="Arial" w:eastAsia="Arial" w:hAnsi="Arial"/>
          <w:sz w:val="16"/>
          <w:szCs w:val="16"/>
          <w:i w:val="1"/>
          <w:iCs w:val="1"/>
          <w:color w:val="auto"/>
        </w:rPr>
        <w:t>Private Financing</w:t>
      </w:r>
      <w:r>
        <w:rPr>
          <w:rFonts w:ascii="Arial" w:cs="Arial" w:eastAsia="Arial" w:hAnsi="Arial"/>
          <w:sz w:val="16"/>
          <w:szCs w:val="16"/>
          <w:color w:val="auto"/>
        </w:rPr>
        <w:t>), or (ii) a public offering of our equity securities registered with the SEC resulting in gross proceeds of at least $10.0 million (</w:t>
      </w:r>
      <w:r>
        <w:rPr>
          <w:rFonts w:ascii="Arial" w:cs="Arial" w:eastAsia="Arial" w:hAnsi="Arial"/>
          <w:sz w:val="16"/>
          <w:szCs w:val="16"/>
          <w:i w:val="1"/>
          <w:iCs w:val="1"/>
          <w:color w:val="auto"/>
        </w:rPr>
        <w:t>Public Offering</w:t>
      </w:r>
      <w:r>
        <w:rPr>
          <w:rFonts w:ascii="Arial" w:cs="Arial" w:eastAsia="Arial" w:hAnsi="Arial"/>
          <w:sz w:val="16"/>
          <w:szCs w:val="16"/>
          <w:color w:val="auto"/>
        </w:rPr>
        <w:t xml:space="preserve">) (the Private Financing and Public Offering are referred to in this discussion as a </w:t>
      </w:r>
      <w:r>
        <w:rPr>
          <w:rFonts w:ascii="Arial" w:cs="Arial" w:eastAsia="Arial" w:hAnsi="Arial"/>
          <w:sz w:val="16"/>
          <w:szCs w:val="16"/>
          <w:i w:val="1"/>
          <w:iCs w:val="1"/>
          <w:color w:val="auto"/>
        </w:rPr>
        <w:t>Platinum Qualified Financing</w:t>
      </w:r>
      <w:r>
        <w:rPr>
          <w:rFonts w:ascii="Arial" w:cs="Arial" w:eastAsia="Arial" w:hAnsi="Arial"/>
          <w:sz w:val="16"/>
          <w:szCs w:val="16"/>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newly created Series B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xml:space="preserve">) at the lower of $10.00 per share or the lowest per-share price in the Public Offering and having an aggregate liquidation preference equal to the Outstanding Balance on the Closing Date (see Note 8,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regarding </w:t>
      </w:r>
      <w:r>
        <w:rPr>
          <w:rFonts w:ascii="Arial" w:cs="Arial" w:eastAsia="Arial" w:hAnsi="Arial"/>
          <w:sz w:val="16"/>
          <w:szCs w:val="16"/>
          <w:i w:val="1"/>
          <w:iCs w:val="1"/>
          <w:color w:val="auto"/>
        </w:rPr>
        <w:t>Creation of Series B Preferred Stock</w:t>
      </w:r>
      <w:r>
        <w:rPr>
          <w:rFonts w:ascii="Arial" w:cs="Arial" w:eastAsia="Arial" w:hAnsi="Arial"/>
          <w:sz w:val="16"/>
          <w:szCs w:val="16"/>
          <w:color w:val="auto"/>
        </w:rPr>
        <w: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6"/>
          <w:szCs w:val="16"/>
          <w:i w:val="1"/>
          <w:iCs w:val="1"/>
          <w:color w:val="auto"/>
        </w:rPr>
        <w:t>NEPA</w:t>
      </w:r>
      <w:r>
        <w:rPr>
          <w:rFonts w:ascii="Arial" w:cs="Arial" w:eastAsia="Arial" w:hAnsi="Arial"/>
          <w:sz w:val="16"/>
          <w:szCs w:val="16"/>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and as of the date of this report, we have not requested Platinum to extend the Closing Date of the Amendment or entered into any other agreement with Platinum regarding the conversion of the Senior Notes, fixing the exercise price of the Platinum Warrants or terminating the anti-dilution provisions of the Platinum Warrants.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At the execution of the Amendment, we determined that the Amendment resulted in a modification of the Senior Notes that should be accounted for as an extinguishment of debt. Considering, among other factors, the cash flows and conversion features of the Senior Notes as modified by the Amendment, market interest rates for debt of similar quality and the relative probabilities of conversion of the Senior Notes into either shares of our common stock or Series B Preferred upon consummation of a Qualified Financing, we determined that the fair values of the Senior Notes at July 18, 2014, aggregating $6,475,000, represented a substantial premium over their aggregate $4,138,700 face values plus accrued interest. In accordance with the provisions of ASC 470-20, </w:t>
      </w:r>
      <w:r>
        <w:rPr>
          <w:rFonts w:ascii="Arial" w:cs="Arial" w:eastAsia="Arial" w:hAnsi="Arial"/>
          <w:sz w:val="16"/>
          <w:szCs w:val="16"/>
          <w:i w:val="1"/>
          <w:iCs w:val="1"/>
          <w:color w:val="auto"/>
        </w:rPr>
        <w:t>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Conversion and Other Options, </w:t>
      </w:r>
      <w:r>
        <w:rPr>
          <w:rFonts w:ascii="Arial" w:cs="Arial" w:eastAsia="Arial" w:hAnsi="Arial"/>
          <w:sz w:val="16"/>
          <w:szCs w:val="16"/>
          <w:color w:val="auto"/>
        </w:rPr>
        <w:t>we recognized the premium in excess of the face value and accrued interest, $2,336,300, as a non-cash component of</w:t>
      </w:r>
      <w:r>
        <w:rPr>
          <w:rFonts w:ascii="Arial" w:cs="Arial" w:eastAsia="Arial" w:hAnsi="Arial"/>
          <w:sz w:val="16"/>
          <w:szCs w:val="16"/>
          <w:i w:val="1"/>
          <w:iCs w:val="1"/>
          <w:color w:val="auto"/>
        </w:rPr>
        <w:t xml:space="preserve"> </w:t>
      </w:r>
      <w:r>
        <w:rPr>
          <w:rFonts w:ascii="Arial" w:cs="Arial" w:eastAsia="Arial" w:hAnsi="Arial"/>
          <w:sz w:val="16"/>
          <w:szCs w:val="16"/>
          <w:color w:val="auto"/>
        </w:rPr>
        <w:t>loss on extinguishment of debt in the accompanying Condensed Consolidated Statements of Operations and Comprehensive (Loss) Income with a credit to additional paid-in capital, an equity account. Consequently, we recorded the liability for the Senior Notes at their face values plus accrued interest. We recognized the difference between the pre-modification carrying values of the notes and their face values, an aggregate of $1,983,700, as an additional non-cash charge to loss on extinguishment of debt in the accompanying Condensed Consolidated Statement of Operations and Comprehensive (Loss) Income. Certain of the Senior Notes contained a beneficial conversion feature at the time they were originally issued. We have accounted for the repurchase of the beneficial conversion feature at the time of the modification, an aggregate of $2,716,600, as a reduction to the loss on extinguishment of debt in the accompanying Condensed Consolidated Statements of Operations and Comprehensive (Loss) Income, with a corresponding reduction to additional paid-in capital. The net amount of the loss on extinguishment of debt related to the amendment of the Senior Notes recognized in the accompanying Condensed Consolidated Statements of Operations and Comprehensive (Loss) Income for the nine months ended December 31, 2014 is $1,603,400.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of McCarthy Tetrault Note Maturity Date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June 11, 2014, we agreed with McCarthy Tetrault, our legal counsel in Ontario, Canada </w:t>
      </w:r>
      <w:r>
        <w:rPr>
          <w:rFonts w:ascii="Arial" w:cs="Arial" w:eastAsia="Arial" w:hAnsi="Arial"/>
          <w:sz w:val="17"/>
          <w:szCs w:val="17"/>
          <w:i w:val="1"/>
          <w:iCs w:val="1"/>
          <w:color w:val="auto"/>
        </w:rPr>
        <w:t>(McCarthy</w:t>
      </w:r>
      <w:r>
        <w:rPr>
          <w:rFonts w:ascii="Arial" w:cs="Arial" w:eastAsia="Arial" w:hAnsi="Arial"/>
          <w:sz w:val="17"/>
          <w:szCs w:val="17"/>
          <w:color w:val="auto"/>
        </w:rPr>
        <w:t>), to extend the maturity date of our promissory note payable to McCarthy from June 14, 2014 to the earlier of (i) September 30, 2014, (ii) consummation of a financing in which we receive gross cash proceeds of at least $15.0 million, or (iii) consummation of a change of control of the Company, as defined in the McCarthy note. McCarthy also agreed to forbear with respect to the requirement that we make monthly payments on the McCarthy note from the date of the agreement until maturity and granted us a waiver with respect to previously missed monthly payments. At December 31, 2014, the McCarthy note remained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Notes Payable to be Repaid upon Exercise of Common Stock Warrants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Between August 2012 and October 2012, we issued to Morrison &amp; Foerster, LLP, our intellectual property counsel (</w:t>
      </w:r>
      <w:r>
        <w:rPr>
          <w:rFonts w:ascii="Arial" w:cs="Arial" w:eastAsia="Arial" w:hAnsi="Arial"/>
          <w:sz w:val="17"/>
          <w:szCs w:val="17"/>
          <w:i w:val="1"/>
          <w:iCs w:val="1"/>
          <w:color w:val="auto"/>
        </w:rPr>
        <w:t>M&amp;F</w:t>
      </w:r>
      <w:r>
        <w:rPr>
          <w:rFonts w:ascii="Arial" w:cs="Arial" w:eastAsia="Arial" w:hAnsi="Arial"/>
          <w:sz w:val="17"/>
          <w:szCs w:val="17"/>
          <w:color w:val="auto"/>
        </w:rPr>
        <w:t>), Cato Research Ltd., our contract research organization for development of AV-101 (</w:t>
      </w:r>
      <w:r>
        <w:rPr>
          <w:rFonts w:ascii="Arial" w:cs="Arial" w:eastAsia="Arial" w:hAnsi="Arial"/>
          <w:sz w:val="17"/>
          <w:szCs w:val="17"/>
          <w:i w:val="1"/>
          <w:iCs w:val="1"/>
          <w:color w:val="auto"/>
        </w:rPr>
        <w:t>CRL</w:t>
      </w:r>
      <w:r>
        <w:rPr>
          <w:rFonts w:ascii="Arial" w:cs="Arial" w:eastAsia="Arial" w:hAnsi="Arial"/>
          <w:sz w:val="17"/>
          <w:szCs w:val="17"/>
          <w:color w:val="auto"/>
        </w:rPr>
        <w:t>), and University Health Network, our long-term stem cell research collaborator (</w:t>
      </w:r>
      <w:r>
        <w:rPr>
          <w:rFonts w:ascii="Arial" w:cs="Arial" w:eastAsia="Arial" w:hAnsi="Arial"/>
          <w:sz w:val="17"/>
          <w:szCs w:val="17"/>
          <w:i w:val="1"/>
          <w:iCs w:val="1"/>
          <w:color w:val="auto"/>
        </w:rPr>
        <w:t>UHN</w:t>
      </w:r>
      <w:r>
        <w:rPr>
          <w:rFonts w:ascii="Arial" w:cs="Arial" w:eastAsia="Arial" w:hAnsi="Arial"/>
          <w:sz w:val="17"/>
          <w:szCs w:val="17"/>
          <w:color w:val="auto"/>
        </w:rPr>
        <w:t>), certain unsecured promissory notes and related warrants. The respective notes are payable solely in restricted shares of our common stock pursuant to M&amp;F’s, CRL’s, and UHN’s surrender from time to time of all or a portion of the principal and interest balance due on their respective notes in connection with their concurrent exercise of their respective warrant exercisable at $20.00 per share. Between April 1, 2014 and December 31, 2014 we adjusted the M&amp;F warrant, the CRL warrant and the UHN warrant to increase the number of restricted shares available for purchase by 5,198 shares, 3,265 shares and 1,554 shares, respectively, based on interest accrued on the underlying notes through December 31, 2014. We have recorded the fair value of the additional warrant shares, an aggregate of $38,700, as a charge to interest expense and a corresponding credit to additional paid-in capital.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Split (Stock Consolidation)</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As indicated in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Series B Preferred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2014, our Board of Directors authorized the creation of a class of Series B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8"/>
          <w:szCs w:val="18"/>
          <w:i w:val="1"/>
          <w:iCs w:val="1"/>
          <w:color w:val="auto"/>
        </w:rPr>
        <w:t>Outstanding Balance</w:t>
      </w:r>
      <w:r>
        <w:rPr>
          <w:rFonts w:ascii="Arial" w:cs="Arial" w:eastAsia="Arial" w:hAnsi="Arial"/>
          <w:sz w:val="18"/>
          <w:szCs w:val="18"/>
          <w:color w:val="auto"/>
        </w:rPr>
        <w:t>) into Series B Preferred. However, we have not yet filed a certificate of designation with the Nevada Secretary of State to amend our Articles of Incorporation to formally establish the Series B Preferred.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Between late-March and December 31, 2014, we entered into securities purchase agreements with accredited investors,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for aggregate cash proceeds of $2,115,000, consisting of (i) 2014 Unit Notes in the aggregate face amount of $2,115,000 due on March 31, 2015 or automatically convertible into securities we may issue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 (ii) an aggregate of 128,250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128,250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Units prior to March 31, 2014, which Units are reflected in the figures above.</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allocated the proceeds from the sale of the 2014 Units to the various securities based on their relative fair values on the dates of the sales. As described in Note 7, </w:t>
      </w:r>
      <w:r>
        <w:rPr>
          <w:rFonts w:ascii="Arial" w:cs="Arial" w:eastAsia="Arial" w:hAnsi="Arial"/>
          <w:sz w:val="17"/>
          <w:szCs w:val="17"/>
          <w:i w:val="1"/>
          <w:iCs w:val="1"/>
          <w:color w:val="auto"/>
        </w:rPr>
        <w:t>Convertible PromissoryNotes and Other Notes Payable</w:t>
      </w:r>
      <w:r>
        <w:rPr>
          <w:rFonts w:ascii="Arial" w:cs="Arial" w:eastAsia="Arial" w:hAnsi="Arial"/>
          <w:sz w:val="17"/>
          <w:szCs w:val="17"/>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at the 2014 Unit sales 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Unit Warrants</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gridSpan w:val="4"/>
          </w:tcPr>
          <w:p>
            <w:pPr>
              <w:jc w:val="center"/>
              <w:ind w:right="100"/>
              <w:spacing w:after="0" w:line="201" w:lineRule="exact"/>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80" w:type="dxa"/>
            <w:vAlign w:val="bottom"/>
            <w:gridSpan w:val="7"/>
          </w:tcPr>
          <w:p>
            <w:pPr>
              <w:ind w:left="140"/>
              <w:spacing w:after="0"/>
              <w:rPr>
                <w:sz w:val="20"/>
                <w:szCs w:val="20"/>
                <w:color w:val="auto"/>
              </w:rPr>
            </w:pPr>
            <w:r>
              <w:rPr>
                <w:rFonts w:ascii="Arial" w:cs="Arial" w:eastAsia="Arial" w:hAnsi="Arial"/>
                <w:sz w:val="18"/>
                <w:szCs w:val="18"/>
                <w:color w:val="auto"/>
                <w:w w:val="92"/>
              </w:rPr>
              <w:t>Weighted Average Issuance Date Valuation Assumptions</w:t>
            </w: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Per Share</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1"/>
              </w:rPr>
              <w:t>Aggregate</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1"/>
              </w:rPr>
              <w:t>Aggregate</w:t>
            </w:r>
          </w:p>
        </w:tc>
        <w:tc>
          <w:tcPr>
            <w:tcW w:w="60" w:type="dxa"/>
            <w:vAlign w:val="bottom"/>
          </w:tcPr>
          <w:p>
            <w:pPr>
              <w:spacing w:after="0"/>
              <w:rPr>
                <w:sz w:val="20"/>
                <w:szCs w:val="20"/>
                <w:color w:val="auto"/>
              </w:rPr>
            </w:pPr>
          </w:p>
        </w:tc>
        <w:tc>
          <w:tcPr>
            <w:tcW w:w="302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Based on Relative Fair Value of:</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Warrant</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Risk free</w:t>
            </w: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6"/>
              </w:rPr>
              <w:t>Fair</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Fair Value</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Proceeds</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Shares</w:t>
            </w:r>
          </w:p>
        </w:tc>
        <w:tc>
          <w:tcPr>
            <w:tcW w:w="800" w:type="dxa"/>
            <w:vAlign w:val="bottom"/>
          </w:tcPr>
          <w:p>
            <w:pPr>
              <w:ind w:left="120"/>
              <w:spacing w:after="0"/>
              <w:rPr>
                <w:sz w:val="20"/>
                <w:szCs w:val="20"/>
                <w:color w:val="auto"/>
              </w:rPr>
            </w:pPr>
            <w:r>
              <w:rPr>
                <w:rFonts w:ascii="Arial" w:cs="Arial" w:eastAsia="Arial" w:hAnsi="Arial"/>
                <w:sz w:val="18"/>
                <w:szCs w:val="18"/>
                <w:color w:val="auto"/>
              </w:rPr>
              <w:t>Market</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Term</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720" w:type="dxa"/>
            <w:vAlign w:val="bottom"/>
          </w:tcPr>
          <w:p>
            <w:pPr>
              <w:spacing w:after="0"/>
              <w:rPr>
                <w:sz w:val="21"/>
                <w:szCs w:val="21"/>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7"/>
              </w:rPr>
              <w:t>Dividend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3"/>
              </w:rPr>
              <w:t>Value of</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of Unit</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of Unit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Unit</w:t>
            </w: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9"/>
              </w:rPr>
              <w:t>Unit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Unit</w:t>
            </w: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Issued</w:t>
            </w:r>
          </w:p>
        </w:tc>
        <w:tc>
          <w:tcPr>
            <w:tcW w:w="800" w:type="dxa"/>
            <w:vAlign w:val="bottom"/>
          </w:tcPr>
          <w:p>
            <w:pPr>
              <w:ind w:left="200"/>
              <w:spacing w:after="0"/>
              <w:rPr>
                <w:sz w:val="20"/>
                <w:szCs w:val="20"/>
                <w:color w:val="auto"/>
              </w:rPr>
            </w:pPr>
            <w:r>
              <w:rPr>
                <w:rFonts w:ascii="Arial" w:cs="Arial" w:eastAsia="Arial" w:hAnsi="Arial"/>
                <w:sz w:val="18"/>
                <w:szCs w:val="18"/>
                <w:color w:val="auto"/>
              </w:rPr>
              <w:t>Price</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Rate</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Volatility</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0"/>
              </w:rPr>
              <w:t>Warrant</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Warrants</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Sales</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Stock</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0"/>
              </w:rPr>
              <w:t>Warrant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$ 628,700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  2,115,000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658,600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308,300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1,148,100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90"/>
              <w:spacing w:after="0"/>
              <w:rPr>
                <w:sz w:val="20"/>
                <w:szCs w:val="20"/>
                <w:color w:val="auto"/>
              </w:rPr>
            </w:pPr>
            <w:r>
              <w:rPr>
                <w:rFonts w:ascii="Arial" w:cs="Arial" w:eastAsia="Arial" w:hAnsi="Arial"/>
                <w:sz w:val="18"/>
                <w:szCs w:val="18"/>
                <w:color w:val="auto"/>
              </w:rPr>
              <w:t>-18-</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Notes and Warrants issued in 2013/2014 Unit Private Placement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indicated in Note 7</w:t>
      </w:r>
      <w:r>
        <w:rPr>
          <w:rFonts w:ascii="Arial" w:cs="Arial" w:eastAsia="Arial" w:hAnsi="Arial"/>
          <w:sz w:val="18"/>
          <w:szCs w:val="18"/>
          <w:i w:val="1"/>
          <w:iCs w:val="1"/>
          <w:color w:val="auto"/>
        </w:rPr>
        <w:t>, Convertible Promissory Notes and Other Notes Payable</w:t>
      </w:r>
      <w:r>
        <w:rPr>
          <w:rFonts w:ascii="Arial" w:cs="Arial" w:eastAsia="Arial" w:hAnsi="Arial"/>
          <w:sz w:val="18"/>
          <w:szCs w:val="18"/>
          <w:color w:val="auto"/>
        </w:rPr>
        <w:t>, effective May 31, 2014, we entered into note and warrant amendment agreements with substantially all holders of 2013/2014 Unit Notes and 2013/2014 Unit Warrants to (i) modify certain terms of their 2013/2014 Unit Notes, including the maturity date and certain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$895,000 and warrants to purchase an aggregate of 93,250 restricted shares of our common stock agreed to the amendments.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calculated the fair value of the modified 2013/2014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Income, with a corresponding credit to additional paid-in capital, an equity account. The warrants subject to the exercise price modifications were valued using the Black-Scholes Option Pricing Model and the following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2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Pre-modification</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20" w:type="dxa"/>
            <w:vAlign w:val="bottom"/>
            <w:gridSpan w:val="2"/>
          </w:tcPr>
          <w:p>
            <w:pPr>
              <w:ind w:left="320"/>
              <w:spacing w:after="0"/>
              <w:rPr>
                <w:sz w:val="20"/>
                <w:szCs w:val="20"/>
                <w:color w:val="auto"/>
              </w:rPr>
            </w:pPr>
            <w:r>
              <w:rPr>
                <w:rFonts w:ascii="Arial" w:cs="Arial" w:eastAsia="Arial" w:hAnsi="Arial"/>
                <w:sz w:val="18"/>
                <w:szCs w:val="18"/>
                <w:b w:val="1"/>
                <w:bCs w:val="1"/>
                <w:color w:val="auto"/>
              </w:rPr>
              <w:t>Post-modification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Satisfaction of Technology License and Maintenance Fees and Patent Expenses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2014, we entered into an agreement with Icahn School of Medicine at Mount Sinai (</w:t>
      </w:r>
      <w:r>
        <w:rPr>
          <w:rFonts w:ascii="Arial" w:cs="Arial" w:eastAsia="Arial" w:hAnsi="Arial"/>
          <w:sz w:val="17"/>
          <w:szCs w:val="17"/>
          <w:i w:val="1"/>
          <w:iCs w:val="1"/>
          <w:color w:val="auto"/>
        </w:rPr>
        <w:t>Icahn School</w:t>
      </w:r>
      <w:r>
        <w:rPr>
          <w:rFonts w:ascii="Arial" w:cs="Arial" w:eastAsia="Arial" w:hAnsi="Arial"/>
          <w:sz w:val="17"/>
          <w:szCs w:val="17"/>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7"/>
          <w:szCs w:val="17"/>
          <w:i w:val="1"/>
          <w:iCs w:val="1"/>
          <w:color w:val="auto"/>
        </w:rPr>
        <w:t>Agreement</w:t>
      </w:r>
      <w:r>
        <w:rPr>
          <w:rFonts w:ascii="Arial" w:cs="Arial" w:eastAsia="Arial" w:hAnsi="Arial"/>
          <w:sz w:val="17"/>
          <w:szCs w:val="17"/>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has been added to the principal amount of the promissory note through December 31, 2014. The note remains outstanding at December 31, 2014 and we are in discussions with Icahn School regarding its ultimate settlement.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to Consultant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strategic consultant. See Note 10, </w:t>
      </w:r>
      <w:r>
        <w:rPr>
          <w:rFonts w:ascii="Arial" w:cs="Arial" w:eastAsia="Arial" w:hAnsi="Arial"/>
          <w:sz w:val="17"/>
          <w:szCs w:val="17"/>
          <w:i w:val="1"/>
          <w:iCs w:val="1"/>
          <w:color w:val="auto"/>
        </w:rPr>
        <w:t>Subsequent Events</w:t>
      </w:r>
      <w:r>
        <w:rPr>
          <w:rFonts w:ascii="Arial" w:cs="Arial" w:eastAsia="Arial" w:hAnsi="Arial"/>
          <w:sz w:val="17"/>
          <w:szCs w:val="17"/>
          <w:color w:val="auto"/>
        </w:rPr>
        <w:t>, for information regarding a new contract entered into with this consultant.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 from sale of Common Stock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2014 we received a cash payment of $60,000 from the maker of the May 2011 note receivable issued to us as consideration for the purchase of shares of our common stock. We have considered that payment to be in full satisfaction of the outstanding principal balance of the note and related accrued interest, aggregating $194,900, at the date of the payment and recognized a loss of $132,900 on the settlement of the note, which is reflected as a component of Other expenses, net in the accompanying Statement of Operations and Comprehensive (Loss)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Autilion AG Securities Purchase Agreement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8, 2013, we entered into the Securities Purchase Agreement with Autilion, a company organized and existing under the laws of Switzerland. Under the terms of the Securities Purchase Agreement, Autilion remains contractually obligated to consummate the Autilion Financing and purchase an aggregate of 3.6 million restricted shares of our common stock at a purchase price of $10.00 per share for aggregate cash consideration of $36.0 million. Through our fiscal year ended March 31, 2014, Autilion had completed only a nominal initial closing under the Securities Purchase Agreement, in the amount of $25,000, and we had issued 2,500 restricted shares of our common stock. At December 31, 2014 and through the date of this report, Autilion has not completed a material closing of the Autilion Financing and remains in default on its obligations under the Securities Purchase Agreement. Substantial doubt exists that the Autilion Financing will close, and therefore no assurances can be provided that Autilion will complete any material closing under the Securities Purchase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issuances and modifications described above, at December 31, 2014, we had outstanding warrants to purchase shares of our unregistered common stock at a weighted average exercise price of $15.52 per share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center"/>
              <w:ind w:left="601"/>
              <w:spacing w:after="0"/>
              <w:rPr>
                <w:sz w:val="20"/>
                <w:szCs w:val="20"/>
                <w:color w:val="auto"/>
              </w:rPr>
            </w:pPr>
            <w:r>
              <w:rPr>
                <w:rFonts w:ascii="Arial" w:cs="Arial" w:eastAsia="Arial" w:hAnsi="Arial"/>
                <w:sz w:val="18"/>
                <w:szCs w:val="18"/>
                <w:b w:val="1"/>
                <w:bCs w:val="1"/>
                <w:color w:val="auto"/>
                <w:w w:val="89"/>
              </w:rPr>
              <w:t>Exercise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2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center"/>
              <w:ind w:left="621"/>
              <w:spacing w:after="0"/>
              <w:rPr>
                <w:sz w:val="20"/>
                <w:szCs w:val="20"/>
                <w:color w:val="auto"/>
              </w:rPr>
            </w:pPr>
            <w:r>
              <w:rPr>
                <w:rFonts w:ascii="Arial" w:cs="Arial" w:eastAsia="Arial" w:hAnsi="Arial"/>
                <w:sz w:val="18"/>
                <w:szCs w:val="18"/>
                <w:b w:val="1"/>
                <w:bCs w:val="1"/>
                <w:color w:val="auto"/>
                <w:w w:val="90"/>
              </w:rPr>
              <w:t>Price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20" w:type="dxa"/>
            <w:vAlign w:val="bottom"/>
          </w:tcPr>
          <w:p>
            <w:pPr>
              <w:spacing w:after="0"/>
              <w:rPr>
                <w:sz w:val="18"/>
                <w:szCs w:val="18"/>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Years to</w:t>
            </w:r>
          </w:p>
        </w:tc>
        <w:tc>
          <w:tcPr>
            <w:tcW w:w="2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20" w:type="dxa"/>
            <w:vAlign w:val="bottom"/>
          </w:tcPr>
          <w:p>
            <w:pPr>
              <w:jc w:val="center"/>
              <w:ind w:left="601"/>
              <w:spacing w:after="0"/>
              <w:rPr>
                <w:sz w:val="20"/>
                <w:szCs w:val="20"/>
                <w:color w:val="auto"/>
              </w:rPr>
            </w:pPr>
            <w:r>
              <w:rPr>
                <w:rFonts w:ascii="Arial" w:cs="Arial" w:eastAsia="Arial" w:hAnsi="Arial"/>
                <w:sz w:val="18"/>
                <w:szCs w:val="18"/>
                <w:b w:val="1"/>
                <w:bCs w:val="1"/>
                <w:color w:val="auto"/>
                <w:w w:val="89"/>
              </w:rPr>
              <w:t>per Share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Expiration</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1/31/2015 to 3/31/2019</w:t>
            </w:r>
          </w:p>
        </w:tc>
        <w:tc>
          <w:tcPr>
            <w:tcW w:w="3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3060" w:type="dxa"/>
            <w:vAlign w:val="bottom"/>
            <w:gridSpan w:val="3"/>
          </w:tcPr>
          <w:p>
            <w:pPr>
              <w:jc w:val="right"/>
              <w:ind w:right="200"/>
              <w:spacing w:after="0"/>
              <w:rPr>
                <w:sz w:val="20"/>
                <w:szCs w:val="20"/>
                <w:color w:val="auto"/>
              </w:rPr>
            </w:pPr>
            <w:r>
              <w:rPr>
                <w:rFonts w:ascii="Arial" w:cs="Arial" w:eastAsia="Arial" w:hAnsi="Arial"/>
                <w:sz w:val="18"/>
                <w:szCs w:val="18"/>
                <w:color w:val="auto"/>
              </w:rPr>
              <w:t>8.17</w:t>
            </w:r>
          </w:p>
        </w:tc>
        <w:tc>
          <w:tcPr>
            <w:tcW w:w="2780" w:type="dxa"/>
            <w:vAlign w:val="bottom"/>
          </w:tcPr>
          <w:p>
            <w:pPr>
              <w:jc w:val="right"/>
              <w:spacing w:after="0"/>
              <w:rPr>
                <w:sz w:val="20"/>
                <w:szCs w:val="20"/>
                <w:color w:val="auto"/>
              </w:rPr>
            </w:pPr>
            <w:r>
              <w:rPr>
                <w:rFonts w:ascii="Arial" w:cs="Arial" w:eastAsia="Arial" w:hAnsi="Arial"/>
                <w:sz w:val="18"/>
                <w:szCs w:val="18"/>
                <w:color w:val="auto"/>
              </w:rPr>
              <w:t>147,000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5/31/2015</w:t>
            </w:r>
          </w:p>
        </w:tc>
        <w:tc>
          <w:tcPr>
            <w:tcW w:w="3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2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7/30/2016 to 9/30/2017</w:t>
            </w:r>
          </w:p>
        </w:tc>
        <w:tc>
          <w:tcPr>
            <w:tcW w:w="3060" w:type="dxa"/>
            <w:vAlign w:val="bottom"/>
            <w:gridSpan w:val="3"/>
          </w:tcPr>
          <w:p>
            <w:pPr>
              <w:jc w:val="right"/>
              <w:ind w:right="200"/>
              <w:spacing w:after="0"/>
              <w:rPr>
                <w:sz w:val="20"/>
                <w:szCs w:val="20"/>
                <w:color w:val="auto"/>
              </w:rPr>
            </w:pPr>
            <w:r>
              <w:rPr>
                <w:rFonts w:ascii="Arial" w:cs="Arial" w:eastAsia="Arial" w:hAnsi="Arial"/>
                <w:sz w:val="18"/>
                <w:szCs w:val="18"/>
                <w:color w:val="auto"/>
              </w:rPr>
              <w:t>2.68</w:t>
            </w:r>
          </w:p>
        </w:tc>
        <w:tc>
          <w:tcPr>
            <w:tcW w:w="2780" w:type="dxa"/>
            <w:vAlign w:val="bottom"/>
          </w:tcPr>
          <w:p>
            <w:pPr>
              <w:jc w:val="right"/>
              <w:spacing w:after="0"/>
              <w:rPr>
                <w:sz w:val="20"/>
                <w:szCs w:val="20"/>
                <w:color w:val="auto"/>
              </w:rPr>
            </w:pPr>
            <w:r>
              <w:rPr>
                <w:rFonts w:ascii="Arial" w:cs="Arial" w:eastAsia="Arial" w:hAnsi="Arial"/>
                <w:sz w:val="18"/>
                <w:szCs w:val="18"/>
                <w:color w:val="auto"/>
              </w:rPr>
              <w:t>183,069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5/31/2015</w:t>
            </w:r>
          </w:p>
        </w:tc>
        <w:tc>
          <w:tcPr>
            <w:tcW w:w="3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2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1/31/2015 to 3/4/2018</w:t>
            </w:r>
          </w:p>
        </w:tc>
        <w:tc>
          <w:tcPr>
            <w:tcW w:w="3060" w:type="dxa"/>
            <w:vAlign w:val="bottom"/>
            <w:gridSpan w:val="3"/>
          </w:tcPr>
          <w:p>
            <w:pPr>
              <w:jc w:val="right"/>
              <w:ind w:right="200"/>
              <w:spacing w:after="0"/>
              <w:rPr>
                <w:sz w:val="20"/>
                <w:szCs w:val="20"/>
                <w:color w:val="auto"/>
              </w:rPr>
            </w:pPr>
            <w:r>
              <w:rPr>
                <w:rFonts w:ascii="Arial" w:cs="Arial" w:eastAsia="Arial" w:hAnsi="Arial"/>
                <w:sz w:val="18"/>
                <w:szCs w:val="18"/>
                <w:color w:val="auto"/>
              </w:rPr>
              <w:t>1.69</w:t>
            </w:r>
          </w:p>
        </w:tc>
        <w:tc>
          <w:tcPr>
            <w:tcW w:w="2900" w:type="dxa"/>
            <w:vAlign w:val="bottom"/>
            <w:gridSpan w:val="2"/>
          </w:tcPr>
          <w:p>
            <w:pPr>
              <w:jc w:val="right"/>
              <w:ind w:right="120"/>
              <w:spacing w:after="0"/>
              <w:rPr>
                <w:sz w:val="20"/>
                <w:szCs w:val="20"/>
                <w:color w:val="auto"/>
              </w:rPr>
            </w:pPr>
            <w:r>
              <w:rPr>
                <w:rFonts w:ascii="Arial" w:cs="Arial" w:eastAsia="Arial" w:hAnsi="Arial"/>
                <w:sz w:val="18"/>
                <w:szCs w:val="18"/>
                <w:color w:val="auto"/>
              </w:rPr>
              <w:t>117,627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9/15/2017</w:t>
            </w:r>
          </w:p>
        </w:tc>
        <w:tc>
          <w:tcPr>
            <w:tcW w:w="3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2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5/31/2015</w:t>
            </w:r>
          </w:p>
        </w:tc>
        <w:tc>
          <w:tcPr>
            <w:tcW w:w="3060" w:type="dxa"/>
            <w:vAlign w:val="bottom"/>
            <w:gridSpan w:val="3"/>
          </w:tcPr>
          <w:p>
            <w:pPr>
              <w:jc w:val="right"/>
              <w:ind w:right="200"/>
              <w:spacing w:after="0"/>
              <w:rPr>
                <w:sz w:val="20"/>
                <w:szCs w:val="20"/>
                <w:color w:val="auto"/>
              </w:rPr>
            </w:pPr>
            <w:r>
              <w:rPr>
                <w:rFonts w:ascii="Arial" w:cs="Arial" w:eastAsia="Arial" w:hAnsi="Arial"/>
                <w:sz w:val="18"/>
                <w:szCs w:val="18"/>
                <w:color w:val="auto"/>
              </w:rPr>
              <w:t>0.41</w:t>
            </w:r>
          </w:p>
        </w:tc>
        <w:tc>
          <w:tcPr>
            <w:tcW w:w="2780" w:type="dxa"/>
            <w:vAlign w:val="bottom"/>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jc w:val="right"/>
              <w:ind w:right="18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1/31/2015</w:t>
            </w:r>
          </w:p>
        </w:tc>
        <w:tc>
          <w:tcPr>
            <w:tcW w:w="3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gridSpan w:val="2"/>
          </w:tcPr>
          <w:p>
            <w:pPr>
              <w:jc w:val="right"/>
              <w:ind w:right="1861"/>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2/13/2016</w:t>
            </w:r>
          </w:p>
        </w:tc>
        <w:tc>
          <w:tcPr>
            <w:tcW w:w="3060" w:type="dxa"/>
            <w:vAlign w:val="bottom"/>
            <w:gridSpan w:val="3"/>
          </w:tcPr>
          <w:p>
            <w:pPr>
              <w:jc w:val="right"/>
              <w:ind w:right="200"/>
              <w:spacing w:after="0"/>
              <w:rPr>
                <w:sz w:val="20"/>
                <w:szCs w:val="20"/>
                <w:color w:val="auto"/>
              </w:rPr>
            </w:pPr>
            <w:r>
              <w:rPr>
                <w:rFonts w:ascii="Arial" w:cs="Arial" w:eastAsia="Arial" w:hAnsi="Arial"/>
                <w:sz w:val="18"/>
                <w:szCs w:val="18"/>
                <w:color w:val="auto"/>
              </w:rPr>
              <w:t>1.12</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060" w:type="dxa"/>
            <w:vAlign w:val="bottom"/>
            <w:gridSpan w:val="3"/>
          </w:tcPr>
          <w:p>
            <w:pPr>
              <w:jc w:val="right"/>
              <w:ind w:right="200"/>
              <w:spacing w:after="0"/>
              <w:rPr>
                <w:sz w:val="20"/>
                <w:szCs w:val="20"/>
                <w:color w:val="auto"/>
              </w:rPr>
            </w:pPr>
            <w:r>
              <w:rPr>
                <w:rFonts w:ascii="Arial" w:cs="Arial" w:eastAsia="Arial" w:hAnsi="Arial"/>
                <w:sz w:val="18"/>
                <w:szCs w:val="18"/>
                <w:color w:val="auto"/>
              </w:rPr>
              <w:t>3.21</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60" w:type="dxa"/>
            <w:vAlign w:val="bottom"/>
            <w:gridSpan w:val="2"/>
            <w:vMerge w:val="restart"/>
          </w:tcPr>
          <w:p>
            <w:pPr>
              <w:jc w:val="right"/>
              <w:ind w:right="237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September and December 2013, our Chief Executive Officer provided short-term cash advances aggregating $64,000 to meet our short-term working capital requirements. In lieu of our cash repayment of the advances, in December 2013, he elected to invest $50,000 in the 2013 Unit Private Placement. Since March 31, 2014, we have repaid the remaining $3,600 balance of the advances and the $50,000 promissory note issued in connection with his investment in the 2013 Unit Private Placement and related accrued interest.</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Cato Holding Company,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is one of our largest institutional stockholders at December 31, 2014. In October 2012, we issued a 7.5% promissory note (</w:t>
      </w:r>
      <w:r>
        <w:rPr>
          <w:rFonts w:ascii="Arial" w:cs="Arial" w:eastAsia="Arial" w:hAnsi="Arial"/>
          <w:sz w:val="16"/>
          <w:szCs w:val="16"/>
          <w:i w:val="1"/>
          <w:iCs w:val="1"/>
          <w:color w:val="auto"/>
        </w:rPr>
        <w:t>CHC Note</w:t>
      </w:r>
      <w:r>
        <w:rPr>
          <w:rFonts w:ascii="Arial" w:cs="Arial" w:eastAsia="Arial" w:hAnsi="Arial"/>
          <w:sz w:val="16"/>
          <w:szCs w:val="16"/>
          <w:color w:val="auto"/>
        </w:rPr>
        <w:t>) and a warrant (</w:t>
      </w:r>
      <w:r>
        <w:rPr>
          <w:rFonts w:ascii="Arial" w:cs="Arial" w:eastAsia="Arial" w:hAnsi="Arial"/>
          <w:sz w:val="16"/>
          <w:szCs w:val="16"/>
          <w:i w:val="1"/>
          <w:iCs w:val="1"/>
          <w:color w:val="auto"/>
        </w:rPr>
        <w:t>CHC Warrant</w:t>
      </w:r>
      <w:r>
        <w:rPr>
          <w:rFonts w:ascii="Arial" w:cs="Arial" w:eastAsia="Arial" w:hAnsi="Arial"/>
          <w:sz w:val="16"/>
          <w:szCs w:val="16"/>
          <w:color w:val="auto"/>
        </w:rPr>
        <w:t>) to CHC in settlement of prior indebtedness. Total interest expense, including amortization of note discount, on the CHC Note was $7,400 and $7,900 in the three month periods ended December 31, 2014 and 2013, respectively, and $22,500 and $24,000 in the nine month periods ended December 31, 2014 and 2013,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 2007, we entered into a contract research arrangement with CRL, a contract research organization, related to the development of AV-101, our prodrug candidate which has successfully completed Phase 1 clinical development, and subsequent other projects under which we incurred expenses of $7,500 in each of the three month periods ended December 31, 2014 and 2013 and $22,500 and $45,000 in the nine month periods ended December 31, 2014 and 2013, respectively.</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2012, we issued to CRL (i) a 7.5% promissory note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w:t>
      </w:r>
      <w:r>
        <w:rPr>
          <w:rFonts w:ascii="Arial" w:cs="Arial" w:eastAsia="Arial" w:hAnsi="Arial"/>
          <w:sz w:val="16"/>
          <w:szCs w:val="16"/>
          <w:i w:val="1"/>
          <w:iCs w:val="1"/>
          <w:color w:val="auto"/>
        </w:rPr>
        <w:t>CRO Services</w:t>
      </w:r>
      <w:r>
        <w:rPr>
          <w:rFonts w:ascii="Arial" w:cs="Arial" w:eastAsia="Arial" w:hAnsi="Arial"/>
          <w:sz w:val="16"/>
          <w:szCs w:val="16"/>
          <w:color w:val="auto"/>
        </w:rPr>
        <w:t>) rendered by CRL to us through December 31, 2012 with respect to the preclinical and clinical development of AV-101, and</w:t>
      </w:r>
    </w:p>
    <w:p>
      <w:pPr>
        <w:jc w:val="both"/>
        <w:ind w:firstLine="8"/>
        <w:spacing w:after="0" w:line="273" w:lineRule="auto"/>
        <w:tabs>
          <w:tab w:leader="none" w:pos="274" w:val="left"/>
        </w:tabs>
        <w:numPr>
          <w:ilvl w:val="0"/>
          <w:numId w:val="6"/>
        </w:numPr>
        <w:rPr>
          <w:rFonts w:ascii="Arial" w:cs="Arial" w:eastAsia="Arial" w:hAnsi="Arial"/>
          <w:sz w:val="17"/>
          <w:szCs w:val="17"/>
          <w:color w:val="auto"/>
        </w:rPr>
      </w:pPr>
      <w:r>
        <w:rPr>
          <w:rFonts w:ascii="Arial" w:cs="Arial" w:eastAsia="Arial" w:hAnsi="Arial"/>
          <w:sz w:val="17"/>
          <w:szCs w:val="17"/>
          <w:color w:val="auto"/>
        </w:rPr>
        <w:t>a warrant (</w:t>
      </w:r>
      <w:r>
        <w:rPr>
          <w:rFonts w:ascii="Arial" w:cs="Arial" w:eastAsia="Arial" w:hAnsi="Arial"/>
          <w:sz w:val="17"/>
          <w:szCs w:val="17"/>
          <w:i w:val="1"/>
          <w:iCs w:val="1"/>
          <w:color w:val="auto"/>
        </w:rPr>
        <w:t>CRL Warrant</w:t>
      </w:r>
      <w:r>
        <w:rPr>
          <w:rFonts w:ascii="Arial" w:cs="Arial" w:eastAsia="Arial" w:hAnsi="Arial"/>
          <w:sz w:val="17"/>
          <w:szCs w:val="17"/>
          <w:color w:val="auto"/>
        </w:rPr>
        <w:t>). The CRL Note is payable solely by CRL's surrender from time to time of all or a portion of the principal and interest balance due on the CRL Note in connection with its concurrent exercise of the CRL Warrant at an exercise price of $20.00 per share. Total interest expense, including amortization of the note discount, on the CRL Note was $36,300 and $32,000 for the three month periods ended December 31, 2014 and 2013, respectively, and $109,900 and $103,500 for the nine month periods ended December 31, 2014 and 2013,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January 1, 2015 to February 13, 2015, we entered into securities purchase agreements with accredited investors pursuant to which we sold units to such accredited investors in private placement transactions consisting of (i) 10% convertible 2014 Unit Notes maturing on March 31, 2015 in the aggregate face amount of $768,500, including an aggregate of $500,000 of such 2014 Unit Notes to Platinum; (ii) an aggregate of 128,350 shares of our restricted common stock, including 62,500 shares to Platinum; and (iii) warrants exercisable through December 31, 2016 to purchase an aggregate of 128,350 restricted shares of our common stock at an exercise price of $10.00 per share, including warrants to purchase 62,500 restricted shares of our common stock issued to Platinum. We received cash proceeds of $768,500 from the sales of the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Grants and Modifications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2015, when the market price of our common stock was $8.00 per share,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authorized the grant of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maturing during calendar 2015 and reduced the exercise price to $15.00 per share for such of those extended term warrants having exercise prices in excess of that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 to Consultant</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Effective January 12, 2015, we entered into a consulting agreement for strategic advisory and business development services through December 31, 2015 pursuant to which we issued 20,000 restricted shares of our common stock as compensation for such professional services.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includes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2014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on Form 10-Q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clinical-stage biopharmaceutical company focused on developing innovative medicine to treat depression, other conditions involving the central nervous system, and cancer.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 (4-Cl-KYN) is our drug candidate in Phase 2 development as a potential new generation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one of the most common mental disorders in the U.S., affecting 6.7% of U.S adults each year. AV-101 also has potential as a new treatment for other conditions of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including epilepsy and chronic neuropathic pain, and neurodegenerative diseases such as Parkinson’s disease and Huntington’s disease.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two-thirds of depression sufferers do not benefit from the first round treatment of currently approved antidepressant agents, including selective serotonin reuptake inhibitors (SSRIs) and serotonin-norepinephrine reuptake inhibitors (SNRIs). Because of their mechanism of action, currently approved antidepressant drugs often take many weeks to relieve depressive symptoms and induce remission of a major depressive episode. During this multiple-week lag period before onset of therapeutic benefits, risks of side effects, including suicidal thoughts and behaviors, may be considerable. Ultimately, after as many as four treatment cycles, involving several different antidepressant medications, approximately two out of three patients may find an antidepressant drug combination that induces remission of depressive symptoms. Unfortunately, this serial trial and error period to find an effective antidepressant medication can take months to more than a year to achieve, with an increasing rate of potentially significant side effect risks with each successive treatment attempt.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randomized, placebo-controlled, double-blind clinical trials conducted by Dr. Carlos Zarate, Chief, Section on the Neurobiology and Treatment of Mood Disorders and Chief of the Experimental Therapeutics and Pathophysiology Branch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ketamine, an NMDA receptor antagonist which acts as an NMDA channel blocker, produced robust and rapid, within hours, antidepressant effects in MDD patients who had not responded to approved antidepressant drugs. Although the potential for widespread therapeutic use of ketamine may be severely limited by its potential for abuse, its dissociative and psychosis-like side effects, as well as practical challenges associated with its required intravenous administration in a medical center, the discovery of ketamine’s rapid onset antidepressant effects revolutionized thinking about the MDD treatment paradigm and mechanism of action of antidepressant medicines. It also increased interest in the development of a new generation of drug candidates with a mechanism of action similar to ketamine’s and a more rapid therapeutic benefit compared to currently approved antidepressants.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AV-101 is a unique prodrug candidate that produces, in the brain, 7-chlorokynurenic acid (7-Cl-KYNA), one of the most potent and selective antagonists of the required glycine-binding site of the N-methyl-D-aspartate (</w:t>
      </w:r>
      <w:r>
        <w:rPr>
          <w:rFonts w:ascii="Arial" w:cs="Arial" w:eastAsia="Arial" w:hAnsi="Arial"/>
          <w:sz w:val="17"/>
          <w:szCs w:val="17"/>
          <w:i w:val="1"/>
          <w:iCs w:val="1"/>
          <w:color w:val="auto"/>
        </w:rPr>
        <w:t>NMDA</w:t>
      </w:r>
      <w:r>
        <w:rPr>
          <w:rFonts w:ascii="Arial" w:cs="Arial" w:eastAsia="Arial" w:hAnsi="Arial"/>
          <w:sz w:val="17"/>
          <w:szCs w:val="17"/>
          <w:color w:val="auto"/>
        </w:rPr>
        <w:t>) receptor, resulting in the down-regulation of NMDA signaling. Growing evidence suggests that the glutamatergic system is central to the neurobiology and treatment of MDD and other mood disorders.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fundamentally novel mechanism of action of AV-101 places it among a new generation of glutamatergic antidepressants with breakthrough potential to treat millions of depression sufferers worldwide who are poorly served by SSRIs, SNRIs and other currently available depression therapies. Like ketamine, AV-101 modulates (down-regulates) NMDA receptor channel activity. However, unlike ketamine’s antagonistic activity, which results from its blocking the NMDA receptor channel, AV-101’s antagonistic activity results from its selective binding to, and blocking, the functionally-required glycine-binding co-agonist site of the NMDA receptor.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NIH previously awarded VistaGen $8.8 million to advance preclinical and Phase 1 clinical development of AV-101. In two randomized, double-blind, placebo-controlled Phase 1 safety studies, AV-101 was well tolerated and not associated with any severe adverse events. There were no signs of sedation, hallucinations or schizophrenia-like side effects often associated with ketamine and traditional NMDAR channel blockers. AV-101’s preclinical efficacy data, novel mechanism of action, rapid and efficient oral-delivery and demonstrated clinical safety, support our belief that it has breakthrough potential to address the urgent need for antidepressant agents with rapid-acting therapeutic benefits, in a manner similar to results seen in MDD studies with ketamine, but without any delivery limitations or safety concerns of ketamine.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NIH Cooperative Research and Development Agreement for NIH-Sponsored AV-101 Phase 2 Study in MDD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to collaborate with Dr. Zarate and his colleagues at the NIMH on an NIH-sponsored Phase 2 clinical study of the efficacy and safety of AV-101 in subjects with MDD. Dr. Zarate will be the Principal Investigator for the NIH-funded AV-101 Phase 2 MDD study under the CRADA. The study is expected to commence during the first half of 2015 and be completed at the end of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Technology-based Drug Rescue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With mature, adult human heart cells and liver cells produced using our proprietary pluripotent stem cell technology, we have developed two customized human cellular bioassay systems,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predicting heart toxicity and liver toxicity of new drug candidates, long before they are ever tested in animal or human studies. We are leveraging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drug rescue focused on producing proprietary new chemical entities (NCE’s) which are safer variants of drug rescue candidates previously optimized and tested for efficacy by pharmaceutical companies and others but terminated before FDA approval due to heart or liver toxicity concerns. Our initial drug rescue programs are focused on NCEs for cancer and CNS disorders.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Form 10-K for the fiscal year ended March 31, 2014, as filed with the SEC on June 25, 2014, and in Note 3 to the accompanying unaudited Condensed Consolidated Financial Statements included in Part 1, Item 1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Throughout our fiscal year ended March 31, 2014 and during the nine months ended December 31, 2014, our scientific personnel have successfully expanded the drug rescue capabilities of our novel, customized bioassay systems,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and advanced our internal review and assessment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of multiple prospective </w:t>
      </w:r>
      <w:r>
        <w:rPr>
          <w:rFonts w:ascii="Arial" w:cs="Arial" w:eastAsia="Arial" w:hAnsi="Arial"/>
          <w:sz w:val="16"/>
          <w:szCs w:val="16"/>
          <w:i w:val="1"/>
          <w:iCs w:val="1"/>
          <w:color w:val="auto"/>
        </w:rPr>
        <w:t>Drug Rescue Candidates</w:t>
      </w:r>
      <w:r>
        <w:rPr>
          <w:rFonts w:ascii="Arial" w:cs="Arial" w:eastAsia="Arial" w:hAnsi="Arial"/>
          <w:sz w:val="16"/>
          <w:szCs w:val="16"/>
          <w:color w:val="auto"/>
        </w:rPr>
        <w:t>. Additionally, as indicated previously, we have entered into a Cooperative Research and Development Agreement with the NIH providing for an NIMH-sponsored Phase 2 clinical study of AV-101 in Major Depressive Disorder.</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Throughout fiscal 2014 and during the first three quarters of fiscal 2015, our executive management has been significantly focused on providing sufficient operating capital to continue to advance our drug development and research objectives while meeting our continuing operational needs. Although, in April 2013, we entered into a Securities Purchase Agreement (as amended,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with Autilion AG, an institutional investor organized and existing under the laws of Switzerland (</w:t>
      </w:r>
      <w:r>
        <w:rPr>
          <w:rFonts w:ascii="Arial" w:cs="Arial" w:eastAsia="Arial" w:hAnsi="Arial"/>
          <w:sz w:val="16"/>
          <w:szCs w:val="16"/>
          <w:i w:val="1"/>
          <w:iCs w:val="1"/>
          <w:color w:val="auto"/>
        </w:rPr>
        <w:t>Autilion</w:t>
      </w:r>
      <w:r>
        <w:rPr>
          <w:rFonts w:ascii="Arial" w:cs="Arial" w:eastAsia="Arial" w:hAnsi="Arial"/>
          <w:sz w:val="16"/>
          <w:szCs w:val="16"/>
          <w:color w:val="auto"/>
        </w:rPr>
        <w:t>), under which Autilion remains contractually obligated to purchase an aggregate of 3.6 million restricted shares of our common stock at a purchase price of $10.00 per share for aggregate cash proceeds to us of $36.0 million (</w:t>
      </w:r>
      <w:r>
        <w:rPr>
          <w:rFonts w:ascii="Arial" w:cs="Arial" w:eastAsia="Arial" w:hAnsi="Arial"/>
          <w:sz w:val="16"/>
          <w:szCs w:val="16"/>
          <w:i w:val="1"/>
          <w:iCs w:val="1"/>
          <w:color w:val="auto"/>
        </w:rPr>
        <w:t>Autilion Financing</w:t>
      </w:r>
      <w:r>
        <w:rPr>
          <w:rFonts w:ascii="Arial" w:cs="Arial" w:eastAsia="Arial" w:hAnsi="Arial"/>
          <w:sz w:val="16"/>
          <w:szCs w:val="16"/>
          <w:color w:val="auto"/>
        </w:rPr>
        <w:t>), to date, Autilion has not completed a material closing under the Securities Purchase Agreement and remains in default thereunder. Substantial doubt exists that the Autilion Financing will close, and therefore no assurances can be given that Autilion will consummate any material closing under the Securities Purchase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meet our working capital needs for our current fiscal year as a result of Autilion’s continuing default under the Securities Purchase Agreement, between late-March 2014 and December 31, 2014, we entered into private placement subscription agreements with Platinum and certain accredited investors pursuant to which we sold units (</w:t>
      </w:r>
      <w:r>
        <w:rPr>
          <w:rFonts w:ascii="Arial" w:cs="Arial" w:eastAsia="Arial" w:hAnsi="Arial"/>
          <w:sz w:val="16"/>
          <w:szCs w:val="16"/>
          <w:i w:val="1"/>
          <w:iCs w:val="1"/>
          <w:color w:val="auto"/>
        </w:rPr>
        <w:t>Units</w:t>
      </w:r>
      <w:r>
        <w:rPr>
          <w:rFonts w:ascii="Arial" w:cs="Arial" w:eastAsia="Arial" w:hAnsi="Arial"/>
          <w:sz w:val="16"/>
          <w:szCs w:val="16"/>
          <w:color w:val="auto"/>
        </w:rPr>
        <w:t xml:space="preserve">) consisting of: (i) 10% convertible notes maturing on March 31, 2015 in the aggregate principal amount of $2,115,000; (ii) an aggregate of 128,250 restricted shares of our common stock; and (iii) warrants exercisable through December 31, 2016 to purchase an aggregate of 128,250 restricted shares of our common stock at an exercise price of $10.00 per share. We received cash proceeds of $2,115,000 from the sale of the Units. We have sold an additional $768,500 of Units in private placements to accredited investors between January 1, 2015 and February 13, 2015. Further, to minimize our current cash requirements, as described in Note 7,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in the notes to our Condensed Consolidated Financial Statements included in Part 1, Item 1 of this Quarterly Report on Form 10-Q, we entered into agreements with accredited investors holding $895,000 face value of convertible promissory notes issued in our 2013 Unit Private Placement to extend the maturity of such notes from July 31, 2014 to March 31, 2015, unless converted earlier pursuant to a qualified financing, as defined in the agreements.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Given our working capital constraints throughout fiscal 2014 and to date during fiscal 2015, we have attempted to minimize to the greatest extent possible our cash commitments and expenditures for external research and development and general and administrative services, particularly during the later portion of our fiscal year ended March 31, 2014 and during the nine months ended December 31, 2014. As a consequence, throughout the nine months ended December 31, 2014, Shawn Singh, our CEO, voluntarily elected to receive no cash compensation. In addition, during the nine months ended December 31, 2014 each of Ralph Snodgrass, PhD, our President and CSO, and Jerrold Dotson, our CFO, voluntarily elected to receive only 36% and 50% of his contractual salary, respectively. In particular, during the three-month period ended December 31, 2014, Messrs. Singh and Dotson and Dr. Snodgrass voluntarily elected to receive 0%, 15% and 0%, respectively, of their contractual salary. Such unpaid compensation has been accrued for accounting purposes, but has not yet been paid at the date of this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three months ended December 31, 2014 and 2013 (amounts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4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4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taxes</w:t>
            </w: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(loss) income</w:t>
            </w:r>
          </w:p>
        </w:tc>
        <w:tc>
          <w:tcPr>
            <w:tcW w:w="5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760" w:type="dxa"/>
            <w:vAlign w:val="bottom"/>
            <w:vMerge w:val="restart"/>
          </w:tcPr>
          <w:p>
            <w:pPr>
              <w:jc w:val="right"/>
              <w:ind w:right="287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no revenue for the quarters ended December 31, 2014 or 2013. We have successfully completed our Phase 1 development of AV-101, our novel, orally-available, non-sedating prodrug candidate for the treatment of depression, epilepsy, pain Parkinson’s disease. Our NIH grant related to preclinical and Phase 1 development of AV-101 expired in its normal course on June 30, 2012. On February 10, 2015, we entered into a Cooperative Research and Development Agreement with the NIMH, part of the NIH, to collaborate on a NIH-sponsored Phase 2 clinical study of AV-101 in Major Depressive Disorder. We presently have no other revenue generating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totaled $445,000 for the quarter ended December 31, 2014, a decrease of 19% compared to $551,000 for the quarter ended December 31, 2013. The following table indicates the primary components of research and development expense for each of the periods (amounts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Consulting services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Project-related third-party research and supplies: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AV-101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All other including CardioSafe and LiverSafe</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conserve cash resources, during both 2013 and 2014, Ralph Snodgrass, Ph.D., our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accepted a voluntary salary reduction to substantially less than his contractual pay rate. Although it has not been paid, at December 31, 2014 we have accrued the difference between the CSO’s contractual pay rate and his recent pay rate for the period from April 1, 2014 through December 31, 2014. Pay rates for other scientific personnel remained constant between years. Partially offsetting the effect of the accrual is the impact of the voluntary resignation of one member of our scientific staff at the end of September 2014 and the voluntary reduction of work hours and pay by another member of our scientific staff during the quarter ended December 31, 2014.</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based compensation expense for 2014 reflects the ratable amortization of new option grants made to scientific staff and consultants in October 2013 and March 2014 as well as amortization of grants of warrants made to our CSO in March 2014 and March 2013. The stock options are being amortized over their four-year vesting period, and warrants granted to the CSO are being amortized over a three-year vesting period, but are subject to certain vesting acceleration events. In addition to similar ratable amortization of option and warrant grants, stock-based compensation expense for the quarter ended December 31, 2013 includes approximately $82,000 as the impact of October 2013 and December 2013 modifications to reduce the exercise price of certain outstanding option grants to $8.00 per share or $10.00 per share,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sponsored research project budget under the collaboration agreement with Dr. Gordon Keller’s laboratory at UHN ended on September 30, 2013 and we incurred no expense under the agreement in the quarters ended December 31, 2014 or 2013. We have been conducting discussions with Dr. Keller and UHN regarding the scope of our 2015 sponsored research projects and budget under the agreement, and we anticipate finalizing such project definitions and budgets in the near term.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Consulting services reflects fees paid or accrued for scientific services rendered to us by third-parties, primarily by members of our scientific advisory board.</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was $671,000 for the quarter ended December 31, 2014, a 25% decrease from the $897,000 reported for the quarter ended December 31, 2013. The following table indicates the primary components of general and administrative expenses for each of the periods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800" w:type="dxa"/>
            <w:vAlign w:val="bottom"/>
            <w:gridSpan w:val="2"/>
            <w:shd w:val="clear" w:color="auto" w:fill="CCEEFF"/>
          </w:tcPr>
          <w:p>
            <w:pPr>
              <w:jc w:val="right"/>
              <w:ind w:right="63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671</w:t>
            </w:r>
          </w:p>
        </w:tc>
        <w:tc>
          <w:tcPr>
            <w:tcW w:w="10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conserve cash resources, during both 2013 and 2014, Shawn Singh,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accepted a voluntary salary reduction to substantially less than his contractual pay rate. Similarly, Jerrold Dotson, our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has also accepted a voluntary salary reduction to less than his agreed pay rate. Although it has not been paid, at December 31, 2014, we have accrued the difference between the CEO’s and CFO’s agreed pay rates and their recent pay rates for the period from April 1, 2014 through December 31, 2014, which amount primarily accounts for the increase in expense between the periods reported. Pay rates for other administrative employees remained stable between the periods presented.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compensation expense for 2014 reflects the ratable amortization of the fair value of prior years’ option and warrant grants over the requisite service period. Amortization of stock-based compensation expense related to certain option grants made during 2009 and 2010 has ceased during 2014 as the awards became fully-vested. In addition to such ratable amortization, stock-based compensation expense for the quarter ended December 31, 2013 includes approximately $170,000 as the impact of October 2013 and December 2013 modifications to reduce the exercise price of certain outstanding option grants to $8.00 per share or $10.00 per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Consulting services primarily includes fees paid or accrued for the services of independent members of our Board of Directors.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legal, accounting and other professional expenses is primarily the result of the write-off of approximately $102,000 of legal, accounting and other fees incurred in connection with our Registration Statement on Form S-1, that was withdrawn in December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Outsourced investor relations service expenses are essentially flat between periods.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travel expenses reflects costs associated with presentations to potential investors in connection with the fall 2014 attempted registered public offering of our securities.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Warrant modification expense in 2013 reflects the impact of October 2013 and December 2013 strategic reductions in the exercise price of certain outstanding warrants, generally from $35.00 per share or $30.00 per share, to $10.00 per share, and in limited cases, the extension of the term of certain outstanding warrants.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totaled $792,000 for the quarter ended December 31, 2014, an increase of 120% compared to the $361,000 reported for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2013. The following table summarizes the primary components of interest expense for each of the periods (amounts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3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interest expense, including on capital leases and premium financing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360" w:type="dxa"/>
            <w:vAlign w:val="bottom"/>
            <w:vMerge w:val="restart"/>
          </w:tcPr>
          <w:p>
            <w:pPr>
              <w:jc w:val="right"/>
              <w:ind w:right="2870"/>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interest expense between the periods is primarily attributable to the accrued interest recorded for the issuances between October 2013 and December 2014 of an aggregate of approximately $2.8 million of 10% convertible promissory notes pursuant to the 2013 Unit Private Placement and the 2014 Unit Private Placement. As a result of the significant inception-date discounts recorded in connection with the Unit Notes and the relatively short period between issuance and maturity over which the discount must be amortized, and the increasing amount of amortization expense recorded using the effective interest rate method as the notes approach maturity, discount amortization increased by approximately $342,000 between the periods shown in the preceding table.</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terms of the October 2012 Note Exchange and Purchase Agreement we entered with Platinum, we issued certain Senior Secured Convertible Promissory Notes and a related Exchange Warrant and Investment Warrants in October 2012, February 2013 and March 2013. We also issued a similar senior secured promissory note and related warrant to Platinum in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During the quarter ended December 31, 2014 we recognized non-cash gains of $953,700 related to the net decrease in the estimated fair value of these non-cash liabilities since September 30, 2014, which resulted primarily from the decrease in the market price of our common stock in relation to the exercise price of the warrants. During the quarter ended December 31, 2013, we recognized non-cash gains of $1,940,200 related to the net decrease in the estimated fair value of the warrant liabilities since September 30, 2013, which again resulted primarily from the decrease in the market price of our common stock in relation to the exercise price of the warrants.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in Note 8, </w:t>
      </w:r>
      <w:r>
        <w:rPr>
          <w:rFonts w:ascii="Arial" w:cs="Arial" w:eastAsia="Arial" w:hAnsi="Arial"/>
          <w:sz w:val="18"/>
          <w:szCs w:val="18"/>
          <w:i w:val="1"/>
          <w:iCs w:val="1"/>
          <w:color w:val="auto"/>
        </w:rPr>
        <w:t>Capital Stock</w:t>
      </w:r>
      <w:r>
        <w:rPr>
          <w:rFonts w:ascii="Arial" w:cs="Arial" w:eastAsia="Arial" w:hAnsi="Arial"/>
          <w:sz w:val="18"/>
          <w:szCs w:val="18"/>
          <w:color w:val="auto"/>
        </w:rPr>
        <w:t>, to the Condensed Consolidated Financial Statements included in Part 1, Item 1 of this Quarterly Report on Form 10-Q, 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recognized loss of $134,900 related to the settlement.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December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December 31, 2014 and 2013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5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4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expense</w:t>
            </w:r>
          </w:p>
        </w:tc>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90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jc w:val="right"/>
              <w:ind w:right="2870"/>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no revenue for the nine months ended December 31, 2014 or 2013. We have successfully completed our Phase I development of AV-101, our novel, orally-available, non-sedating prodrug candidate for the treatment of depression, epilepsy, pain Parkinson’s disease. Our NIH grant related to AV-101 expired in its normal course on June 30, 2012. On February 10, 2015, we entered into a Cooperative Research and Development Agreement with the NIMH, part of the NIH, to collaborate on a NIH-sponsored Phase 2 clinical study of AV-101 in Major Depressive Disorder. We presently have no other revenue generating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totaled $1,477,000 for the nine months ended December 31, 2014, a decrease of 23% compared to $1,916,000 for the nine months ended December 31, 2013. The following table indicates the primary components of research and development for each of the periods (amounts in thousands):</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tcPr>
          <w:p>
            <w:pPr>
              <w:jc w:val="center"/>
              <w:ind w:right="340"/>
              <w:spacing w:after="0" w:line="198" w:lineRule="exact"/>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Consulting services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 and royalties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Project-related third-party research and supplies: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AV-101</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All other including CardioSafe and LiverSafe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Rent</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conserve cash resources, during both 2013 and 2014, Ralph Snodgrass, Ph.D., our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has accepted a voluntary salary reduction to substantially less than his contractual pay rate. Although it has not been paid, at December 31, 2014, we have accrued the difference between the CSO’s contractual pay rate and his recent pay rate for the period from April 1, 2014 through December 31, 2014. Pay rates for other scientific personnel remained constant between years. Offsetting the effect of the accrual is the impact of the voluntary resignation of one member of our scientific staff at the end of September 2014 and the voluntary reduction of work hours and pay by another member of our scientific staff during the quarter ended December 31, 2014.</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Stock based compensation for 2014 generally reflects the ratable amortization attributable to new option grants made to scientific staff and consultants in October 2013 and March 2014 and earlier as well as amortization attributable to grants of warrants made to our CSO in March 2014 and 2013. The stock options are being amortized over their four-year vesting period; the warrants granted to the CSO are being amortized over a three-year vesting period, but are subject to certain vesting acceleration events. In addition to such ratable amortization, stock-based compensation expense for 2013 includes approximately $82,000 as the impact of October 2013 and December 2013 modifications to reduce the exercise price of certain outstanding option grants to $8.00 per share or $10.00 per share. Further, amortization of stock-based compensation expense related to certain option grants made during 2009 and 2010 has ceased during 2014 as the awards became fully-vested.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sponsored research project budget under the collaboration agreement with Dr. Gordon Keller’s laboratory at UHN ended on September 30, 2013 and we have incurred no expense under the agreement since that date. We have been engaged in discussions with Dr. Keller and UHN regarding the scope of our 2015 sponsored research projects and budget under the agreement, and we anticipate finalizing such project definitions and budgets in the near term.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Consulting services reflects fees paid or accrued for scientific services rendered to us by third-parties, including by members of our scientific advisory board.</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2013.</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2014 increase in rent expense reflects increased rental costs related to our relocation to expanded facilities in late-July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was $2,024,000 for the nine months ended December 31, 2014, a decrease of 1% compared with $2,048,000 for the nine months ended December 31, 2013. The following table indicates the primary components of general and administrative expenses for each of the periods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conserve cash resources, during both 2013 and 2014, Shawn Singh, our Chief Executive Officer (</w:t>
      </w:r>
      <w:r>
        <w:rPr>
          <w:rFonts w:ascii="Arial" w:cs="Arial" w:eastAsia="Arial" w:hAnsi="Arial"/>
          <w:sz w:val="17"/>
          <w:szCs w:val="17"/>
          <w:i w:val="1"/>
          <w:iCs w:val="1"/>
          <w:color w:val="auto"/>
        </w:rPr>
        <w:t>CEO</w:t>
      </w:r>
      <w:r>
        <w:rPr>
          <w:rFonts w:ascii="Arial" w:cs="Arial" w:eastAsia="Arial" w:hAnsi="Arial"/>
          <w:sz w:val="17"/>
          <w:szCs w:val="17"/>
          <w:color w:val="auto"/>
        </w:rPr>
        <w:t>), has accepted a voluntary salary reduction to substantially less than his contractual pay rate. Similarly, Jerrold Dotson, our Chief Financial Officer (</w:t>
      </w:r>
      <w:r>
        <w:rPr>
          <w:rFonts w:ascii="Arial" w:cs="Arial" w:eastAsia="Arial" w:hAnsi="Arial"/>
          <w:sz w:val="17"/>
          <w:szCs w:val="17"/>
          <w:i w:val="1"/>
          <w:iCs w:val="1"/>
          <w:color w:val="auto"/>
        </w:rPr>
        <w:t>CFO</w:t>
      </w:r>
      <w:r>
        <w:rPr>
          <w:rFonts w:ascii="Arial" w:cs="Arial" w:eastAsia="Arial" w:hAnsi="Arial"/>
          <w:sz w:val="17"/>
          <w:szCs w:val="17"/>
          <w:color w:val="auto"/>
        </w:rPr>
        <w:t>), has also accepted a voluntary salary reduction to less than his agreed pay rate. Although it has not been paid, at December 31, 2014 we have accrued the difference between the CEO’s and CFO’s agreed pay rates and their recent pay rates for the period from April 1, 2014 through December 31, 2014, an aggregate of $119,000. Offsetting this amount is the impact of the voluntary resignations of two administrative employees in August and November 2013 who have not been replaced. Pay rates for other administrative employees remained stable between the periods presented.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compensation expense in 2014 reflects the ratable amortization of the fair value of option grants made in prior years and warrant grants made in the current and prior years over the requisite service period. Amortization of stock-based compensation expense related to certain option grants made during 2009 and 2010 has ceased as the awards became fully-vested during 2014. In addition to such ratable amortization, stock-based compensation expense for 2013 includes approximately $170,000 as the impact of October 2013 and December 2013 modifications to reduce the exercise price of certain outstanding option grants to $8.00 per share or $10.00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Consulting services primarily reflects fees paid or accrued for the services of the independent members of our Board of Directors.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legal, accounting and other professional fees results primarily from the impact of (i) a consulting agreement for strategic advisory and business development services pursuant to which we issued 10,000 restricted shares of our common stock valued at $134,000 at the date of issuance and have paid $80,000 as cash compensation for such professional services through December 31, 2014; (ii) the write-off of approximately $102,000 of legal, accounting and other fees upon the December 2014 cancellation of the prospective public offering of our equity securities and related withdrawal of our Registration Statement on Form S-1; (iii) legal and other costs related to the 1:20 reverse split of our common stock in August 2014 and legal and filing fees for our private placement Unit financing offerings; and (iv) costs related to temporary employee fees for part-time administrative services.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Outsourced investor relations service expenses are essentially flat between periods; we have conducted no special awareness or other initiatives during either 2014 or 2013. Travel expenses related to late summer and fall 2014 roadshow meetings with potential investors in our attempted registered public offering account for the increase compared to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2014 increase in rent and utilities reflects increased costs related to our relocation to expanded facilities in late-July 2013.</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Warrant modification expense in 2013 reflects the impact of October 2013 and December 2013 strategic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other expenses relates to one-time relocation costs incurred in connection with our relocation to expanded facilities in late-July 2013.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net totaled $2,183,000 for the nine months ended December 31, 2014, an increase of 118% compared to the $1,000,000 reported for the nine months ended December 31, 2013. The following table summarizes the primary components of interest expense for each of the periods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3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interest expense, including on capital leases and premium financing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360" w:type="dxa"/>
            <w:vAlign w:val="bottom"/>
            <w:vMerge w:val="restart"/>
          </w:tcPr>
          <w:p>
            <w:pPr>
              <w:jc w:val="right"/>
              <w:ind w:right="287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increase in interest expense between the periods is primarily attributable to the accrued interest recorded for the issuances between August 2013 and December 2014 of an aggregate of approximately $3.2 million of 10% convertible promissory notes pursuant to the 2013 Unit Private Placement and the 2014 Unit Private Placement. As a result of the significant inception-date discounts recorded in connection with the Unit Notes, the relatively short period between issuance and maturity over which the discount must be amortized, and the increasing amount of amortization expense recorded using the effective interest rate method as the notes approach maturity, discount amortization increased by $939,000 between the periods shown in the preceding table.</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terms of the October 2012 Note Exchange and Purchase Agreement we entered with Platinum, we issued certain Senior Secured Convertible Promissory Notes and a related Exchange Warrant and Investment Warrants in October 2012, February 2013 and March 2013. We also issued a similar senior secured promissory note and related warrant to Platinum in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During the nine months ended December 31, 2014 we recognized non-cash gains of $528,300 related to the net decrease in the estimated fair value of these non-cash liabilities since March 31, 2014, which resulted primarily from the decrease in the market price of our common stock in relation to the exercise price of the warrants. During the nine months ended December 31, 2013, we recognized non-cash gains of $3,823,700 related to the net decrease in the estimated fair value of the warrant liabilities since March 31, 2013, which resulted primarily from the decrease in the market price of our common stock in relation to the exercise price of the warrants.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described more fully in Note 7, </w:t>
      </w:r>
      <w:r>
        <w:rPr>
          <w:rFonts w:ascii="Arial" w:cs="Arial" w:eastAsia="Arial" w:hAnsi="Arial"/>
          <w:sz w:val="18"/>
          <w:szCs w:val="18"/>
          <w:i w:val="1"/>
          <w:iCs w:val="1"/>
          <w:color w:val="auto"/>
        </w:rPr>
        <w:t>Convertible Promissory Notes and Other Notes Payable</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 the Condensed Consolidated Financial Statements included in Item 1 of this Quarterly Report on Form 10-Q,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8,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 the Condensed Consolidated Financial Statements included in Item 1 of this Quarterly Report on Form 10-Q.</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described more completely in Note 7,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to the Condensed Consolidated Financial Statements included in Part 1, Item 1 of this Quarterly Report on Form 10-Q,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w:t>
      </w:r>
      <w:r>
        <w:rPr>
          <w:rFonts w:ascii="Arial" w:cs="Arial" w:eastAsia="Arial" w:hAnsi="Arial"/>
          <w:sz w:val="17"/>
          <w:szCs w:val="17"/>
          <w:i w:val="1"/>
          <w:iCs w:val="1"/>
          <w:color w:val="auto"/>
        </w:rPr>
        <w:t>Closing Date</w:t>
      </w:r>
      <w:r>
        <w:rPr>
          <w:rFonts w:ascii="Arial" w:cs="Arial" w:eastAsia="Arial" w:hAnsi="Arial"/>
          <w:sz w:val="17"/>
          <w:szCs w:val="17"/>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in Note 8, </w:t>
      </w:r>
      <w:r>
        <w:rPr>
          <w:rFonts w:ascii="Arial" w:cs="Arial" w:eastAsia="Arial" w:hAnsi="Arial"/>
          <w:sz w:val="18"/>
          <w:szCs w:val="18"/>
          <w:i w:val="1"/>
          <w:iCs w:val="1"/>
          <w:color w:val="auto"/>
        </w:rPr>
        <w:t>Capital Stock</w:t>
      </w:r>
      <w:r>
        <w:rPr>
          <w:rFonts w:ascii="Arial" w:cs="Arial" w:eastAsia="Arial" w:hAnsi="Arial"/>
          <w:sz w:val="18"/>
          <w:szCs w:val="18"/>
          <w:color w:val="auto"/>
        </w:rPr>
        <w:t>, to the Condensed Consolidated Financial Statements included in Part 1, Item 1 of this Quarterly Report on Form 10-Q, 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recognized loss of $134,900 related to the settlement.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Since our inception in May 1998 through December 31, 2014, we have financed our operations and technology acquisitions primarily through the issuance and sale of equity and debt securities, including convertible promissory notes and short-term promissory notes, for cash proceeds of approximately $28.0 million. In addition, we have obtained an aggregate of approximately $16.4 million in government research grant awards, strategic collaboration payments and other revenues. Additionally, we have issued equity securities with an approximate value at issuance of $13.0 million in non-cash settlements of certain liabilities, including liabilities for professional services rendered to us or as compensation for such services. At December 31, 2014, we did not have sufficient cash and cash equivalents to enable us to fund our planned operations, including expected cash expenditures of approximately $7.5 million through the next twelve months. In April 2013, we entered into a Securities Purchase Agreement (as amended,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with Autilion AG, a company organized and existing under the laws of Switzerland (</w:t>
      </w:r>
      <w:r>
        <w:rPr>
          <w:rFonts w:ascii="Arial" w:cs="Arial" w:eastAsia="Arial" w:hAnsi="Arial"/>
          <w:sz w:val="16"/>
          <w:szCs w:val="16"/>
          <w:i w:val="1"/>
          <w:iCs w:val="1"/>
          <w:color w:val="auto"/>
        </w:rPr>
        <w:t>Autilion</w:t>
      </w:r>
      <w:r>
        <w:rPr>
          <w:rFonts w:ascii="Arial" w:cs="Arial" w:eastAsia="Arial" w:hAnsi="Arial"/>
          <w:sz w:val="16"/>
          <w:szCs w:val="16"/>
          <w:color w:val="auto"/>
        </w:rPr>
        <w:t>), under which Autilion remains contractually obligated to purchase an aggregate of 3.6 million restricted shares of our common stock at a purchase price of $10.00 per share for aggregate cash proceeds to us of $36.0 million (</w:t>
      </w:r>
      <w:r>
        <w:rPr>
          <w:rFonts w:ascii="Arial" w:cs="Arial" w:eastAsia="Arial" w:hAnsi="Arial"/>
          <w:sz w:val="16"/>
          <w:szCs w:val="16"/>
          <w:i w:val="1"/>
          <w:iCs w:val="1"/>
          <w:color w:val="auto"/>
        </w:rPr>
        <w:t>Autilion Financing</w:t>
      </w:r>
      <w:r>
        <w:rPr>
          <w:rFonts w:ascii="Arial" w:cs="Arial" w:eastAsia="Arial" w:hAnsi="Arial"/>
          <w:sz w:val="16"/>
          <w:szCs w:val="16"/>
          <w:color w:val="auto"/>
        </w:rPr>
        <w:t xml:space="preserve"> or </w:t>
      </w:r>
      <w:r>
        <w:rPr>
          <w:rFonts w:ascii="Arial" w:cs="Arial" w:eastAsia="Arial" w:hAnsi="Arial"/>
          <w:sz w:val="16"/>
          <w:szCs w:val="16"/>
          <w:i w:val="1"/>
          <w:iCs w:val="1"/>
          <w:color w:val="auto"/>
        </w:rPr>
        <w:t>Private Financing</w:t>
      </w:r>
      <w:r>
        <w:rPr>
          <w:rFonts w:ascii="Arial" w:cs="Arial" w:eastAsia="Arial" w:hAnsi="Arial"/>
          <w:sz w:val="16"/>
          <w:szCs w:val="16"/>
          <w:color w:val="auto"/>
        </w:rPr>
        <w:t>). To date, Autilion has completed only a nominal closing under the Securities Purchase Agreement. Autilion is currently in default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Purchase Agreement. Substantial doubt exists that the Autilion Financing will close, and therefore no assurances can be provided that Autilion will complete an additional closing under the Securities Purchase Agreement. We currently anticipate that will need to obtain approximately $10 million to $15 million in financing over the course of the next twelve months to execute our business plan.</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continue to meet our cash needs and fund our working capital requirements after December 31, 2014 and prior to the completion of a material financing, through February 13, 2015, we entered into securities purchase agreements with accredited investors and institutions pursuant to which we sold to such accredited investors in private placement transactions units, for aggregate cash proceeds of $768,500, consisting of: (i) 10% convertible 2014 Unit Notes maturing on March 31, 2015 in the aggregate face amount of $768,500, including an aggregate of $500,000 of such 2014 Unit Notes to Platinum; (ii) an aggregate of 128,350 shares of our restricted common stock, including 62,500 shares to Platinum; and (iii) warrants exercisable through December 31, 2016 to purchase an aggregate of 128,350 restricted shares of our common stock at an exercise price of $10.00 per share, including warrants to purchase 62,500 restricted shares of our common stock issued to Platinum.</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that our participation in potential strategic collaborations, including potential transactions involving AV-101, such as our February 2015 Cooperative Research and Development Agreement with the U.S. Natural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for an NIH-funded and sponsored Phase 2 study of AV-101 in major depressive disorder, may provide resources to support a portion of our future cash needs and working capital requirements. If and as necessary, we may supplement the proceeds from a material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2014 and as subsequently amended in September 2014, we entered into an Amended and Restated Note Conversion Agreement and Warrant Amendment (</w:t>
      </w:r>
      <w:r>
        <w:rPr>
          <w:rFonts w:ascii="Arial" w:cs="Arial" w:eastAsia="Arial" w:hAnsi="Arial"/>
          <w:sz w:val="18"/>
          <w:szCs w:val="18"/>
          <w:i w:val="1"/>
          <w:iCs w:val="1"/>
          <w:color w:val="auto"/>
        </w:rPr>
        <w:t>Amendment</w:t>
      </w:r>
      <w:r>
        <w:rPr>
          <w:rFonts w:ascii="Arial" w:cs="Arial" w:eastAsia="Arial" w:hAnsi="Arial"/>
          <w:sz w:val="18"/>
          <w:szCs w:val="18"/>
          <w:color w:val="auto"/>
        </w:rPr>
        <w:t>) with Platinum, wherein Platinum agreed to convert into our unregistered equity securities all Senior Secured Convertible Promissory Notes (</w:t>
      </w:r>
      <w:r>
        <w:rPr>
          <w:rFonts w:ascii="Arial" w:cs="Arial" w:eastAsia="Arial" w:hAnsi="Arial"/>
          <w:sz w:val="18"/>
          <w:szCs w:val="18"/>
          <w:i w:val="1"/>
          <w:iCs w:val="1"/>
          <w:color w:val="auto"/>
        </w:rPr>
        <w:t>Senior Notes</w:t>
      </w:r>
      <w:r>
        <w:rPr>
          <w:rFonts w:ascii="Arial" w:cs="Arial" w:eastAsia="Arial" w:hAnsi="Arial"/>
          <w:sz w:val="18"/>
          <w:szCs w:val="18"/>
          <w:color w:val="auto"/>
        </w:rPr>
        <w:t>) currently held by Platinum, in the aggregate amount of approximately $4.3 million at December 31, 2014, including accrued but unpaid interest thereon (</w:t>
      </w:r>
      <w:r>
        <w:rPr>
          <w:rFonts w:ascii="Arial" w:cs="Arial" w:eastAsia="Arial" w:hAnsi="Arial"/>
          <w:sz w:val="18"/>
          <w:szCs w:val="18"/>
          <w:i w:val="1"/>
          <w:iCs w:val="1"/>
          <w:color w:val="auto"/>
        </w:rPr>
        <w:t>Outstanding Balance</w:t>
      </w:r>
      <w:r>
        <w:rPr>
          <w:rFonts w:ascii="Arial" w:cs="Arial" w:eastAsia="Arial" w:hAnsi="Arial"/>
          <w:sz w:val="18"/>
          <w:szCs w:val="18"/>
          <w:color w:val="auto"/>
        </w:rPr>
        <w:t>), upon our consummation on or before October 31, 2014 (</w:t>
      </w:r>
      <w:r>
        <w:rPr>
          <w:rFonts w:ascii="Arial" w:cs="Arial" w:eastAsia="Arial" w:hAnsi="Arial"/>
          <w:sz w:val="18"/>
          <w:szCs w:val="18"/>
          <w:i w:val="1"/>
          <w:iCs w:val="1"/>
          <w:color w:val="auto"/>
        </w:rPr>
        <w:t>Closing Date</w:t>
      </w:r>
      <w:r>
        <w:rPr>
          <w:rFonts w:ascii="Arial" w:cs="Arial" w:eastAsia="Arial" w:hAnsi="Arial"/>
          <w:sz w:val="18"/>
          <w:szCs w:val="18"/>
          <w:color w:val="auto"/>
        </w:rPr>
        <w:t>), of either a private financing or a public offering that would result in gross proceeds to us of at least $10.0 million or more. We have not extended the applicability of this Amendment beyond October 31, 2014. Unless we reach a new agreement with Platinum regarding the conversion contemplated by the Amendment , we may be required to repay in cash the Senior Notes otherwise maturing between October 2015 and July 2016, which would be detrimental to our liquidity and would increase our intermediate-term cash requirements.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2013 Amended Unit Notes and the 2014 Unit Notes and related accrued interest, in an aggregate amount of approximately $4.0 million, mature at March 31, 2015. Although these notes may be converted into restricted shares of our common stock at or before maturity, the holders have the right to request repayment in cash at maturity. If we are unable to complete a substantial financing prior to the maturity of the Unit Notes, and should the holders of a significant amount of the Unit Notes elect repayment in cash rather than conversion of their notes into shares of our common stock, then we may lack adequate cash resources to repay the Unit Notes in full on a timely basis.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the Autilion Financing is completed in an amount exceeding $15.0 million, and we issue more than 1.5 million shares of our restricted common stock in connection with such funding, Autilion will control in excess of 50% of our issued and outstanding common stock, resulting in a change in control of the Company. In the event that we consummate either the Autilion Financing or a substantial alternative financing involving the issuance of shares of our common stock, our existing stockholders will experience significant dilution.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top w:val="single" w:sz="8" w:color="CCEEFF"/>
            </w:tcBorders>
            <w:gridSpan w:val="2"/>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6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340" w:type="dxa"/>
            <w:vAlign w:val="bottom"/>
            <w:gridSpan w:val="3"/>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40" w:type="dxa"/>
            <w:vAlign w:val="bottom"/>
            <w:gridSpan w:val="3"/>
          </w:tcPr>
          <w:p>
            <w:pPr>
              <w:spacing w:after="0"/>
              <w:rPr>
                <w:sz w:val="20"/>
                <w:szCs w:val="20"/>
                <w:color w:val="auto"/>
              </w:rPr>
            </w:pPr>
            <w:r>
              <w:rPr>
                <w:rFonts w:ascii="Arial" w:cs="Arial" w:eastAsia="Arial" w:hAnsi="Arial"/>
                <w:sz w:val="18"/>
                <w:szCs w:val="18"/>
                <w:color w:val="auto"/>
              </w:rPr>
              <w:t>We have no off-balance sheet arrangements.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5480" w:type="dxa"/>
            <w:vAlign w:val="bottom"/>
          </w:tcPr>
          <w:p>
            <w:pPr>
              <w:ind w:left="300"/>
              <w:spacing w:after="0"/>
              <w:rPr>
                <w:sz w:val="20"/>
                <w:szCs w:val="20"/>
                <w:color w:val="auto"/>
              </w:rPr>
            </w:pPr>
            <w:r>
              <w:rPr>
                <w:rFonts w:ascii="Arial" w:cs="Arial" w:eastAsia="Arial" w:hAnsi="Arial"/>
                <w:sz w:val="18"/>
                <w:szCs w:val="18"/>
                <w:b w:val="1"/>
                <w:bCs w:val="1"/>
                <w:color w:val="auto"/>
              </w:rPr>
              <w:t>CONTROLS AND PROCEDURES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involved in any legal proceedings nor do we know of any legal proceedings which are threatened or contemplated that would have a material adverse impact on our financial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of the other information in this Quarterly Report on Form 10-Q and in our Annual Report on Form 10-K filed with the Securities and Exchange Commission for the fiscal year ended March 31, 2014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Strategy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7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660" w:right="40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future success is highly dependent upon our ability to successfully develop AV-101 and produce proprietary new chemical entities (NCEs) using our stem cell technology, human cells derived from stem cells, our proprietary human cell-based bioassay systems and medicinal chemistry, and we cannot provide any assurance that we will successfully develop AV-101 or NCEs, or that, if produced, AV-101 or any drug rescue-related NCEs will be successfully commercialized.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drug rescue NCE may not be accepted as safe and effective by regulatory authorities, patients, the medical community or third-party payors.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sales, marketing or distribution experience. We may seek to collaborate with others to develop and commercialize AV-101, drug rescue NCEs and other future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6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70" w:lineRule="exact"/>
        <w:rPr>
          <w:sz w:val="20"/>
          <w:szCs w:val="20"/>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or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w:t>
      </w:r>
    </w:p>
    <w:p>
      <w:pPr>
        <w:spacing w:after="0" w:line="170"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Our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internal studies have not been subjected external peer review or validation.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Our internal studies conducted to correlate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results with reported clinical results of reference compounds, and our ability to use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to predict the cardiac effects, both toxic and nontoxic, of drug rescue candidates, have not been subjected to external peer review or validation. It is possible, therefore, that the results we have obtained from our internal validation studies may not be replicable by external peer reviewers. We are currently focused on identifying and assessing drug rescue candidates available in the public domain. However, should we ever seek to license or acquire drug rescue candidates from third-parties in the future, and such third-parties are unable to replicate our results or do not have confidence in the capabilities of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it may be difficult for us to in-license or acquire from them certain drug rescue candidates which might be of interest to us in the future. In addition, such third-parties may conclude that their current screening models are better than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assay system and that granting a license to the drug rescue candidates we seek from them is not warranted.</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business will be adversely affected.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success is highly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have not yet fully validated LiverSafe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for potential drug rescue applications, and we may never do so.</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developed proprietary protocols for controlling the differentiation of human pluripotent stem cells and producing functional, mature, adult liver cells we believe are superior to primary (cadaver) hepatocytes used in in vitro testing. However, we have not yet fully validated our ability to use the human liver cells we produce for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to predict important biological effects, both toxic and nontoxic, of reference drugs, drug rescue candidates or drug 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drug discovery, drug rescue and regenerative medicine.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CardioSafe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and, if validated, LiverSafe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may not be meaningfully more predictive of the behavior of human cells than existing methods.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success of our drug rescue business is highly dependent, in the first instance,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in the second instance, if validated,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when validated,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will be more efficient or accurate at predicting the heart or liver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keep up with rapid technological changes in our field, we will be unable to operate profitably.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there can be no assurance that others are not also working toward or involved in such objectives, and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than we can to new opportunities. In light of these advantages, even if our technology is effective in producing proprietary drug rescue NCEs, potential development partners might prefer NCEs available from others or develop their own NCEs in lieu of licensing or purchasing our drug rescue NCEs. We may not be able to compete effectively against these organizations. Our failure to compete effectively could materially and adversely affect our business, financial condition and results of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 candidates before, or more successfully, than we do.</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future success depends on our ability to demonstrate and maintain a competitive advantage with respect to our development of AV-101 and our design, production, development and commercialization of proprietary drug rescue NCEs. Our competitors may succeed in developing product candidates for the same indications we are pursuing before we do, obtaining regulatory approval for competing products or gaining acceptance of their products within the same markets that we are targeting for AV-101 and any drug rescue NCEs we produce. If, either on our own or in collaboration with a strategic partner, we are not "first to market" with AV-101 or one of our drug rescue NCEs, our competitive position could be compromised because it may be more difficult for us or our partner to obtain marketing approval for AV-101 or our drug rescue NCEs and successfully market it as a second competitor. We expect that AV-101 and any drug rescue NCEs that we commercialize, either internally or in collaboration with others, will compete with products from other companies in the biotechnology and pharmaceutical industries.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70" w:lineRule="exact"/>
        <w:rPr>
          <w:sz w:val="20"/>
          <w:szCs w:val="20"/>
          <w:color w:val="auto"/>
        </w:rPr>
      </w:pPr>
    </w:p>
    <w:p>
      <w:pPr>
        <w:ind w:left="660" w:right="10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develop, produce and commercialize, either on our own or with collaborators, products that are superior to other products in development or in the market;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qualified scientific, medical, sales and marketing and commercial personnel or collaborators;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AV-101 and any drug rescue NCEs we produce; and</w:t>
      </w:r>
    </w:p>
    <w:p>
      <w:pPr>
        <w:spacing w:after="0" w:line="225"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either on our own or in collaboration with strategic partners, required regulatory approvals for AV-101 and any drug rescue NCEs we may produce.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Established competitors may invest heavily to quickly discover and develop novel compounds that could make AV-101 and any of our proprietary drug rescue NCEs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companies, academic institutions, government agencies and other public and private research organizations are conducting research, seeking patent protection and establishing collaborative arrangements for research, development and marketing of assays similar to ours, and proprietary drug rescue NCEs we may produce, as well as AV-101. These companies and institutions also compete with us in recruiting and retaining qualified scientific and management personnel, obtaining collaborators and licensees, as well as in acquiring technologies complementary to our programs.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foregoing, our competitors may develop more effective or more affordable products, or achieve earlier patent protection or product commercialization than we will. Most significantly, competitive products may render any technologies and product candidates we develop obsolete, which would negatively impact our business and ability to sustain operations.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respect to drug rescue candidates not otherwise available to us in the public domain,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drug rescue candidates. These established companies have a competitive advantage over us due to their size, cash resources and greater clinical development and commercialization capabilities. In addition, companies that perceive us to be a competitor may be unwilling to sell or license drug rescue candidate rights to us should we ever seek them. We have limited experience in negotiating licenses to drug candidates and there can be no assurances that we will be able to acquire or obtain licenses to drug rescue candidates in the future, on commercially reasonable terms, if at all, should we ever decide to pursue any such third-party licenses. If we are unable to acquire or obtain licenses to drug rescue candidates we seek, our business may be adversely affected.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of our ongoing and planned research and development programs involve the use of human cells derived from our controlled differentiation of human embryonic stem cells (</w:t>
      </w:r>
      <w:r>
        <w:rPr>
          <w:rFonts w:ascii="Arial" w:cs="Arial" w:eastAsia="Arial" w:hAnsi="Arial"/>
          <w:sz w:val="17"/>
          <w:szCs w:val="17"/>
          <w:i w:val="1"/>
          <w:iCs w:val="1"/>
          <w:color w:val="auto"/>
        </w:rPr>
        <w:t>hESC</w:t>
      </w:r>
      <w:r>
        <w:rPr>
          <w:rFonts w:ascii="Arial" w:cs="Arial" w:eastAsia="Arial" w:hAnsi="Arial"/>
          <w:sz w:val="17"/>
          <w:szCs w:val="17"/>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fertilization (</w:t>
      </w:r>
      <w:r>
        <w:rPr>
          <w:rFonts w:ascii="Arial" w:cs="Arial" w:eastAsia="Arial" w:hAnsi="Arial"/>
          <w:sz w:val="17"/>
          <w:szCs w:val="17"/>
          <w:i w:val="1"/>
          <w:iCs w:val="1"/>
          <w:color w:val="auto"/>
        </w:rPr>
        <w:t>IVF</w:t>
      </w:r>
      <w:r>
        <w:rPr>
          <w:rFonts w:ascii="Arial" w:cs="Arial" w:eastAsia="Arial" w:hAnsi="Arial"/>
          <w:sz w:val="17"/>
          <w:szCs w:val="17"/>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7"/>
          <w:szCs w:val="17"/>
          <w:i w:val="1"/>
          <w:iCs w:val="1"/>
          <w:color w:val="auto"/>
        </w:rPr>
        <w:t>(iPSC</w:t>
      </w:r>
      <w:r>
        <w:rPr>
          <w:rFonts w:ascii="Arial" w:cs="Arial" w:eastAsia="Arial" w:hAnsi="Arial"/>
          <w:sz w:val="17"/>
          <w:szCs w:val="17"/>
          <w:color w:val="auto"/>
        </w:rPr>
        <w:t>s), or our plans to pursue studies involving human cells derived from iPSCs, because their derivation does not involve the use of embryonic tissues.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 both hESCs and iPSCs to produce human cells for our customized in vitro assays for drug discovery and drug rescue purposes. However, we anticipate that our future exploratory research and development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AV-101, drug rescue NCEs and any additional commercial applications of our stem cell technology .</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senior management,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and potential expansions and applications of our stem cell technology platform, including our production and assessment of potential drug recuse NCEs or disrupt our administrative functions.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we seek to advance development of AV-101 for MDD and other CNS-related conditions, as well as cell production, assay development, drug discovery, drug rescue, and drug rescue NCE development programs,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develop AV-101, drug rescue NCEs or regenerative medicine-related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AV-101, any drug rescue NCE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To the extent we enter into licensing or collaboration agreements to develop and commercialize our product candidates, including AV-101 and drug rescue NCEs, our dependence on such relationships may adversely affect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AV-101 and any drug rescue NCEs, may depend on our ability to enter into such agreements with third-party collaborators. We face significant competition in seeking 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cannot provide any assurance that our future collaborations will not terminate development before achievement of revenue-generating milestones or market approval, that our future collaborative arrangements will result in successful development and commercialization of AV-101 or any drug rescue NCEs, or that we will derive any revenues from such future arrangements.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188" w:lineRule="exact"/>
        <w:rPr>
          <w:sz w:val="20"/>
          <w:szCs w:val="20"/>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65"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w:t>
      </w:r>
      <w:r>
        <w:rPr>
          <w:rFonts w:ascii="Arial" w:cs="Arial" w:eastAsia="Arial" w:hAnsi="Arial"/>
          <w:sz w:val="17"/>
          <w:szCs w:val="17"/>
          <w:i w:val="1"/>
          <w:iCs w:val="1"/>
          <w:color w:val="auto"/>
        </w:rPr>
        <w:t>HIPAA</w:t>
      </w:r>
      <w:r>
        <w:rPr>
          <w:rFonts w:ascii="Arial" w:cs="Arial" w:eastAsia="Arial" w:hAnsi="Arial"/>
          <w:sz w:val="17"/>
          <w:szCs w:val="17"/>
          <w:color w:val="auto"/>
        </w:rPr>
        <w:t>), as amended by the Health Information Technology for Economic and Clinical Health Act (</w:t>
      </w:r>
      <w:r>
        <w:rPr>
          <w:rFonts w:ascii="Arial" w:cs="Arial" w:eastAsia="Arial" w:hAnsi="Arial"/>
          <w:sz w:val="17"/>
          <w:szCs w:val="17"/>
          <w:i w:val="1"/>
          <w:iCs w:val="1"/>
          <w:color w:val="auto"/>
        </w:rPr>
        <w:t>HITECH</w:t>
      </w:r>
      <w:r>
        <w:rPr>
          <w:rFonts w:ascii="Arial" w:cs="Arial" w:eastAsia="Arial" w:hAnsi="Arial"/>
          <w:sz w:val="17"/>
          <w:szCs w:val="17"/>
          <w:color w:val="auto"/>
        </w:rPr>
        <w:t>),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social and ethical concerns surrounding the use of iPSCs, biological materials and genetic information could impair our operations.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human cells and human cell-based bioassay systems, including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intend to rely on third-party contract manufacturers to produce AV-101 and drug rescue NCEs for development purposes and, if AV-101 and/or any drug rescue NCEs is/are approved, to produce commercial supplies of those and any other approved product candidates we may develop. Any failure by a third-party manufacturer to produce for us supplies of our product candidates may delay or impair our ability to initiate or complete clinical trials, commercialize our product candidates, or continue to sell any products we commercialize.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currently own or operate any manufacturing facilities, and we lack sufficient internal staff to produce product candidate supplies ourselves. As a result, we have worked with, and plan to continue to work with, third-party contract manufacturers to produce sufficient quantities of our product candidates, including AV-101 and any drug rescue NCEs we may develop, for future preclinical and clinical testing and commercialization, as the case may be. If we are unable to arrange for such a third-party manufacturing source or sources, or fail to do so on commercially reasonable terms or on a timely basis, we or our potential strategic partner may not be able to successfully produce, develop, and commercialize our product candidates or may be delayed in doing so.</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AV-101 and drug rescue NCEs we may develop.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Production, Development, and Regulatory Approval of Product Candidates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Even if we are able to continue clinical development of AV-101, or commence development of any drug rescue NCEs, we may encounter considerable delays and/or expend considerable resources without producing a marketable product capable of generating revenue.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never generate revenues from sales of AV-101, any drug rescue NCE or any other product because of a variety of risks inherent in our business, including the following:</w:t>
      </w:r>
    </w:p>
    <w:p>
      <w:pPr>
        <w:spacing w:after="0" w:line="170" w:lineRule="exact"/>
        <w:rPr>
          <w:sz w:val="20"/>
          <w:szCs w:val="20"/>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clinical trials may not demonstrate the safety and efficacy of AV-101, any drug rescue NCE, other new drug candidate, biological candidate or regenerative medicine product candidate;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nonclinical or clinical trials may be delayed, or costs of nonclinical or clinical trials may exceed anticipated amounts;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regulatory approval of AV-101, any drug rescue NCE, other new drug candidate, biological candidate or regenerative medicine product candidate; or we may experience delays in obtaining any such approval;</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manufacture, or have manufactured for us, AV-101, any drug rescue NCE</w:t>
      </w:r>
      <w:r>
        <w:rPr>
          <w:rFonts w:ascii="Arial" w:cs="Arial" w:eastAsia="Arial" w:hAnsi="Arial"/>
          <w:sz w:val="18"/>
          <w:szCs w:val="18"/>
          <w:i w:val="1"/>
          <w:iCs w:val="1"/>
          <w:color w:val="auto"/>
        </w:rPr>
        <w:t>s</w:t>
      </w:r>
      <w:r>
        <w:rPr>
          <w:rFonts w:ascii="Arial" w:cs="Arial" w:eastAsia="Arial" w:hAnsi="Arial"/>
          <w:sz w:val="18"/>
          <w:szCs w:val="18"/>
          <w:color w:val="auto"/>
        </w:rPr>
        <w:t>, other new drug candidates, biological candidates or regenerative medicine product candidates economically, timely and on a commercial scale;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and any licensees of ours may not be able to successfully market AV-101, any drug rescue NCE</w:t>
      </w:r>
      <w:r>
        <w:rPr>
          <w:rFonts w:ascii="Arial" w:cs="Arial" w:eastAsia="Arial" w:hAnsi="Arial"/>
          <w:sz w:val="18"/>
          <w:szCs w:val="18"/>
          <w:i w:val="1"/>
          <w:iCs w:val="1"/>
          <w:color w:val="auto"/>
        </w:rPr>
        <w:t>s</w:t>
      </w:r>
      <w:r>
        <w:rPr>
          <w:rFonts w:ascii="Arial" w:cs="Arial" w:eastAsia="Arial" w:hAnsi="Arial"/>
          <w:sz w:val="18"/>
          <w:szCs w:val="18"/>
          <w:color w:val="auto"/>
        </w:rPr>
        <w:t>, other new drug candidates, biological candidates or regenerative medicine product candidates;</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physicians may not prescribe our products, or patients or third party payors may not accept our AV-101 or </w:t>
      </w:r>
      <w:r>
        <w:rPr>
          <w:rFonts w:ascii="Arial" w:cs="Arial" w:eastAsia="Arial" w:hAnsi="Arial"/>
          <w:sz w:val="18"/>
          <w:szCs w:val="18"/>
          <w:i w:val="1"/>
          <w:iCs w:val="1"/>
          <w:color w:val="auto"/>
        </w:rPr>
        <w:t>Drug Rescue Variants</w:t>
      </w:r>
      <w:r>
        <w:rPr>
          <w:rFonts w:ascii="Arial" w:cs="Arial" w:eastAsia="Arial" w:hAnsi="Arial"/>
          <w:sz w:val="18"/>
          <w:szCs w:val="18"/>
          <w:color w:val="auto"/>
        </w:rPr>
        <w:t>, other drug candidates, biological candidates or regenerative medicine product candidates;</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may have proprietary rights which prevent us from marketing AV-101, drug rescue NCEs, other new drug candidates, biological candidates or regenerative medicine product candidates;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competitors may sell similar, superior or lower-cost products.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we are able to continue clinical development of AV-101, or commence development of any drug rescue NCE, our or our potential collaborator’s future clinical trials may be delayed or halted for many reasons, including:</w:t>
      </w:r>
    </w:p>
    <w:p>
      <w:pPr>
        <w:spacing w:after="0" w:line="170" w:lineRule="exact"/>
        <w:rPr>
          <w:sz w:val="20"/>
          <w:szCs w:val="20"/>
          <w:color w:val="auto"/>
        </w:rPr>
      </w:pPr>
    </w:p>
    <w:p>
      <w:pPr>
        <w:jc w:val="both"/>
        <w:ind w:left="6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 reaching agreement on acceptable terms with prospective contract manufacturing organizations (</w:t>
      </w:r>
      <w:r>
        <w:rPr>
          <w:rFonts w:ascii="Arial" w:cs="Arial" w:eastAsia="Arial" w:hAnsi="Arial"/>
          <w:sz w:val="18"/>
          <w:szCs w:val="18"/>
          <w:i w:val="1"/>
          <w:iCs w:val="1"/>
          <w:color w:val="auto"/>
        </w:rPr>
        <w:t>CMO</w:t>
      </w:r>
      <w:r>
        <w:rPr>
          <w:rFonts w:ascii="Arial" w:cs="Arial" w:eastAsia="Arial" w:hAnsi="Arial"/>
          <w:sz w:val="18"/>
          <w:szCs w:val="18"/>
          <w:color w:val="auto"/>
        </w:rPr>
        <w:t>s),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third-party contractors, such as CROs and CMOs, or investigators to comply with regulatory requirements or otherwise meet their contractual obligations in a timely manner;</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 in obtaining the necessary approvals from regulators or institutional review boards (IRBs) in order to commence a clinical trial at a prospective trial site;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manufacture, or obtain from third parties, a supply of drug product sufficient to complete preclinical studies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requiring alterations to study designs, preclinical strategy or manufacturing plans;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patient enrollment, and variability in the number and types of patients available for clinical trials, or high drop-out rates of patients;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protocols or dropping out of a trial and/or the inability to add new clinical trial sites;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effectiveness of our product candidates during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safety issues, including serious adverse events associated with our product candidates and patients' exposure to unacceptable health risks;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one of our product candidates targets, such that we are not "first to market" with our product candidate;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8"/>
          <w:szCs w:val="18"/>
          <w:i w:val="1"/>
          <w:iCs w:val="1"/>
          <w:color w:val="auto"/>
        </w:rPr>
        <w:t>DSMB</w:t>
      </w:r>
      <w:r>
        <w:rPr>
          <w:rFonts w:ascii="Arial" w:cs="Arial" w:eastAsia="Arial" w:hAnsi="Arial"/>
          <w:sz w:val="18"/>
          <w:szCs w:val="18"/>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if we or our collaborators are able to complete a clinical trial of AV-101 or other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BLA or NDA. The FDA may require additional clinical trials as a condition for approving our product candidates.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or our collaborator experience delays in the completion of, or termination of, any clinical trial of AV-101 or any other product candidate, the commercial prospects of AV-101 or our product candidates, as the case may be, will be harmed, and our ability to commence product sales and generate product revenues from AV-101 or any of our product candidates will be delayed. In addition, any delays in completing our clinical trials will increase our costs and slow our AV-101 or other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preclinical studies and early clinical trials of AV-101 or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8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as well as any future strategic partner, will need to receive regulatory approval for any new drug candidate, including AV-101, and any drug rescue NCE, biological candidate or regenerative medicine product, before it may be marketed and distributed, and such regulatory approval may never occur.</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future success depends heavily on AV-101 and our ability to use stem cell technology, human cells derived from stem cells, proprietary human cell-based bioassay systems, especially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 medicinal chemistry to produce drug rescue NCEs and, develop, obtain regulatory approval for, and commercialize AV-101 and any such drug rescue NCEs, on our own or in strategic collaborations. We have not previously submitted a new drug application or NDA, to the FDA, or similar drug approval filings to comparable foreign authorities, for any product candidate. We cannot be certain that AV-101 or any other product candidate will be successful in clinical trials or receive regulatory approval. Further, AV-101 and other product candidates may not receive regulatory approval even if they are successful in clinical trials. If we do not receive regulatory approvals for AV-101 or other product candidates, we may not be able to continue our operations. Even if we successfully obtain regulatory approvals to market AV-101 and/or one or more drug rescue NCEs or other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Regulatory approval will require, among numerous other things, completing carefully controlled and well-designed clinical trials demonstrating the safety and efficacy of each new product candidate. This process is lengthy, expensive and uncertain. If we encounter delays in the regulatory approval process beyond our control, we may not be able to develop product candidates, raise capital, expand our business or continue our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AV-101 or any drug rescue NCE or other product candidates,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regulatory approvals that we or our potential strategic partners receive for AV-101, any drug rescue NCE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warning letters or holds on clinical trials;</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strategic partners, or suspension or revocation of product license approvals;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fines or the imposition of other civil or criminal penalties.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incurred significant net losses in each fiscal year since our inception in 1998, including net losses of $3.0 million and $12.9 million during the fiscal years ending March 31, 2014 and 2013, respectively. As of December 31, 2014, we had an accumulated deficit of $78.3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we expect that our general and administrative expenses will increase in the event we achieve our goal of obtaining a listing on a national securities exchange. The net losses we incur may fluctuate from quarter to quarter.</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successfully develop, out-license, sell or obtain regulatory approval for our future product candidates and effectively manufacture, market and sell, or collaborate to accomplish such activities,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As of December 31, 2014, we had outstanding indebtedness in the aggregate principal amount of approximately $11.8 million, including approximately $9.5 million that may be converted into, exchanged for, or is payable with, our equity securities. Unless we are able to convert such indebtedness into our equity securities, according to existing agreements or otherwise restructure such indebtedness, we may be unable to pay up to approximately $7.2 million of such indebtedness when due in the next twelve months.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2014, we had outstanding indebtedness in the aggregate principal amount of approximately $11.8 million, including approximately $9.5 million of promissory notes that may be converted into or exchanged for our equity securities, or extinguished upon the exercise of warrants to purchase shares of our common stock associated with certain of such indebtedness. Up to approximately $7.2 million of our outstanding indebtedness is due or will become due from time to time during the next 12 months, to the extent it is not otherwise (i) restructured or (ii) converted into our equity securities, or otherwise in accordance with certain agreements evidencing, or related to, such indebtedness. No assurances can be given that such conversions, exchanges or extinguishment of indebtedness will occur within the next twelve months, or at all. In the event our indebtedness is not restructured or exchanged or converted into our equity securities, we cannot assure you that we will generate sufficient revenue to repay this indebtedness in full when due. Unless we are able to restructure the terms of such indebtedness, we may be required to raise additional capital through debt and/or equity financing to continue our operations. No assurances can be given that any such financing will be available to us on favorable terms, if at all. Our inability to obtain debt or equity financing in a timely manner and in amounts sufficient to fund our operations, if necessary, would have an immediate and substantial adverse impact on our business, financial condition or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auditors have expressed substantial doubt about our ability to continue as a going concern.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consolidated financial statements for the year ended March 31, 2014 included in our Annual Report on Form 10-K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generate a profit and/or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Since our inception, most of our resources have been dedicated to research and development of AV-101 and the drug rescue capabilities of our human pluripotent stem cell technology. In particular, we have expended substantial resources advancing AV-101 through preclinical development and Phase 1 safety studies and developing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and we will continue to expend substantial resources for the foreseeable future developing and commercializing AV-101, validating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no current source of revenue to sustain our present activities, and we do not expect to generate revenue until, and unless, we out-license or sell AV-101, a drug rescue NCE, customized drug discovery and predictive toxicology assays or other product candidates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in the event there exists favorable market conditions or strategic considerations even if we believe we have sufficient funds for our current or future operating plans.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or drug rescue NCEs;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studies;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commercialization activities if any of our product candidates are approved for sale, including marketing, sales and distribution costs;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 funds may not be available when we need them, on terms that are acceptable to us, or at all. If adequate funds are not available to us on a timely basis, we may be required to delay, limit, reduce or terminate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and may restrict our operations or require us to relinquish rights to our technologies or product candidates.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grants, which may not be available to us in the future.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generate sufficient taxable income we may not be able to use a material portion, or any portion, of our existing net operating losses (</w:t>
      </w:r>
      <w:r>
        <w:rPr>
          <w:rFonts w:ascii="Arial" w:cs="Arial" w:eastAsia="Arial" w:hAnsi="Arial"/>
          <w:sz w:val="18"/>
          <w:szCs w:val="18"/>
          <w:i w:val="1"/>
          <w:iCs w:val="1"/>
          <w:color w:val="auto"/>
        </w:rPr>
        <w:t>NOL</w:t>
      </w:r>
      <w:r>
        <w:rPr>
          <w:rFonts w:ascii="Arial" w:cs="Arial" w:eastAsia="Arial" w:hAnsi="Arial"/>
          <w:sz w:val="18"/>
          <w:szCs w:val="18"/>
          <w:color w:val="auto"/>
        </w:rPr>
        <w:t>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a future equity-based financing, series of equity-based financings or otherwise,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utilize certain technologies that are licensed to us, including key aspects of our stem ell technology platform. If the licensors terminate the licenses or fail to maintain or enforce the underlying patents, our competitive position and market share will be harmed, and our business could be adversely affected.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for non-payment of license fees, non-reimbursement of patent expenses, or otherwise,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license rights are further subject to the validity of the owner’s intellectual property rights. As such, we are dependent on our licensors to defend the viability of these patents and patent applications.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our license agreements are subject to termination by the licensor in specific circumstances, including non-payment of license fees, royalties and patent-related expenses.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or other amounts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through patents and other means is uncertain, and we could be unsuccessful in obtaining adequate patent protection for one or more of our product candidates.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companies in the life sciences and biopharmaceutical industries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be certain that patents we have filed or may file in the future will be issued or granted, or that issued or granted patents will not later be found to be invalid and/or unenforceable. The standards applied by the United States Patent and Trademark Office (</w:t>
      </w:r>
      <w:r>
        <w:rPr>
          <w:rFonts w:ascii="Arial" w:cs="Arial" w:eastAsia="Arial" w:hAnsi="Arial"/>
          <w:sz w:val="17"/>
          <w:szCs w:val="17"/>
          <w:i w:val="1"/>
          <w:iCs w:val="1"/>
          <w:color w:val="auto"/>
        </w:rPr>
        <w:t>US PTO</w:t>
      </w:r>
      <w:r>
        <w:rPr>
          <w:rFonts w:ascii="Arial" w:cs="Arial" w:eastAsia="Arial" w:hAnsi="Arial"/>
          <w:sz w:val="17"/>
          <w:szCs w:val="17"/>
          <w:color w:val="auto"/>
        </w:rPr>
        <w:t>)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of our proprietary products and technology.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As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one or more of our product candidates or technologies could be found invalid or unenforceable if challenged in court.</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PTO,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stem cell platform technology. Such a loss of patent protection could have a material adverse impact on our business.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Claims that any of our product candidates, including AV-101 or drug rescue NCEs, or, if commercialized, the sale or use of our products infringe the patent rights of third parties could result in costly litigation or could require substantial time and money to resolve, even if litigation is avoided.</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guarantee that our product candidates, the use of our product candidates, or our stem cell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could result in unfavorable outcomes that could limit our research and development activities and/or our ability to commercialize certain products.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Moreover, 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These confidentiality agreements may not effectively prevent disclosure of our technical know-how and proprietary information and may not provide an adequate remedy in the event of unauthorized disclosure of such technical know-how and proprietary information. In addition, others may independently discover trade secrets and proprietary information, and in such cases we would not be able to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product candidates but that are not covered by the claims of the patents that we may own or have exclusively licensed;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make the inventions covered by the issued patent or pending patent application that we may own or have exclusively licensed;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our licensors or any future strategic partners might not have been the first to file patent applications covering certain of our inventions;</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be able to develop technologies around some of our issued patents without infringing such patents;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obtain and enforce patent protection or other commercial protection for AV-101, the value of AV-101 will be harmed.</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protection of AV-101, our small molecule drug candidate for Major Depressive Disorder, neuropathic pain, epilepsy and other neurological conditions is important to our business. Our success related to AV-101 will depend in part on our or a potential collaborator’s ability to obtain and enforce potential patents, maintain our trade secrets and secure New Drug Product Exclusivity provided by the FDA under section 505(c)(3)(E) and 505(j)(5)(F) of the Federal Food, Drug, and Cosmetic Act.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filed three (3) international applications under the Patent Cooperation Treaty (</w:t>
      </w:r>
      <w:r>
        <w:rPr>
          <w:rFonts w:ascii="Arial" w:cs="Arial" w:eastAsia="Arial" w:hAnsi="Arial"/>
          <w:sz w:val="17"/>
          <w:szCs w:val="17"/>
          <w:i w:val="1"/>
          <w:iCs w:val="1"/>
          <w:color w:val="auto"/>
        </w:rPr>
        <w:t>PCT Applications</w:t>
      </w:r>
      <w:r>
        <w:rPr>
          <w:rFonts w:ascii="Arial" w:cs="Arial" w:eastAsia="Arial" w:hAnsi="Arial"/>
          <w:sz w:val="17"/>
          <w:szCs w:val="17"/>
          <w:color w:val="auto"/>
        </w:rPr>
        <w:t>) including, among others, claims regarding unit dose, method-of-use, and novel methods of synthesizing AV-101, we or others with whom we may collaborate for the development and commercialization of AV-101 may choose not to seek, or may be unable to obtain, patent protection in a country that could potentially be an important market for AV-101.</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ability to execute on our business plan will depend on the talents and efforts of highly skilled individuals with specialized training in the field of stem cell research and bioassay development, as well as medicinal chemistry and in vitro drug candidate screening and nonclinical and clinical development. Our future success depends on our ability to identify, hire and retain these highly skilled personnel during our development stage. We may hire additional highly skilled scientific and technical employees,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we became a publicly-traded company in May 2011, there has been a limited public market for shares of our common stock on the OTC Markets (</w:t>
      </w:r>
      <w:r>
        <w:rPr>
          <w:rFonts w:ascii="Arial" w:cs="Arial" w:eastAsia="Arial" w:hAnsi="Arial"/>
          <w:sz w:val="16"/>
          <w:szCs w:val="16"/>
          <w:i w:val="1"/>
          <w:iCs w:val="1"/>
          <w:color w:val="auto"/>
        </w:rPr>
        <w:t>OTCQB</w:t>
      </w:r>
      <w:r>
        <w:rPr>
          <w:rFonts w:ascii="Arial" w:cs="Arial" w:eastAsia="Arial" w:hAnsi="Arial"/>
          <w:sz w:val="16"/>
          <w:szCs w:val="16"/>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 Markets,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the extent to which investor interest in our company will lead to the development of a more active trading market on the OTC Markets,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 In addition, the trading price of our common stock may be highly volatile and could be subject to wide fluctuations in response to various factors, some of which are beyond our control. These factors include:</w:t>
      </w:r>
    </w:p>
    <w:p>
      <w:pPr>
        <w:spacing w:after="0" w:line="215" w:lineRule="exact"/>
        <w:rPr>
          <w:sz w:val="20"/>
          <w:szCs w:val="20"/>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248" w:lineRule="exact"/>
        <w:rPr>
          <w:rFonts w:ascii="Arial" w:cs="Arial" w:eastAsia="Arial" w:hAnsi="Arial"/>
          <w:sz w:val="16"/>
          <w:szCs w:val="16"/>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projections we may provide to the public, any changes to those projections, or our failure to meet those projections;</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in the biopharmaceutical and life sciences sectors;</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legislation and government regulation;</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our products;</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entering into, changing or terminating collaborative relationships;</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shares of our common stock or other securities eligible for future sale;</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report, there has been a limited public market for shares of our common stock on the OTC Markets. Future sales of substantial amounts of shares of our common stock, including shares issued upon the exchange of our Series A Preferred Stock, conversion of convertible promissory notes and exercise of outstanding options and warrants for common stock, in the public market, or the possibility of these sales occurring, could cause the prevailing market price for our common stock to fall or impair our ability to raise equity capital in the future.</w:t>
      </w:r>
    </w:p>
    <w:p>
      <w:pPr>
        <w:spacing w:after="0" w:line="193" w:lineRule="exact"/>
        <w:rPr>
          <w:sz w:val="20"/>
          <w:szCs w:val="20"/>
          <w:color w:val="auto"/>
        </w:rPr>
      </w:pPr>
    </w:p>
    <w:p>
      <w:pPr>
        <w:jc w:val="both"/>
        <w:ind w:firstLine="58"/>
        <w:spacing w:after="0" w:line="277"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of our current institutional stockholders and their respective affiliates own approximately 24% of our outstanding capital stock. Accordingly, these stockholders may continue to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trading market for our common stock may depend in part on the research and reports that securities or industry analysts publish about us and our business. Securities and industry analysts do not currently, and may never, publish research on our company. If no or too few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our company or fail to publish reports on us regularly, demand for our stock could decrease, which in turn could cause our stock price or trading volume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approval by our stockholders in October 2011, our Articles of Incorporation permit us to issue up to 10.0 million shares of preferred stock and our Board has authorized the issuance of 500,000 shares of Series A Preferred, all of which shares are currently issued and outstanding.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in accordance with GAAP. Our management is currently required to assess the effectiveness of our controls and we are required to disclose changes made in our internal control over financial reporting on a quarterly basis. As a “smaller reporting company,” however, our independent registered public accounting firm is not required to attest to the effectiveness of our internal control over financial reporting pursuant to Section 404 of the Sarbanes-Oxley Act of 2002. If we cannot continue to favorably assess the effectiveness of our internal control over financial reporting, or if our independent registered public accounting firm is unable to provide an unqualified attestation report on our internal controls whenever required in the future, investors could lose confidence in our financial information and the price of our common stock could decline. Additionally, should we cease to be a “smaller reporting company,” we will incur additional expense and management effort to facilitate the required attestation of the effectiveness of our internal control over financial reporting by our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Units in 2014 Unit Private Placement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Between November 26, 2014 and February 13, 2015, we entered into private placement subscription agreements with accredited investors pursuant to which we sold to such investors 2014 Units, as described more completely in Note 8,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in the Condensed Consolidated Financial Statements included in Item 1 of this Quarterly Report on Form 10-Q, consisting of (i) 2014 Unit Notes in the aggregate face amount of $943,500; (ii) an aggregate of 159,600 shares of 2014 Unit Stock; and (iii) 2014 Unit Warrants to purchase an aggregate of 159,600 restricted shares of our common stock at an exercise price of $10.00 per share. We received cash proceeds of $943,500 from the sales of these 2014 Units, which we expect to use for general corporate purposes. The 2014 Units were offered and sold in transactions exempt from registration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in reliance on Section 4(2) thereof and/or Rule 506 of Regulation D thereunder.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Shares for Consulting Services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January 12, 2015, we entered into a consulting agreement for strategic advisory and business development services through December 31, 2015 pursuant to which we issued 20,000 restricted shares of our common stock as compensation for such professional services. The shares were issued in a transaction exempt from registration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in reliance on Section 4(2) thereof and/or Rule 506 of Regulation D thereunder.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41"/>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28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Certification of the Principal Executive Officer required by Rule 13a-14(a) under the Securities Exchange Act of 1934, as amended, as</w:t>
            </w: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02"/>
        </w:trPr>
        <w:tc>
          <w:tcPr>
            <w:tcW w:w="2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31.2</w:t>
            </w:r>
          </w:p>
        </w:tc>
        <w:tc>
          <w:tcPr>
            <w:tcW w:w="104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0"/>
              </w:rPr>
              <w:t>Certification of the Principal Financial Officer required by Rule 13a-14(a) under the Securities Exchange Act of 1934, as amended, as adopted</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104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Certification of the Principal Executive and Financial Officers required by Rule 13a-14(b) and Section 1350 of Chapter 63 of Title 18 of the</w:t>
            </w: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United States Code, as adopted pursuant to Section 906 of the Sarbanes-Oxley Act of 2002</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w:t>
            </w:r>
          </w:p>
        </w:tc>
      </w:tr>
      <w:tr>
        <w:trPr>
          <w:trHeight w:val="60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0" w:type="dxa"/>
            <w:vAlign w:val="bottom"/>
            <w:gridSpan w:val="2"/>
          </w:tcPr>
          <w:p>
            <w:pPr>
              <w:jc w:val="right"/>
              <w:ind w:right="5470"/>
              <w:spacing w:after="0"/>
              <w:rPr>
                <w:sz w:val="20"/>
                <w:szCs w:val="20"/>
                <w:color w:val="auto"/>
              </w:rPr>
            </w:pPr>
            <w:r>
              <w:rPr>
                <w:rFonts w:ascii="Arial" w:cs="Arial" w:eastAsia="Arial" w:hAnsi="Arial"/>
                <w:sz w:val="18"/>
                <w:szCs w:val="18"/>
                <w:color w:val="auto"/>
              </w:rPr>
              <w:t>-64-</w:t>
            </w:r>
          </w:p>
        </w:tc>
      </w:tr>
      <w:tr>
        <w:trPr>
          <w:trHeight w:val="118"/>
        </w:trPr>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2015</w:t>
      </w:r>
    </w:p>
    <w:p>
      <w:pPr>
        <w:sectPr>
          <w:pgSz w:w="11900" w:h="16838" w:orient="portrait"/>
          <w:cols w:equalWidth="0" w:num="1">
            <w:col w:w="10520"/>
          </w:cols>
          <w:pgMar w:left="240" w:top="130" w:right="11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52"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39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4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firstLine="440"/>
        <w:spacing w:after="0" w:line="264" w:lineRule="auto"/>
        <w:tabs>
          <w:tab w:leader="none" w:pos="92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440"/>
        <w:spacing w:after="0" w:line="264" w:lineRule="auto"/>
        <w:tabs>
          <w:tab w:leader="none" w:pos="10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440"/>
        <w:spacing w:after="0" w:line="308" w:lineRule="auto"/>
        <w:tabs>
          <w:tab w:leader="none" w:pos="1058"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440"/>
        <w:spacing w:after="0" w:line="264" w:lineRule="auto"/>
        <w:tabs>
          <w:tab w:leader="none" w:pos="9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36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right="20" w:firstLine="440"/>
        <w:spacing w:after="0" w:line="277" w:lineRule="auto"/>
        <w:tabs>
          <w:tab w:leader="none" w:pos="8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440"/>
        <w:spacing w:after="0" w:line="277" w:lineRule="auto"/>
        <w:tabs>
          <w:tab w:leader="none" w:pos="8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Arial" w:cs="Arial" w:eastAsia="Arial" w:hAnsi="Arial"/>
                <w:sz w:val="18"/>
                <w:szCs w:val="18"/>
                <w:color w:val="auto"/>
              </w:rPr>
              <w:t>February 13, 2015</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580" w:type="dxa"/>
            <w:vAlign w:val="bottom"/>
          </w:tcPr>
          <w:p>
            <w:pPr>
              <w:spacing w:after="0"/>
              <w:rPr>
                <w:sz w:val="18"/>
                <w:szCs w:val="18"/>
                <w:color w:val="auto"/>
              </w:rPr>
            </w:pPr>
          </w:p>
        </w:tc>
      </w:tr>
      <w:tr>
        <w:trPr>
          <w:trHeight w:val="222"/>
        </w:trPr>
        <w:tc>
          <w:tcPr>
            <w:tcW w:w="550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30"/>
        </w:trPr>
        <w:tc>
          <w:tcPr>
            <w:tcW w:w="550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5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52" w:lineRule="exact"/>
        <w:rPr>
          <w:rFonts w:ascii="Arial" w:cs="Arial" w:eastAsia="Arial" w:hAnsi="Arial"/>
          <w:sz w:val="18"/>
          <w:szCs w:val="18"/>
          <w:color w:val="auto"/>
        </w:rPr>
      </w:pPr>
    </w:p>
    <w:p>
      <w:pPr>
        <w:ind w:firstLine="8"/>
        <w:spacing w:after="0" w:line="342" w:lineRule="auto"/>
        <w:tabs>
          <w:tab w:leader="none" w:pos="33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3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3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firstLine="440"/>
        <w:spacing w:after="0" w:line="264" w:lineRule="auto"/>
        <w:tabs>
          <w:tab w:leader="none" w:pos="8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440"/>
        <w:spacing w:after="0" w:line="264" w:lineRule="auto"/>
        <w:tabs>
          <w:tab w:leader="none" w:pos="8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440"/>
        <w:spacing w:after="0" w:line="277" w:lineRule="auto"/>
        <w:tabs>
          <w:tab w:leader="none" w:pos="70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firstLine="440"/>
        <w:spacing w:after="0" w:line="264" w:lineRule="auto"/>
        <w:tabs>
          <w:tab w:leader="none" w:pos="7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right="20" w:firstLine="440"/>
        <w:spacing w:after="0" w:line="277" w:lineRule="auto"/>
        <w:tabs>
          <w:tab w:leader="none" w:pos="7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440"/>
        <w:spacing w:after="0" w:line="277" w:lineRule="auto"/>
        <w:tabs>
          <w:tab w:leader="none" w:pos="7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20"/>
                <w:szCs w:val="20"/>
                <w:color w:val="auto"/>
              </w:rPr>
            </w:pPr>
            <w:r>
              <w:rPr>
                <w:rFonts w:ascii="Arial" w:cs="Arial" w:eastAsia="Arial" w:hAnsi="Arial"/>
                <w:sz w:val="18"/>
                <w:szCs w:val="18"/>
                <w:color w:val="auto"/>
              </w:rPr>
              <w:t>February 13, 2015</w:t>
            </w:r>
          </w:p>
        </w:tc>
        <w:tc>
          <w:tcPr>
            <w:tcW w:w="194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2"/>
        </w:trPr>
        <w:tc>
          <w:tcPr>
            <w:tcW w:w="554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40" w:type="dxa"/>
            <w:vAlign w:val="bottom"/>
          </w:tcPr>
          <w:p>
            <w:pPr>
              <w:spacing w:after="0"/>
              <w:rPr>
                <w:sz w:val="19"/>
                <w:szCs w:val="19"/>
                <w:color w:val="auto"/>
              </w:rPr>
            </w:pPr>
          </w:p>
        </w:tc>
      </w:tr>
      <w:tr>
        <w:trPr>
          <w:trHeight w:val="230"/>
        </w:trPr>
        <w:tc>
          <w:tcPr>
            <w:tcW w:w="554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2014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214" w:lineRule="exact"/>
        <w:rPr>
          <w:sz w:val="20"/>
          <w:szCs w:val="20"/>
          <w:color w:val="auto"/>
        </w:rPr>
      </w:pPr>
    </w:p>
    <w:p>
      <w:pPr>
        <w:ind w:left="660" w:hanging="22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2020-01-22T15:37:28Z</dcterms:created>
  <dcterms:modified xsi:type="dcterms:W3CDTF">2020-01-22T15:37:28Z</dcterms:modified>
</cp:coreProperties>
</file>