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19,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22"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22"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22"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94"/>
        </w:trPr>
        <w:tc>
          <w:tcPr>
            <w:tcW w:w="1440" w:type="dxa"/>
            <w:vAlign w:val="bottom"/>
          </w:tcPr>
          <w:p>
            <w:pPr>
              <w:spacing w:after="0"/>
              <w:rPr>
                <w:sz w:val="24"/>
                <w:szCs w:val="24"/>
                <w:color w:val="auto"/>
              </w:rPr>
            </w:pPr>
          </w:p>
        </w:tc>
        <w:tc>
          <w:tcPr>
            <w:tcW w:w="3100" w:type="dxa"/>
            <w:vAlign w:val="bottom"/>
            <w:gridSpan w:val="2"/>
          </w:tcPr>
          <w:p>
            <w:pPr>
              <w:jc w:val="center"/>
              <w:ind w:right="1840"/>
              <w:spacing w:after="0"/>
              <w:rPr>
                <w:sz w:val="20"/>
                <w:szCs w:val="20"/>
                <w:color w:val="auto"/>
              </w:rPr>
            </w:pPr>
            <w:r>
              <w:rPr>
                <w:rFonts w:ascii="Arial" w:cs="Arial" w:eastAsia="Arial" w:hAnsi="Arial"/>
                <w:sz w:val="18"/>
                <w:szCs w:val="18"/>
                <w:color w:val="auto"/>
                <w:w w:val="87"/>
              </w:rPr>
              <w:t>Title of each class</w:t>
            </w:r>
          </w:p>
        </w:tc>
        <w:tc>
          <w:tcPr>
            <w:tcW w:w="2760" w:type="dxa"/>
            <w:vAlign w:val="bottom"/>
            <w:gridSpan w:val="2"/>
          </w:tcPr>
          <w:p>
            <w:pPr>
              <w:jc w:val="center"/>
              <w:ind w:right="1420"/>
              <w:spacing w:after="0"/>
              <w:rPr>
                <w:sz w:val="20"/>
                <w:szCs w:val="20"/>
                <w:color w:val="auto"/>
              </w:rPr>
            </w:pPr>
            <w:r>
              <w:rPr>
                <w:rFonts w:ascii="Arial" w:cs="Arial" w:eastAsia="Arial" w:hAnsi="Arial"/>
                <w:sz w:val="18"/>
                <w:szCs w:val="18"/>
                <w:color w:val="auto"/>
                <w:w w:val="91"/>
              </w:rPr>
              <w:t>Trading Symbol(s)</w:t>
            </w:r>
          </w:p>
        </w:tc>
        <w:tc>
          <w:tcPr>
            <w:tcW w:w="310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35"/>
        </w:trPr>
        <w:tc>
          <w:tcPr>
            <w:tcW w:w="454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Common Stock, par value $0.001 per share</w:t>
            </w:r>
          </w:p>
        </w:tc>
        <w:tc>
          <w:tcPr>
            <w:tcW w:w="2760" w:type="dxa"/>
            <w:vAlign w:val="bottom"/>
            <w:gridSpan w:val="2"/>
          </w:tcPr>
          <w:p>
            <w:pPr>
              <w:jc w:val="center"/>
              <w:ind w:right="1420"/>
              <w:spacing w:after="0"/>
              <w:rPr>
                <w:sz w:val="20"/>
                <w:szCs w:val="20"/>
                <w:color w:val="auto"/>
              </w:rPr>
            </w:pPr>
            <w:r>
              <w:rPr>
                <w:rFonts w:ascii="Arial" w:cs="Arial" w:eastAsia="Arial" w:hAnsi="Arial"/>
                <w:sz w:val="18"/>
                <w:szCs w:val="18"/>
                <w:color w:val="auto"/>
                <w:w w:val="99"/>
              </w:rPr>
              <w:t>VTGN</w:t>
            </w: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Nasdaq Capital Market</w:t>
            </w:r>
          </w:p>
        </w:tc>
      </w:tr>
    </w:tbl>
    <w:p>
      <w:pPr>
        <w:spacing w:after="0" w:line="21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August 19, 2019,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received a letter (the “</w:t>
      </w:r>
      <w:r>
        <w:rPr>
          <w:rFonts w:ascii="Arial" w:cs="Arial" w:eastAsia="Arial" w:hAnsi="Arial"/>
          <w:sz w:val="16"/>
          <w:szCs w:val="16"/>
          <w:i w:val="1"/>
          <w:iCs w:val="1"/>
          <w:color w:val="auto"/>
        </w:rPr>
        <w:t>Letter</w:t>
      </w:r>
      <w:r>
        <w:rPr>
          <w:rFonts w:ascii="Arial" w:cs="Arial" w:eastAsia="Arial" w:hAnsi="Arial"/>
          <w:sz w:val="16"/>
          <w:szCs w:val="16"/>
          <w:color w:val="auto"/>
        </w:rPr>
        <w:t>”) from the Listing Qualifications Staff of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indicating that, based on information provided in the Company’s Quarterly Report on Form 10-Q for the quarter ended June 30, 2019, the Company was not, as of June 30, 2019, in compliance with the $2.5 million minimum stockholders' equity requirement set forth in Nasdaq Listing Rule 5550(b)(1) for continued listing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on The Nasdaq Capital Market (the “</w:t>
      </w:r>
      <w:r>
        <w:rPr>
          <w:rFonts w:ascii="Arial" w:cs="Arial" w:eastAsia="Arial" w:hAnsi="Arial"/>
          <w:sz w:val="16"/>
          <w:szCs w:val="16"/>
          <w:i w:val="1"/>
          <w:iCs w:val="1"/>
          <w:color w:val="auto"/>
        </w:rPr>
        <w:t>Stockholder's Equity Requirement</w:t>
      </w:r>
      <w:r>
        <w:rPr>
          <w:rFonts w:ascii="Arial" w:cs="Arial" w:eastAsia="Arial" w:hAnsi="Arial"/>
          <w:sz w:val="16"/>
          <w:szCs w:val="16"/>
          <w:color w:val="auto"/>
        </w:rPr>
        <w:t>”), or with any alternative standard under the Nasdaq Listing Rules.</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applicable Nasdaq rules, the Company has 45 calendar days from the date of the Letter, or until October 3, 2019, to regain compliance with the Stockholder's Equity Requirement or submit a plan to regain compliance. If the Company has not yet regained compliance as of that date, and Nasdaq has accepted the Company's plan, Nasdaq may grant the Company an extension of up to 180 calendar days from the date of the Letter, or until February 15, 2020, to provide evidence of compliance.</w:t>
      </w:r>
    </w:p>
    <w:p>
      <w:pPr>
        <w:spacing w:after="0" w:line="19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color w:val="auto"/>
        </w:rPr>
        <w:t xml:space="preserve">The Letter has no immediate effect on the listing of the Company's Common Stock on The Nasdaq Capital Market. </w:t>
      </w:r>
      <w:r>
        <w:rPr>
          <w:rFonts w:ascii="Arial" w:cs="Arial" w:eastAsia="Arial" w:hAnsi="Arial"/>
          <w:sz w:val="16"/>
          <w:szCs w:val="16"/>
          <w:color w:val="auto"/>
        </w:rPr>
        <w:t>The Company intends to</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evaluate various courses of action, in order to timely submit a plan to Nasdaq and to regain compliance. However, there can be no assurance that the Company will regain compliance with the Stockholders’ Equity Requirement during the 45-day period in which to regain compliance or submit a plan to regain compliance, secure an additional period to regain compliance or maintain compliance with this and other Nasdaq listing requirements.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Letter is in addition to the letter received by the Company from Nasdaq on June 17, 2019, as disclosed in the Company’s Current Report on Form 8-K, filed on June 21, 2019. Regardless of any outcome in connection with the Stockholder's Equity Requirement, if the Company fails to regain compliance with the minimum bid price requirement set forth in Nasdaq Listing Rule 5550(a)(2) for at least ten consecutive business days prior to December 16, 2019, its Common Stock will continue to be subject to delisting by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3"/>
          </w:tcPr>
          <w:p>
            <w:pPr>
              <w:ind w:left="194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60" w:type="dxa"/>
            <w:vAlign w:val="bottom"/>
          </w:tcPr>
          <w:p>
            <w:pPr>
              <w:ind w:left="60"/>
              <w:spacing w:after="0"/>
              <w:rPr>
                <w:sz w:val="20"/>
                <w:szCs w:val="20"/>
                <w:color w:val="auto"/>
              </w:rPr>
            </w:pPr>
            <w:r>
              <w:rPr>
                <w:rFonts w:ascii="Arial" w:cs="Arial" w:eastAsia="Arial" w:hAnsi="Arial"/>
                <w:sz w:val="18"/>
                <w:szCs w:val="18"/>
                <w:color w:val="auto"/>
              </w:rPr>
              <w:t>Date: August 23, 2019</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4000" w:type="dxa"/>
            <w:vAlign w:val="bottom"/>
          </w:tcPr>
          <w:p>
            <w:pPr>
              <w:spacing w:after="0"/>
              <w:rPr>
                <w:sz w:val="24"/>
                <w:szCs w:val="24"/>
                <w:color w:val="auto"/>
              </w:rPr>
            </w:pPr>
          </w:p>
        </w:tc>
      </w:tr>
      <w:tr>
        <w:trPr>
          <w:trHeight w:val="228"/>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2019-11-29T23:01:20Z</dcterms:created>
  <dcterms:modified xsi:type="dcterms:W3CDTF">2019-11-29T23:01:20Z</dcterms:modified>
</cp:coreProperties>
</file>