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227965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92840H202</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830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CVI Investments, Inc.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1,104,397</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503" w:right="239" w:bottom="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Reporting</w:t>
      </w:r>
    </w:p>
    <w:p>
      <w:pPr>
        <w:ind w:left="60"/>
        <w:spacing w:after="0" w:line="217" w:lineRule="auto"/>
        <w:rPr>
          <w:sz w:val="20"/>
          <w:szCs w:val="20"/>
          <w:color w:val="auto"/>
        </w:rPr>
      </w:pPr>
      <w:r>
        <w:rPr>
          <w:rFonts w:ascii="Arial" w:cs="Arial" w:eastAsia="Arial" w:hAnsi="Arial"/>
          <w:sz w:val="18"/>
          <w:szCs w:val="18"/>
          <w:color w:val="auto"/>
        </w:rPr>
        <w:t>Person With</w:t>
      </w:r>
    </w:p>
    <w:p>
      <w:pPr>
        <w:ind w:left="2760" w:right="6960" w:hanging="1091"/>
        <w:spacing w:after="0" w:line="259" w:lineRule="auto"/>
        <w:tabs>
          <w:tab w:leader="none" w:pos="2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2760" w:right="6560" w:hanging="1091"/>
        <w:spacing w:after="0" w:line="277" w:lineRule="auto"/>
        <w:tabs>
          <w:tab w:leader="none" w:pos="2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 1,104,397</w:t>
      </w:r>
    </w:p>
    <w:p>
      <w:pPr>
        <w:spacing w:after="0" w:line="38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1,104,397</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180" w:firstLine="8"/>
        <w:spacing w:after="0" w:line="27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-585470</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-1134110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-1682750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-2094865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-2643505</wp:posOffset>
            </wp:positionV>
            <wp:extent cx="5531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-3192145</wp:posOffset>
            </wp:positionV>
            <wp:extent cx="5531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right="7880" w:hanging="620"/>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Heights Capital Management, Inc.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1,104,397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6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720" w:type="dxa"/>
            <w:vAlign w:val="bottom"/>
          </w:tcPr>
          <w:p>
            <w:pPr>
              <w:jc w:val="right"/>
              <w:ind w:right="84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40" w:type="dxa"/>
            <w:vAlign w:val="bottom"/>
            <w:vMerge w:val="continue"/>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60" w:right="6560" w:hanging="1091"/>
        <w:spacing w:after="0" w:line="277" w:lineRule="auto"/>
        <w:tabs>
          <w:tab w:leader="none" w:pos="2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 1,104,397</w:t>
      </w:r>
    </w:p>
    <w:p>
      <w:pPr>
        <w:spacing w:after="0" w:line="38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1,104,397</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-361950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-910590</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420"/>
          </w:cols>
          <w:pgMar w:left="240" w:top="125" w:right="239" w:bottom="194" w:gutter="0" w:footer="0" w:header="0"/>
        </w:sectPr>
      </w:pPr>
    </w:p>
    <w:bookmarkStart w:id="2" w:name="page3"/>
    <w:bookmarkEnd w:id="2"/>
    <w:p>
      <w:pPr>
        <w:spacing w:after="0" w:line="22" w:lineRule="exact"/>
        <w:rPr>
          <w:sz w:val="20"/>
          <w:szCs w:val="20"/>
          <w:color w:val="auto"/>
        </w:rPr>
      </w:pPr>
    </w:p>
    <w:p>
      <w:pPr>
        <w:ind w:left="1052" w:hanging="620"/>
        <w:spacing w:after="0"/>
        <w:tabs>
          <w:tab w:leader="none" w:pos="105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77" w:lineRule="auto"/>
        <w:tabs>
          <w:tab w:leader="none" w:pos="217"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-585470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60" w:orient="portrait"/>
          <w:cols w:equalWidth="0" w:num="1">
            <w:col w:w="11232"/>
          </w:cols>
          <w:pgMar w:left="248" w:top="125" w:right="419" w:bottom="0" w:gutter="0" w:footer="0" w:header="0"/>
        </w:sectPr>
      </w:pPr>
    </w:p>
    <w:p>
      <w:pPr>
        <w:spacing w:after="0" w:line="343" w:lineRule="exact"/>
        <w:rPr>
          <w:sz w:val="20"/>
          <w:szCs w:val="20"/>
          <w:color w:val="auto"/>
        </w:rPr>
      </w:pPr>
    </w:p>
    <w:p>
      <w:pPr>
        <w:ind w:left="112"/>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2"/>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2"/>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2"/>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 w:hanging="5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VistaGen Therapeutics, Inc. (the “Company”)</w:t>
      </w:r>
    </w:p>
    <w:p>
      <w:pPr>
        <w:spacing w:after="0" w:line="116" w:lineRule="exact"/>
        <w:rPr>
          <w:rFonts w:ascii="Arial" w:cs="Arial" w:eastAsia="Arial" w:hAnsi="Arial"/>
          <w:sz w:val="18"/>
          <w:szCs w:val="18"/>
          <w:color w:val="auto"/>
        </w:rPr>
      </w:pPr>
    </w:p>
    <w:p>
      <w:pPr>
        <w:ind w:left="520" w:hanging="5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343 Allerton Ave., South San Francisco, CA 94080</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520" w:right="200"/>
        <w:spacing w:after="0" w:line="261" w:lineRule="auto"/>
        <w:rPr>
          <w:rFonts w:ascii="Arial" w:cs="Arial" w:eastAsia="Arial" w:hAnsi="Arial"/>
          <w:sz w:val="18"/>
          <w:szCs w:val="18"/>
          <w:color w:val="auto"/>
        </w:rPr>
      </w:pPr>
      <w:r>
        <w:rPr>
          <w:rFonts w:ascii="Arial" w:cs="Arial" w:eastAsia="Arial" w:hAnsi="Arial"/>
          <w:sz w:val="18"/>
          <w:szCs w:val="18"/>
          <w:color w:val="auto"/>
        </w:rPr>
        <w:t>This statement is filed by the entities listed below, who are collectively referred to herein as “Reporting Persons,” with respect to the shares of Common Stock of the Company, $0.001 par value per share (the “Shares”).</w:t>
      </w:r>
    </w:p>
    <w:p>
      <w:pPr>
        <w:spacing w:after="0" w:line="183" w:lineRule="exact"/>
        <w:rPr>
          <w:rFonts w:ascii="Arial" w:cs="Arial" w:eastAsia="Arial" w:hAnsi="Arial"/>
          <w:sz w:val="18"/>
          <w:szCs w:val="18"/>
          <w:color w:val="auto"/>
        </w:rPr>
      </w:pPr>
    </w:p>
    <w:p>
      <w:pPr>
        <w:ind w:left="860" w:hanging="347"/>
        <w:spacing w:after="0"/>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CVI Investments, Inc.</w:t>
      </w:r>
    </w:p>
    <w:p>
      <w:pPr>
        <w:spacing w:after="0" w:line="225" w:lineRule="exact"/>
        <w:rPr>
          <w:rFonts w:ascii="Arial" w:cs="Arial" w:eastAsia="Arial" w:hAnsi="Arial"/>
          <w:sz w:val="18"/>
          <w:szCs w:val="18"/>
          <w:color w:val="auto"/>
        </w:rPr>
      </w:pPr>
    </w:p>
    <w:p>
      <w:pPr>
        <w:ind w:left="860" w:hanging="347"/>
        <w:spacing w:after="0"/>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Heights Capital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48895</wp:posOffset>
            </wp:positionV>
            <wp:extent cx="5934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-1184910</wp:posOffset>
            </wp:positionV>
            <wp:extent cx="5934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-1536700</wp:posOffset>
            </wp:positionV>
            <wp:extent cx="5934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address of the principal business office of CVI Investments, Inc. is: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P.O. Box 309GT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South Church Street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address of the principal business office of Heights Capital Management, Inc. is: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 California Street, Suite 3250</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40005</wp:posOffset>
            </wp:positionV>
            <wp:extent cx="59347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520" w:right="140"/>
        <w:spacing w:after="0" w:line="261" w:lineRule="auto"/>
        <w:rPr>
          <w:sz w:val="20"/>
          <w:szCs w:val="20"/>
          <w:color w:val="auto"/>
        </w:rPr>
      </w:pPr>
      <w:r>
        <w:rPr>
          <w:rFonts w:ascii="Arial" w:cs="Arial" w:eastAsia="Arial" w:hAnsi="Arial"/>
          <w:sz w:val="18"/>
          <w:szCs w:val="18"/>
          <w:color w:val="auto"/>
        </w:rPr>
        <w:t>Citizenship is set forth in Row 4 of the cover page for each Reporting Person hereto and is incorporated herein by reference for each such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22860</wp:posOffset>
            </wp:positionV>
            <wp:extent cx="59347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72" w:lineRule="exact"/>
        <w:rPr>
          <w:sz w:val="20"/>
          <w:szCs w:val="20"/>
          <w:color w:val="auto"/>
        </w:rPr>
      </w:pPr>
    </w:p>
    <w:p>
      <w:pPr>
        <w:sectPr>
          <w:pgSz w:w="11900" w:h="16860" w:orient="portrait"/>
          <w:cols w:equalWidth="0" w:num="2">
            <w:col w:w="872" w:space="560"/>
            <w:col w:w="9800"/>
          </w:cols>
          <w:pgMar w:left="248" w:top="125" w:right="419" w:bottom="0" w:gutter="0" w:footer="0" w:header="0"/>
          <w:type w:val="continuous"/>
        </w:sectPr>
      </w:pPr>
    </w:p>
    <w:tbl>
      <w:tblPr>
        <w:tblLayout w:type="fixed"/>
        <w:tblInd w:w="112"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340" w:type="dxa"/>
            <w:vAlign w:val="bottom"/>
          </w:tcPr>
          <w:p>
            <w:pPr>
              <w:ind w:left="60"/>
              <w:spacing w:after="0"/>
              <w:rPr>
                <w:sz w:val="20"/>
                <w:szCs w:val="20"/>
                <w:color w:val="auto"/>
              </w:rPr>
            </w:pPr>
            <w:r>
              <w:rPr>
                <w:rFonts w:ascii="Arial" w:cs="Arial" w:eastAsia="Arial" w:hAnsi="Arial"/>
                <w:sz w:val="18"/>
                <w:szCs w:val="18"/>
                <w:color w:val="auto"/>
              </w:rPr>
              <w:t>Title of Class of Securities</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Common Stock, $0.001 par value per share</w:t>
            </w:r>
          </w:p>
        </w:tc>
        <w:tc>
          <w:tcPr>
            <w:tcW w:w="0" w:type="dxa"/>
            <w:vAlign w:val="bottom"/>
          </w:tcPr>
          <w:p>
            <w:pPr>
              <w:spacing w:after="0"/>
              <w:rPr>
                <w:sz w:val="1"/>
                <w:szCs w:val="1"/>
                <w:color w:val="auto"/>
              </w:rPr>
            </w:pPr>
          </w:p>
        </w:tc>
      </w:tr>
      <w:tr>
        <w:trPr>
          <w:trHeight w:val="54"/>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Item 2(e)</w:t>
            </w: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780" w:type="dxa"/>
            <w:vAlign w:val="bottom"/>
            <w:vMerge w:val="continue"/>
          </w:tcPr>
          <w:p>
            <w:pPr>
              <w:spacing w:after="0"/>
              <w:rPr>
                <w:sz w:val="21"/>
                <w:szCs w:val="21"/>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92840H202</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12"/>
        <w:spacing w:after="0"/>
        <w:tabs>
          <w:tab w:leader="none" w:pos="141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952" w:hanging="520"/>
        <w:spacing w:after="0"/>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952" w:hanging="520"/>
        <w:spacing w:after="0"/>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952" w:hanging="520"/>
        <w:spacing w:after="0"/>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952" w:hanging="520"/>
        <w:spacing w:after="0"/>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952" w:hanging="520"/>
        <w:spacing w:after="0"/>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952" w:hanging="520"/>
        <w:spacing w:after="0"/>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952" w:hanging="520"/>
        <w:spacing w:after="0"/>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952" w:hanging="520"/>
        <w:spacing w:after="0"/>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ectPr>
          <w:pgSz w:w="11900" w:h="16860" w:orient="portrait"/>
          <w:cols w:equalWidth="0" w:num="1">
            <w:col w:w="11232"/>
          </w:cols>
          <w:pgMar w:left="248" w:top="125" w:right="419" w:bottom="0" w:gutter="0" w:footer="0" w:header="0"/>
          <w:type w:val="continuous"/>
        </w:sectPr>
      </w:pPr>
    </w:p>
    <w:bookmarkStart w:id="3" w:name="page4"/>
    <w:bookmarkEnd w:id="3"/>
    <w:p>
      <w:pPr>
        <w:ind w:left="1960" w:hanging="520"/>
        <w:spacing w:after="0"/>
        <w:tabs>
          <w:tab w:leader="none" w:pos="1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200" w:lineRule="exact"/>
        <w:rPr>
          <w:rFonts w:ascii="Arial" w:cs="Arial" w:eastAsia="Arial" w:hAnsi="Arial"/>
          <w:sz w:val="14"/>
          <w:szCs w:val="14"/>
          <w:color w:val="auto"/>
        </w:rPr>
      </w:pPr>
    </w:p>
    <w:p>
      <w:pPr>
        <w:spacing w:after="0" w:line="287" w:lineRule="exact"/>
        <w:rPr>
          <w:rFonts w:ascii="Arial" w:cs="Arial" w:eastAsia="Arial" w:hAnsi="Arial"/>
          <w:sz w:val="14"/>
          <w:szCs w:val="14"/>
          <w:color w:val="auto"/>
        </w:rPr>
      </w:pPr>
    </w:p>
    <w:p>
      <w:pPr>
        <w:ind w:left="1960" w:hanging="520"/>
        <w:spacing w:after="0"/>
        <w:tabs>
          <w:tab w:leader="none" w:pos="1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379" w:lineRule="exact"/>
        <w:rPr>
          <w:rFonts w:ascii="Arial" w:cs="Arial" w:eastAsia="Arial" w:hAnsi="Arial"/>
          <w:sz w:val="14"/>
          <w:szCs w:val="14"/>
          <w:color w:val="auto"/>
        </w:rPr>
      </w:pPr>
    </w:p>
    <w:p>
      <w:pPr>
        <w:ind w:left="1960" w:hanging="520"/>
        <w:spacing w:after="0"/>
        <w:tabs>
          <w:tab w:leader="none" w:pos="1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non-U.S. institution in accordance with § 240.13d–1(b)(1)(ii)(J);</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Group, in accordance with Rule 13d–1(b)(1)(ii)(K). If filing as a non-U.S. institution in accordance with § 240.13d–1(b)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(1)(ii)(J), please specify the type of institution:____________________________</w:t>
      </w:r>
    </w:p>
    <w:p>
      <w:pPr>
        <w:spacing w:after="0" w:line="31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20"/>
            <w:col w:w="8740"/>
          </w:cols>
          <w:pgMar w:left="240" w:top="314" w:right="459" w:bottom="194" w:gutter="0" w:footer="0" w:header="0"/>
        </w:sect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820" w:right="88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ind w:left="820" w:right="160"/>
        <w:spacing w:after="0" w:line="259" w:lineRule="auto"/>
        <w:rPr>
          <w:sz w:val="20"/>
          <w:szCs w:val="20"/>
          <w:color w:val="auto"/>
        </w:rPr>
      </w:pPr>
      <w:r>
        <w:rPr>
          <w:rFonts w:ascii="Arial" w:cs="Arial" w:eastAsia="Arial" w:hAnsi="Arial"/>
          <w:sz w:val="18"/>
          <w:szCs w:val="18"/>
          <w:color w:val="auto"/>
        </w:rPr>
        <w:t>The number of Shares reported as beneficially owned consists of (i) 821,154 Shares and (ii) Shares issuable upon exercise of warrants to purchase Shares (the “Warrants”).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4.99%.</w:t>
      </w:r>
    </w:p>
    <w:p>
      <w:pPr>
        <w:spacing w:after="0" w:line="187" w:lineRule="exact"/>
        <w:rPr>
          <w:sz w:val="20"/>
          <w:szCs w:val="20"/>
          <w:color w:val="auto"/>
        </w:rPr>
      </w:pPr>
    </w:p>
    <w:p>
      <w:pPr>
        <w:ind w:left="820" w:right="680"/>
        <w:spacing w:after="0" w:line="277" w:lineRule="auto"/>
        <w:rPr>
          <w:sz w:val="20"/>
          <w:szCs w:val="20"/>
          <w:color w:val="auto"/>
        </w:rPr>
      </w:pPr>
      <w:r>
        <w:rPr>
          <w:rFonts w:ascii="Arial" w:cs="Arial" w:eastAsia="Arial" w:hAnsi="Arial"/>
          <w:sz w:val="18"/>
          <w:szCs w:val="18"/>
          <w:color w:val="auto"/>
        </w:rPr>
        <w:t>The Company’s Prospectus dated December 11 2017, Registration No. 333-221009), filed on December 12, 2017, indicates there were 21,848,974 Shares outstanding as of the completion of the offering of the Shares referred to therein.</w:t>
      </w:r>
    </w:p>
    <w:p>
      <w:pPr>
        <w:spacing w:after="0" w:line="170" w:lineRule="exact"/>
        <w:rPr>
          <w:sz w:val="20"/>
          <w:szCs w:val="20"/>
          <w:color w:val="auto"/>
        </w:rPr>
      </w:pPr>
    </w:p>
    <w:p>
      <w:pPr>
        <w:ind w:left="820" w:right="380"/>
        <w:spacing w:after="0" w:line="279" w:lineRule="auto"/>
        <w:rPr>
          <w:sz w:val="20"/>
          <w:szCs w:val="20"/>
          <w:color w:val="auto"/>
        </w:rPr>
      </w:pPr>
      <w:r>
        <w:rPr>
          <w:rFonts w:ascii="Arial" w:cs="Arial" w:eastAsia="Arial" w:hAnsi="Arial"/>
          <w:sz w:val="18"/>
          <w:szCs w:val="18"/>
          <w:color w:val="auto"/>
        </w:rPr>
        <w:t>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382"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3"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60" w:right="580" w:hanging="1093"/>
        <w:spacing w:after="0" w:line="282" w:lineRule="auto"/>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1200"/>
          </w:cols>
          <w:pgMar w:left="240" w:top="314" w:right="459" w:bottom="194" w:gutter="0" w:footer="0" w:header="0"/>
          <w:type w:val="continuous"/>
        </w:sectPr>
      </w:pPr>
    </w:p>
    <w:bookmarkStart w:id="4" w:name="page5"/>
    <w:bookmarkEnd w:id="4"/>
    <w:p>
      <w:pPr>
        <w:ind w:right="380" w:firstLine="82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CVI INVESTMENTS, INC.</w:t>
            </w: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HEIGHTS CAPITAL MANAGEMENT, INC.</w:t>
            </w:r>
          </w:p>
        </w:tc>
        <w:tc>
          <w:tcPr>
            <w:tcW w:w="40" w:type="dxa"/>
            <w:vAlign w:val="bottom"/>
          </w:tcPr>
          <w:p>
            <w:pPr>
              <w:spacing w:after="0"/>
              <w:rPr>
                <w:sz w:val="20"/>
                <w:szCs w:val="20"/>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By: Heights Capital Management, Inc. pursuant to a Limited Power of</w:t>
            </w: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By:   /s/ Brian Sopinsky</w:t>
            </w:r>
          </w:p>
        </w:tc>
        <w:tc>
          <w:tcPr>
            <w:tcW w:w="40" w:type="dxa"/>
            <w:vAlign w:val="bottom"/>
          </w:tcPr>
          <w:p>
            <w:pPr>
              <w:spacing w:after="0"/>
              <w:rPr>
                <w:sz w:val="24"/>
                <w:szCs w:val="24"/>
                <w:color w:val="auto"/>
              </w:rPr>
            </w:pPr>
          </w:p>
        </w:tc>
      </w:tr>
      <w:tr>
        <w:trPr>
          <w:trHeight w:val="182"/>
        </w:trPr>
        <w:tc>
          <w:tcPr>
            <w:tcW w:w="5600" w:type="dxa"/>
            <w:vAlign w:val="bottom"/>
            <w:gridSpan w:val="2"/>
          </w:tcPr>
          <w:p>
            <w:pPr>
              <w:spacing w:after="0" w:line="182" w:lineRule="exact"/>
              <w:rPr>
                <w:sz w:val="20"/>
                <w:szCs w:val="20"/>
                <w:color w:val="auto"/>
              </w:rPr>
            </w:pPr>
            <w:r>
              <w:rPr>
                <w:rFonts w:ascii="Arial" w:cs="Arial" w:eastAsia="Arial" w:hAnsi="Arial"/>
                <w:sz w:val="18"/>
                <w:szCs w:val="18"/>
                <w:color w:val="auto"/>
              </w:rPr>
              <w:t>Attorney, a copy of which was previously filed</w:t>
            </w:r>
          </w:p>
        </w:tc>
        <w:tc>
          <w:tcPr>
            <w:tcW w:w="860" w:type="dxa"/>
            <w:vAlign w:val="bottom"/>
          </w:tcPr>
          <w:p>
            <w:pPr>
              <w:ind w:left="360"/>
              <w:spacing w:after="0" w:line="182" w:lineRule="exact"/>
              <w:rPr>
                <w:sz w:val="20"/>
                <w:szCs w:val="20"/>
                <w:color w:val="auto"/>
              </w:rPr>
            </w:pPr>
            <w:r>
              <w:rPr>
                <w:rFonts w:ascii="Arial" w:cs="Arial" w:eastAsia="Arial" w:hAnsi="Arial"/>
                <w:sz w:val="18"/>
                <w:szCs w:val="18"/>
                <w:color w:val="auto"/>
                <w:w w:val="90"/>
              </w:rPr>
              <w:t>Name:</w:t>
            </w:r>
          </w:p>
        </w:tc>
        <w:tc>
          <w:tcPr>
            <w:tcW w:w="4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Brian Sopinsky</w:t>
            </w:r>
          </w:p>
        </w:tc>
        <w:tc>
          <w:tcPr>
            <w:tcW w:w="40" w:type="dxa"/>
            <w:vAlign w:val="bottom"/>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Title: Secretary</w:t>
            </w:r>
          </w:p>
        </w:tc>
        <w:tc>
          <w:tcPr>
            <w:tcW w:w="40" w:type="dxa"/>
            <w:vAlign w:val="bottom"/>
          </w:tcPr>
          <w:p>
            <w:pPr>
              <w:spacing w:after="0"/>
              <w:rPr>
                <w:sz w:val="20"/>
                <w:szCs w:val="20"/>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By:  /s/ Brian Sopinsky</w:t>
            </w:r>
          </w:p>
        </w:tc>
        <w:tc>
          <w:tcPr>
            <w:tcW w:w="8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420" w:type="dxa"/>
            <w:vAlign w:val="bottom"/>
          </w:tcPr>
          <w:p>
            <w:pPr>
              <w:spacing w:after="0" w:line="182" w:lineRule="exact"/>
              <w:rPr>
                <w:sz w:val="20"/>
                <w:szCs w:val="20"/>
                <w:color w:val="auto"/>
              </w:rPr>
            </w:pPr>
            <w:r>
              <w:rPr>
                <w:rFonts w:ascii="Arial" w:cs="Arial" w:eastAsia="Arial" w:hAnsi="Arial"/>
                <w:sz w:val="18"/>
                <w:szCs w:val="18"/>
                <w:color w:val="auto"/>
                <w:w w:val="75"/>
              </w:rPr>
              <w:t>Name:</w:t>
            </w:r>
          </w:p>
        </w:tc>
        <w:tc>
          <w:tcPr>
            <w:tcW w:w="518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Brian Sopinsky</w:t>
            </w:r>
          </w:p>
        </w:tc>
        <w:tc>
          <w:tcPr>
            <w:tcW w:w="8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Title: Secretary</w:t>
            </w:r>
          </w:p>
        </w:tc>
        <w:tc>
          <w:tcPr>
            <w:tcW w:w="8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6</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7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100" w:hanging="1092"/>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Power of Attorney*</w:t>
      </w:r>
    </w:p>
    <w:p>
      <w:pPr>
        <w:spacing w:after="0" w:line="8" w:lineRule="exact"/>
        <w:rPr>
          <w:sz w:val="20"/>
          <w:szCs w:val="20"/>
          <w:color w:val="auto"/>
        </w:rPr>
      </w:pPr>
    </w:p>
    <w:p>
      <w:pPr>
        <w:ind w:left="1100" w:right="8600" w:hanging="1092"/>
        <w:spacing w:after="0" w:line="679"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Joint Filing Agreement*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3">
    <w:nsid w:val="515F007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
    <w:nsid w:val="5BD062C2"/>
    <w:multiLevelType w:val="hybridMultilevel"/>
    <w:lvl w:ilvl="0">
      <w:lvlJc w:val="left"/>
      <w:lvlText w:val="(%1)"/>
      <w:numFmt w:val="decimal"/>
      <w:start w:val="1"/>
    </w:lvl>
    <w:lvl w:ilvl="1">
      <w:lvlJc w:val="left"/>
      <w:lvlText w:val="(%2)"/>
      <w:numFmt w:val="lowerLetter"/>
      <w:start w:val="1"/>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
      <w:numFmt w:val="bullet"/>
      <w:start w:val="1"/>
    </w:lvl>
    <w:lvl w:ilvl="1">
      <w:lvlJc w:val="left"/>
      <w:lvlText w:val="(%2)"/>
      <w:numFmt w:val="decimal"/>
      <w:start w:val="11"/>
    </w:lvl>
  </w:abstractNum>
  <w:abstractNum w:abstractNumId="8">
    <w:nsid w:val="1F16E9E8"/>
    <w:multiLevelType w:val="hybridMultilevel"/>
    <w:lvl w:ilvl="0">
      <w:lvlJc w:val="left"/>
      <w:lvlText w:val="(%1)"/>
      <w:numFmt w:val="lowerLetter"/>
      <w:start w:val="1"/>
    </w:lvl>
    <w:lvl w:ilvl="1">
      <w:lvlJc w:val="left"/>
      <w:lvlText w:val="(%2)"/>
      <w:numFmt w:val="lowerRoman"/>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9"/>
    </w:lvl>
  </w:abstractNum>
  <w:abstractNum w:abstractNumId="11">
    <w:nsid w:val="140E0F76"/>
    <w:multiLevelType w:val="hybridMultilevel"/>
    <w:lvl w:ilvl="0">
      <w:lvlJc w:val="left"/>
      <w:lvlText w:val="I"/>
      <w:numFmt w:val="bullet"/>
      <w:start w:val="1"/>
    </w:lvl>
  </w:abstractNum>
  <w:abstractNum w:abstractNumId="12">
    <w:nsid w:val="3352255A"/>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2020-01-14T07:55:49Z</dcterms:created>
  <dcterms:modified xsi:type="dcterms:W3CDTF">2020-01-14T07:55:49Z</dcterms:modified>
</cp:coreProperties>
</file>