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u w:val="single" w:color="auto"/>
          <w:color w:val="auto"/>
        </w:rPr>
        <w:t>VistaGen Therapeutics,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Common Stock, par value $0.001 per share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92840H400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December 31, 2023</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5220" w:hanging="207"/>
        <w:spacing w:after="0"/>
        <w:tabs>
          <w:tab w:leader="none" w:pos="5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9" w:lineRule="exact"/>
        <w:rPr>
          <w:rFonts w:ascii="MS PGothic" w:cs="MS PGothic" w:eastAsia="MS PGothic" w:hAnsi="MS PGothic"/>
          <w:sz w:val="18"/>
          <w:szCs w:val="18"/>
          <w:color w:val="auto"/>
        </w:rPr>
      </w:pPr>
    </w:p>
    <w:p>
      <w:pPr>
        <w:ind w:left="5220" w:hanging="202"/>
        <w:spacing w:after="0"/>
        <w:tabs>
          <w:tab w:leader="none" w:pos="5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9" w:lineRule="exact"/>
        <w:rPr>
          <w:rFonts w:ascii="MS PGothic" w:cs="MS PGothic" w:eastAsia="MS PGothic" w:hAnsi="MS PGothic"/>
          <w:sz w:val="18"/>
          <w:szCs w:val="18"/>
          <w:color w:val="auto"/>
        </w:rPr>
      </w:pPr>
    </w:p>
    <w:p>
      <w:pPr>
        <w:ind w:left="5220" w:hanging="207"/>
        <w:spacing w:after="0"/>
        <w:tabs>
          <w:tab w:leader="none" w:pos="5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7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280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w w:val="95"/>
              </w:rPr>
              <w:t>Page 2 of 7</w:t>
            </w:r>
          </w:p>
        </w:tc>
      </w:tr>
      <w:tr>
        <w:trPr>
          <w:trHeight w:val="226"/>
        </w:trPr>
        <w:tc>
          <w:tcPr>
            <w:tcW w:w="60" w:type="dxa"/>
            <w:vAlign w:val="bottom"/>
          </w:tcPr>
          <w:p>
            <w:pPr>
              <w:spacing w:after="0"/>
              <w:rPr>
                <w:sz w:val="19"/>
                <w:szCs w:val="19"/>
                <w:color w:val="auto"/>
              </w:rPr>
            </w:pPr>
          </w:p>
        </w:tc>
        <w:tc>
          <w:tcPr>
            <w:tcW w:w="8380" w:type="dxa"/>
            <w:vAlign w:val="bottom"/>
            <w:tcBorders>
              <w:bottom w:val="single" w:sz="8" w:color="auto"/>
            </w:tcBorders>
            <w:gridSpan w:val="3"/>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50"/>
        </w:trPr>
        <w:tc>
          <w:tcPr>
            <w:tcW w:w="60" w:type="dxa"/>
            <w:vAlign w:val="bottom"/>
            <w:tcBorders>
              <w:right w:val="single" w:sz="8" w:color="auto"/>
            </w:tcBorders>
          </w:tcPr>
          <w:p>
            <w:pPr>
              <w:spacing w:after="0"/>
              <w:rPr>
                <w:sz w:val="21"/>
                <w:szCs w:val="21"/>
                <w:color w:val="auto"/>
              </w:rPr>
            </w:pPr>
          </w:p>
        </w:tc>
        <w:tc>
          <w:tcPr>
            <w:tcW w:w="8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CUSIP No. 92840H400</w:t>
            </w:r>
          </w:p>
        </w:tc>
        <w:tc>
          <w:tcPr>
            <w:tcW w:w="2800" w:type="dxa"/>
            <w:vAlign w:val="bottom"/>
            <w:tcBorders>
              <w:bottom w:val="single" w:sz="8" w:color="auto"/>
              <w:right w:val="single" w:sz="8" w:color="auto"/>
            </w:tcBorders>
          </w:tcPr>
          <w:p>
            <w:pPr>
              <w:spacing w:after="0"/>
              <w:rPr>
                <w:sz w:val="21"/>
                <w:szCs w:val="21"/>
                <w:color w:val="auto"/>
              </w:rPr>
            </w:pPr>
          </w:p>
        </w:tc>
      </w:tr>
      <w:tr>
        <w:trPr>
          <w:trHeight w:val="247"/>
        </w:trPr>
        <w:tc>
          <w:tcPr>
            <w:tcW w:w="6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(1)</w:t>
            </w:r>
          </w:p>
        </w:tc>
        <w:tc>
          <w:tcPr>
            <w:tcW w:w="81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Nantahala Capital Management, LLC</w:t>
            </w:r>
          </w:p>
        </w:tc>
      </w:tr>
      <w:tr>
        <w:trPr>
          <w:trHeight w:val="250"/>
        </w:trPr>
        <w:tc>
          <w:tcPr>
            <w:tcW w:w="6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(2)</w:t>
            </w:r>
          </w:p>
        </w:tc>
        <w:tc>
          <w:tcPr>
            <w:tcW w:w="81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t>
            </w:r>
          </w:p>
        </w:tc>
      </w:tr>
      <w:tr>
        <w:trPr>
          <w:trHeight w:val="250"/>
        </w:trPr>
        <w:tc>
          <w:tcPr>
            <w:tcW w:w="6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740" w:type="dxa"/>
            <w:vAlign w:val="bottom"/>
            <w:tcBorders>
              <w:bottom w:val="single" w:sz="8" w:color="auto"/>
              <w:right w:val="single" w:sz="8" w:color="auto"/>
            </w:tcBorders>
          </w:tcPr>
          <w:p>
            <w:pPr>
              <w:ind w:left="2920"/>
              <w:spacing w:after="0"/>
              <w:rPr>
                <w:sz w:val="20"/>
                <w:szCs w:val="20"/>
                <w:color w:val="auto"/>
              </w:rPr>
            </w:pPr>
            <w:r>
              <w:rPr>
                <w:rFonts w:ascii="Times New Roman" w:cs="Times New Roman" w:eastAsia="Times New Roman" w:hAnsi="Times New Roman"/>
                <w:sz w:val="18"/>
                <w:szCs w:val="18"/>
                <w:color w:val="auto"/>
              </w:rPr>
              <w:t>(see instructions)</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w:t>
            </w:r>
          </w:p>
        </w:tc>
      </w:tr>
      <w:tr>
        <w:trPr>
          <w:trHeight w:val="250"/>
        </w:trPr>
        <w:tc>
          <w:tcPr>
            <w:tcW w:w="6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(3)</w:t>
            </w:r>
          </w:p>
        </w:tc>
        <w:tc>
          <w:tcPr>
            <w:tcW w:w="81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2800" w:type="dxa"/>
            <w:vAlign w:val="bottom"/>
            <w:tcBorders>
              <w:bottom w:val="single" w:sz="8" w:color="auto"/>
              <w:right w:val="single" w:sz="8" w:color="auto"/>
            </w:tcBorders>
          </w:tcPr>
          <w:p>
            <w:pPr>
              <w:spacing w:after="0"/>
              <w:rPr>
                <w:sz w:val="21"/>
                <w:szCs w:val="21"/>
                <w:color w:val="auto"/>
              </w:rPr>
            </w:pPr>
          </w:p>
        </w:tc>
      </w:tr>
      <w:tr>
        <w:trPr>
          <w:trHeight w:val="250"/>
        </w:trPr>
        <w:tc>
          <w:tcPr>
            <w:tcW w:w="6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(4)</w:t>
            </w:r>
          </w:p>
        </w:tc>
        <w:tc>
          <w:tcPr>
            <w:tcW w:w="81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w:t>
            </w:r>
          </w:p>
        </w:tc>
      </w:tr>
      <w:tr>
        <w:trPr>
          <w:trHeight w:val="250"/>
        </w:trPr>
        <w:tc>
          <w:tcPr>
            <w:tcW w:w="60" w:type="dxa"/>
            <w:vAlign w:val="bottom"/>
            <w:tcBorders>
              <w:right w:val="single" w:sz="8" w:color="auto"/>
            </w:tcBorders>
          </w:tcPr>
          <w:p>
            <w:pPr>
              <w:spacing w:after="0"/>
              <w:rPr>
                <w:sz w:val="21"/>
                <w:szCs w:val="21"/>
                <w:color w:val="auto"/>
              </w:rPr>
            </w:pPr>
          </w:p>
        </w:tc>
        <w:tc>
          <w:tcPr>
            <w:tcW w:w="83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tc>
        <w:tc>
          <w:tcPr>
            <w:tcW w:w="2800" w:type="dxa"/>
            <w:vAlign w:val="bottom"/>
            <w:tcBorders>
              <w:bottom w:val="single" w:sz="8" w:color="auto"/>
              <w:right w:val="single" w:sz="8" w:color="auto"/>
            </w:tcBorders>
          </w:tcPr>
          <w:p>
            <w:pPr>
              <w:spacing w:after="0"/>
              <w:rPr>
                <w:sz w:val="21"/>
                <w:szCs w:val="21"/>
                <w:color w:val="auto"/>
              </w:rPr>
            </w:pPr>
          </w:p>
        </w:tc>
      </w:tr>
      <w:tr>
        <w:trPr>
          <w:trHeight w:val="250"/>
        </w:trPr>
        <w:tc>
          <w:tcPr>
            <w:tcW w:w="6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5"/>
              </w:rPr>
              <w:t>(5)</w:t>
            </w:r>
          </w:p>
        </w:tc>
        <w:tc>
          <w:tcPr>
            <w:tcW w:w="7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r>
      <w:tr>
        <w:trPr>
          <w:trHeight w:val="250"/>
        </w:trPr>
        <w:tc>
          <w:tcPr>
            <w:tcW w:w="6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5"/>
              </w:rPr>
              <w:t>(6)</w:t>
            </w:r>
          </w:p>
        </w:tc>
        <w:tc>
          <w:tcPr>
            <w:tcW w:w="7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2,797,588</w:t>
            </w:r>
          </w:p>
        </w:tc>
      </w:tr>
      <w:tr>
        <w:trPr>
          <w:trHeight w:val="250"/>
        </w:trPr>
        <w:tc>
          <w:tcPr>
            <w:tcW w:w="6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5"/>
              </w:rPr>
              <w:t>(7)</w:t>
            </w:r>
          </w:p>
        </w:tc>
        <w:tc>
          <w:tcPr>
            <w:tcW w:w="7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r>
      <w:tr>
        <w:trPr>
          <w:trHeight w:val="250"/>
        </w:trPr>
        <w:tc>
          <w:tcPr>
            <w:tcW w:w="6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5"/>
              </w:rPr>
              <w:t>(8)</w:t>
            </w:r>
          </w:p>
        </w:tc>
        <w:tc>
          <w:tcPr>
            <w:tcW w:w="7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2,797,588</w:t>
            </w:r>
          </w:p>
        </w:tc>
      </w:tr>
      <w:tr>
        <w:trPr>
          <w:trHeight w:val="250"/>
        </w:trPr>
        <w:tc>
          <w:tcPr>
            <w:tcW w:w="60" w:type="dxa"/>
            <w:vAlign w:val="bottom"/>
            <w:tcBorders>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(9)</w:t>
            </w:r>
          </w:p>
        </w:tc>
        <w:tc>
          <w:tcPr>
            <w:tcW w:w="81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2,797,588</w:t>
            </w:r>
          </w:p>
        </w:tc>
      </w:tr>
      <w:tr>
        <w:trPr>
          <w:trHeight w:val="250"/>
        </w:trPr>
        <w:tc>
          <w:tcPr>
            <w:tcW w:w="60" w:type="dxa"/>
            <w:vAlign w:val="bottom"/>
            <w:tcBorders>
              <w:right w:val="single" w:sz="8" w:color="auto"/>
            </w:tcBorders>
          </w:tcPr>
          <w:p>
            <w:pPr>
              <w:spacing w:after="0"/>
              <w:rPr>
                <w:sz w:val="21"/>
                <w:szCs w:val="21"/>
                <w:color w:val="auto"/>
              </w:rPr>
            </w:pPr>
          </w:p>
        </w:tc>
        <w:tc>
          <w:tcPr>
            <w:tcW w:w="83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(10) Check if the aggregate amount in Row (9) excludes certain shares (see instructions)</w:t>
            </w:r>
          </w:p>
        </w:tc>
        <w:tc>
          <w:tcPr>
            <w:tcW w:w="2800" w:type="dxa"/>
            <w:vAlign w:val="bottom"/>
            <w:tcBorders>
              <w:bottom w:val="single" w:sz="8" w:color="auto"/>
              <w:right w:val="single" w:sz="8" w:color="auto"/>
            </w:tcBorders>
          </w:tcPr>
          <w:p>
            <w:pPr>
              <w:spacing w:after="0"/>
              <w:rPr>
                <w:sz w:val="21"/>
                <w:szCs w:val="21"/>
                <w:color w:val="auto"/>
              </w:rPr>
            </w:pPr>
          </w:p>
        </w:tc>
      </w:tr>
      <w:tr>
        <w:trPr>
          <w:trHeight w:val="250"/>
        </w:trPr>
        <w:tc>
          <w:tcPr>
            <w:tcW w:w="60" w:type="dxa"/>
            <w:vAlign w:val="bottom"/>
            <w:tcBorders>
              <w:right w:val="single" w:sz="8" w:color="auto"/>
            </w:tcBorders>
          </w:tcPr>
          <w:p>
            <w:pPr>
              <w:spacing w:after="0"/>
              <w:rPr>
                <w:sz w:val="21"/>
                <w:szCs w:val="21"/>
                <w:color w:val="auto"/>
              </w:rPr>
            </w:pPr>
          </w:p>
        </w:tc>
        <w:tc>
          <w:tcPr>
            <w:tcW w:w="83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(11) Percent of class represented by amount in Row (9)</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w:t>
            </w:r>
          </w:p>
        </w:tc>
      </w:tr>
      <w:tr>
        <w:trPr>
          <w:trHeight w:val="250"/>
        </w:trPr>
        <w:tc>
          <w:tcPr>
            <w:tcW w:w="60" w:type="dxa"/>
            <w:vAlign w:val="bottom"/>
            <w:tcBorders>
              <w:right w:val="single" w:sz="8" w:color="auto"/>
            </w:tcBorders>
          </w:tcPr>
          <w:p>
            <w:pPr>
              <w:spacing w:after="0"/>
              <w:rPr>
                <w:sz w:val="21"/>
                <w:szCs w:val="21"/>
                <w:color w:val="auto"/>
              </w:rPr>
            </w:pPr>
          </w:p>
        </w:tc>
        <w:tc>
          <w:tcPr>
            <w:tcW w:w="83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(12) Type of reporting person (see instructions)</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IA</w:t>
            </w:r>
          </w:p>
        </w:tc>
      </w:tr>
      <w:tr>
        <w:trPr>
          <w:trHeight w:val="688"/>
        </w:trPr>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278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5"/>
              </w:rPr>
              <w:t>Page 3 of 7</w:t>
            </w:r>
          </w:p>
        </w:tc>
      </w:tr>
      <w:tr>
        <w:trPr>
          <w:trHeight w:val="257"/>
        </w:trPr>
        <w:tc>
          <w:tcPr>
            <w:tcW w:w="40" w:type="dxa"/>
            <w:vAlign w:val="bottom"/>
          </w:tcPr>
          <w:p>
            <w:pPr>
              <w:spacing w:after="0"/>
              <w:rPr>
                <w:sz w:val="22"/>
                <w:szCs w:val="22"/>
                <w:color w:val="auto"/>
              </w:rPr>
            </w:pPr>
          </w:p>
        </w:tc>
        <w:tc>
          <w:tcPr>
            <w:tcW w:w="8420" w:type="dxa"/>
            <w:vAlign w:val="bottom"/>
            <w:tcBorders>
              <w:bottom w:val="single" w:sz="8" w:color="auto"/>
            </w:tcBorders>
            <w:gridSpan w:val="3"/>
          </w:tcPr>
          <w:p>
            <w:pPr>
              <w:spacing w:after="0"/>
              <w:rPr>
                <w:sz w:val="22"/>
                <w:szCs w:val="22"/>
                <w:color w:val="auto"/>
              </w:rPr>
            </w:pPr>
          </w:p>
        </w:tc>
        <w:tc>
          <w:tcPr>
            <w:tcW w:w="2780" w:type="dxa"/>
            <w:vAlign w:val="bottom"/>
            <w:tcBorders>
              <w:bottom w:val="single" w:sz="8" w:color="auto"/>
            </w:tcBorders>
          </w:tcPr>
          <w:p>
            <w:pPr>
              <w:spacing w:after="0"/>
              <w:rPr>
                <w:sz w:val="22"/>
                <w:szCs w:val="22"/>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8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CUSIP No. 92840H400</w:t>
            </w:r>
          </w:p>
        </w:tc>
        <w:tc>
          <w:tcPr>
            <w:tcW w:w="2780" w:type="dxa"/>
            <w:vAlign w:val="bottom"/>
            <w:tcBorders>
              <w:bottom w:val="single" w:sz="8" w:color="auto"/>
              <w:right w:val="single" w:sz="8" w:color="auto"/>
            </w:tcBorders>
          </w:tcPr>
          <w:p>
            <w:pPr>
              <w:spacing w:after="0"/>
              <w:rPr>
                <w:sz w:val="21"/>
                <w:szCs w:val="2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5"/>
              </w:rPr>
              <w:t>(1)</w:t>
            </w:r>
          </w:p>
        </w:tc>
        <w:tc>
          <w:tcPr>
            <w:tcW w:w="81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Wilmot B. Harkey</w:t>
            </w:r>
          </w:p>
        </w:tc>
      </w:tr>
      <w:tr>
        <w:trPr>
          <w:trHeight w:val="250"/>
        </w:trPr>
        <w:tc>
          <w:tcPr>
            <w:tcW w:w="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5"/>
              </w:rPr>
              <w:t>(2)</w:t>
            </w:r>
          </w:p>
        </w:tc>
        <w:tc>
          <w:tcPr>
            <w:tcW w:w="81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w:t>
            </w:r>
          </w:p>
        </w:tc>
      </w:tr>
      <w:tr>
        <w:trPr>
          <w:trHeight w:val="250"/>
        </w:trPr>
        <w:tc>
          <w:tcPr>
            <w:tcW w:w="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760" w:type="dxa"/>
            <w:vAlign w:val="bottom"/>
            <w:tcBorders>
              <w:bottom w:val="single" w:sz="8" w:color="auto"/>
              <w:right w:val="single" w:sz="8" w:color="auto"/>
            </w:tcBorders>
          </w:tcPr>
          <w:p>
            <w:pPr>
              <w:ind w:left="2920"/>
              <w:spacing w:after="0"/>
              <w:rPr>
                <w:sz w:val="20"/>
                <w:szCs w:val="20"/>
                <w:color w:val="auto"/>
              </w:rPr>
            </w:pPr>
            <w:r>
              <w:rPr>
                <w:rFonts w:ascii="Times New Roman" w:cs="Times New Roman" w:eastAsia="Times New Roman" w:hAnsi="Times New Roman"/>
                <w:sz w:val="18"/>
                <w:szCs w:val="18"/>
                <w:color w:val="auto"/>
              </w:rPr>
              <w:t>(see instructions)</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w:t>
            </w:r>
          </w:p>
        </w:tc>
      </w:tr>
      <w:tr>
        <w:trPr>
          <w:trHeight w:val="250"/>
        </w:trPr>
        <w:tc>
          <w:tcPr>
            <w:tcW w:w="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5"/>
              </w:rPr>
              <w:t>(3)</w:t>
            </w:r>
          </w:p>
        </w:tc>
        <w:tc>
          <w:tcPr>
            <w:tcW w:w="81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2780" w:type="dxa"/>
            <w:vAlign w:val="bottom"/>
            <w:tcBorders>
              <w:bottom w:val="single" w:sz="8" w:color="auto"/>
              <w:right w:val="single" w:sz="8" w:color="auto"/>
            </w:tcBorders>
          </w:tcPr>
          <w:p>
            <w:pPr>
              <w:spacing w:after="0"/>
              <w:rPr>
                <w:sz w:val="21"/>
                <w:szCs w:val="2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5"/>
              </w:rPr>
              <w:t>(4)</w:t>
            </w:r>
          </w:p>
        </w:tc>
        <w:tc>
          <w:tcPr>
            <w:tcW w:w="81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USA</w:t>
            </w:r>
          </w:p>
        </w:tc>
      </w:tr>
      <w:tr>
        <w:trPr>
          <w:trHeight w:val="250"/>
        </w:trPr>
        <w:tc>
          <w:tcPr>
            <w:tcW w:w="40" w:type="dxa"/>
            <w:vAlign w:val="bottom"/>
            <w:tcBorders>
              <w:right w:val="single" w:sz="8" w:color="auto"/>
            </w:tcBorders>
          </w:tcPr>
          <w:p>
            <w:pPr>
              <w:spacing w:after="0"/>
              <w:rPr>
                <w:sz w:val="21"/>
                <w:szCs w:val="21"/>
                <w:color w:val="auto"/>
              </w:rPr>
            </w:pPr>
          </w:p>
        </w:tc>
        <w:tc>
          <w:tcPr>
            <w:tcW w:w="842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tc>
        <w:tc>
          <w:tcPr>
            <w:tcW w:w="2780" w:type="dxa"/>
            <w:vAlign w:val="bottom"/>
            <w:tcBorders>
              <w:bottom w:val="single" w:sz="8" w:color="auto"/>
              <w:right w:val="single" w:sz="8" w:color="auto"/>
            </w:tcBorders>
          </w:tcPr>
          <w:p>
            <w:pPr>
              <w:spacing w:after="0"/>
              <w:rPr>
                <w:sz w:val="21"/>
                <w:szCs w:val="2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5"/>
              </w:rPr>
              <w:t>(5)</w:t>
            </w:r>
          </w:p>
        </w:tc>
        <w:tc>
          <w:tcPr>
            <w:tcW w:w="7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r>
      <w:tr>
        <w:trPr>
          <w:trHeight w:val="250"/>
        </w:trPr>
        <w:tc>
          <w:tcPr>
            <w:tcW w:w="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5"/>
              </w:rPr>
              <w:t>(6)</w:t>
            </w:r>
          </w:p>
        </w:tc>
        <w:tc>
          <w:tcPr>
            <w:tcW w:w="7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2,797,588</w:t>
            </w:r>
          </w:p>
        </w:tc>
      </w:tr>
      <w:tr>
        <w:trPr>
          <w:trHeight w:val="250"/>
        </w:trPr>
        <w:tc>
          <w:tcPr>
            <w:tcW w:w="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5"/>
              </w:rPr>
              <w:t>(7)</w:t>
            </w:r>
          </w:p>
        </w:tc>
        <w:tc>
          <w:tcPr>
            <w:tcW w:w="7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r>
      <w:tr>
        <w:trPr>
          <w:trHeight w:val="250"/>
        </w:trPr>
        <w:tc>
          <w:tcPr>
            <w:tcW w:w="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5"/>
              </w:rPr>
              <w:t>(8)</w:t>
            </w:r>
          </w:p>
        </w:tc>
        <w:tc>
          <w:tcPr>
            <w:tcW w:w="7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2,797,588</w:t>
            </w:r>
          </w:p>
        </w:tc>
      </w:tr>
      <w:tr>
        <w:trPr>
          <w:trHeight w:val="250"/>
        </w:trPr>
        <w:tc>
          <w:tcPr>
            <w:tcW w:w="40" w:type="dxa"/>
            <w:vAlign w:val="bottom"/>
            <w:tcBorders>
              <w:right w:val="single" w:sz="8" w:color="auto"/>
            </w:tcBorders>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5"/>
              </w:rPr>
              <w:t>(9)</w:t>
            </w:r>
          </w:p>
        </w:tc>
        <w:tc>
          <w:tcPr>
            <w:tcW w:w="81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2,797,588</w:t>
            </w:r>
          </w:p>
        </w:tc>
      </w:tr>
      <w:tr>
        <w:trPr>
          <w:trHeight w:val="250"/>
        </w:trPr>
        <w:tc>
          <w:tcPr>
            <w:tcW w:w="40" w:type="dxa"/>
            <w:vAlign w:val="bottom"/>
            <w:tcBorders>
              <w:right w:val="single" w:sz="8" w:color="auto"/>
            </w:tcBorders>
          </w:tcPr>
          <w:p>
            <w:pPr>
              <w:spacing w:after="0"/>
              <w:rPr>
                <w:sz w:val="21"/>
                <w:szCs w:val="21"/>
                <w:color w:val="auto"/>
              </w:rPr>
            </w:pPr>
          </w:p>
        </w:tc>
        <w:tc>
          <w:tcPr>
            <w:tcW w:w="842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(10) Check if the aggregate amount in Row (9) excludes certain shares (see instructions)</w:t>
            </w:r>
          </w:p>
        </w:tc>
        <w:tc>
          <w:tcPr>
            <w:tcW w:w="2780" w:type="dxa"/>
            <w:vAlign w:val="bottom"/>
            <w:tcBorders>
              <w:bottom w:val="single" w:sz="8" w:color="auto"/>
              <w:right w:val="single" w:sz="8" w:color="auto"/>
            </w:tcBorders>
          </w:tcPr>
          <w:p>
            <w:pPr>
              <w:spacing w:after="0"/>
              <w:rPr>
                <w:sz w:val="21"/>
                <w:szCs w:val="2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842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(11) Percent of class represented by amount in Row (9)</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r>
      <w:tr>
        <w:trPr>
          <w:trHeight w:val="233"/>
        </w:trPr>
        <w:tc>
          <w:tcPr>
            <w:tcW w:w="40" w:type="dxa"/>
            <w:vAlign w:val="bottom"/>
            <w:tcBorders>
              <w:right w:val="single" w:sz="8" w:color="auto"/>
            </w:tcBorders>
          </w:tcPr>
          <w:p>
            <w:pPr>
              <w:spacing w:after="0"/>
              <w:rPr>
                <w:sz w:val="20"/>
                <w:szCs w:val="20"/>
                <w:color w:val="auto"/>
              </w:rPr>
            </w:pPr>
          </w:p>
        </w:tc>
        <w:tc>
          <w:tcPr>
            <w:tcW w:w="842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(12) Type of reporting person (see instructions)</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w:t>
            </w:r>
          </w:p>
        </w:tc>
      </w:tr>
      <w:tr>
        <w:trPr>
          <w:trHeight w:val="685"/>
        </w:trPr>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CUSIP NO. 92840H400</w:t>
      </w:r>
      <w:r>
        <w:rPr>
          <w:sz w:val="20"/>
          <w:szCs w:val="20"/>
          <w:color w:val="auto"/>
        </w:rPr>
        <w:tab/>
      </w:r>
      <w:r>
        <w:rPr>
          <w:rFonts w:ascii="Times New Roman" w:cs="Times New Roman" w:eastAsia="Times New Roman" w:hAnsi="Times New Roman"/>
          <w:sz w:val="18"/>
          <w:szCs w:val="18"/>
          <w:b w:val="1"/>
          <w:bCs w:val="1"/>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165735</wp:posOffset>
            </wp:positionV>
            <wp:extent cx="7115175"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CUSIP No. 92840H400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533209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32095" cy="163195"/>
                    </a:xfrm>
                    <a:prstGeom prst="rect">
                      <a:avLst/>
                    </a:prstGeom>
                    <a:noFill/>
                  </pic:spPr>
                </pic:pic>
              </a:graphicData>
            </a:graphic>
          </wp:anchor>
        </w:drawing>
      </w:r>
    </w:p>
    <w:p>
      <w:pPr>
        <w:spacing w:after="0" w:line="43" w:lineRule="exact"/>
        <w:rPr>
          <w:sz w:val="20"/>
          <w:szCs w:val="20"/>
          <w:color w:val="auto"/>
        </w:rPr>
      </w:pPr>
    </w:p>
    <w:p>
      <w:pPr>
        <w:ind w:left="300" w:hanging="247"/>
        <w:spacing w:after="0"/>
        <w:tabs>
          <w:tab w:leader="none" w:pos="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63" w:lineRule="exact"/>
        <w:rPr>
          <w:rFonts w:ascii="Times New Roman" w:cs="Times New Roman" w:eastAsia="Times New Roman" w:hAnsi="Times New Roman"/>
          <w:sz w:val="18"/>
          <w:szCs w:val="18"/>
          <w:color w:val="auto"/>
        </w:rPr>
      </w:pPr>
    </w:p>
    <w:p>
      <w:pPr>
        <w:ind w:left="300" w:hanging="247"/>
        <w:spacing w:after="0"/>
        <w:tabs>
          <w:tab w:leader="none" w:pos="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-136525</wp:posOffset>
            </wp:positionV>
            <wp:extent cx="5332095"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32095" cy="334645"/>
                    </a:xfrm>
                    <a:prstGeom prst="rect">
                      <a:avLst/>
                    </a:prstGeom>
                    <a:noFill/>
                  </pic:spPr>
                </pic:pic>
              </a:graphicData>
            </a:graphic>
          </wp:anchor>
        </w:drawing>
      </w:r>
    </w:p>
    <w:p>
      <w:pPr>
        <w:spacing w:after="0" w:line="43"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533209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32095" cy="163195"/>
                    </a:xfrm>
                    <a:prstGeom prst="rect">
                      <a:avLst/>
                    </a:prstGeom>
                    <a:noFill/>
                  </pic:spPr>
                </pic:pic>
              </a:graphicData>
            </a:graphic>
          </wp:anchor>
        </w:drawing>
      </w:r>
    </w:p>
    <w:p>
      <w:pPr>
        <w:spacing w:after="0" w:line="43" w:lineRule="exact"/>
        <w:rPr>
          <w:sz w:val="20"/>
          <w:szCs w:val="20"/>
          <w:color w:val="auto"/>
        </w:rPr>
      </w:pPr>
    </w:p>
    <w:p>
      <w:pPr>
        <w:ind w:left="300" w:hanging="247"/>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63" w:lineRule="exact"/>
        <w:rPr>
          <w:rFonts w:ascii="Times New Roman" w:cs="Times New Roman" w:eastAsia="Times New Roman" w:hAnsi="Times New Roman"/>
          <w:sz w:val="18"/>
          <w:szCs w:val="18"/>
          <w:color w:val="auto"/>
        </w:rPr>
      </w:pPr>
    </w:p>
    <w:p>
      <w:pPr>
        <w:ind w:left="300" w:hanging="247"/>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-136525</wp:posOffset>
            </wp:positionV>
            <wp:extent cx="5332095"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32095" cy="334645"/>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533209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32095" cy="163195"/>
                    </a:xfrm>
                    <a:prstGeom prst="rect">
                      <a:avLst/>
                    </a:prstGeom>
                    <a:noFill/>
                  </pic:spPr>
                </pic:pic>
              </a:graphicData>
            </a:graphic>
          </wp:anchor>
        </w:drawing>
      </w:r>
    </w:p>
    <w:p>
      <w:pPr>
        <w:spacing w:after="0" w:line="43" w:lineRule="exact"/>
        <w:rPr>
          <w:sz w:val="20"/>
          <w:szCs w:val="20"/>
          <w:color w:val="auto"/>
        </w:rPr>
      </w:pPr>
    </w:p>
    <w:p>
      <w:pPr>
        <w:ind w:left="720" w:hanging="249"/>
        <w:spacing w:after="0"/>
        <w:tabs>
          <w:tab w:leader="none" w:pos="7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63" w:lineRule="exact"/>
        <w:rPr>
          <w:rFonts w:ascii="Times New Roman" w:cs="Times New Roman" w:eastAsia="Times New Roman" w:hAnsi="Times New Roman"/>
          <w:sz w:val="18"/>
          <w:szCs w:val="18"/>
          <w:color w:val="auto"/>
        </w:rPr>
      </w:pPr>
    </w:p>
    <w:p>
      <w:pPr>
        <w:ind w:left="720" w:hanging="249"/>
        <w:spacing w:after="0"/>
        <w:tabs>
          <w:tab w:leader="none" w:pos="7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63" w:lineRule="exact"/>
        <w:rPr>
          <w:rFonts w:ascii="Times New Roman" w:cs="Times New Roman" w:eastAsia="Times New Roman" w:hAnsi="Times New Roman"/>
          <w:sz w:val="18"/>
          <w:szCs w:val="18"/>
          <w:color w:val="auto"/>
        </w:rPr>
      </w:pPr>
    </w:p>
    <w:p>
      <w:pPr>
        <w:ind w:left="720" w:hanging="249"/>
        <w:spacing w:after="0"/>
        <w:tabs>
          <w:tab w:leader="none" w:pos="7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63" w:lineRule="exact"/>
        <w:rPr>
          <w:rFonts w:ascii="Times New Roman" w:cs="Times New Roman" w:eastAsia="Times New Roman" w:hAnsi="Times New Roman"/>
          <w:sz w:val="18"/>
          <w:szCs w:val="18"/>
          <w:color w:val="auto"/>
        </w:rPr>
      </w:pPr>
    </w:p>
    <w:p>
      <w:pPr>
        <w:ind w:left="720" w:hanging="249"/>
        <w:spacing w:after="0"/>
        <w:tabs>
          <w:tab w:leader="none" w:pos="7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63" w:lineRule="exact"/>
        <w:rPr>
          <w:rFonts w:ascii="Times New Roman" w:cs="Times New Roman" w:eastAsia="Times New Roman" w:hAnsi="Times New Roman"/>
          <w:sz w:val="18"/>
          <w:szCs w:val="18"/>
          <w:color w:val="auto"/>
        </w:rPr>
      </w:pPr>
    </w:p>
    <w:p>
      <w:pPr>
        <w:ind w:left="300" w:hanging="247"/>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63" w:lineRule="exact"/>
        <w:rPr>
          <w:rFonts w:ascii="Times New Roman" w:cs="Times New Roman" w:eastAsia="Times New Roman" w:hAnsi="Times New Roman"/>
          <w:sz w:val="18"/>
          <w:szCs w:val="18"/>
          <w:color w:val="auto"/>
        </w:rPr>
      </w:pPr>
    </w:p>
    <w:p>
      <w:pPr>
        <w:ind w:left="400" w:hanging="347"/>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63" w:lineRule="exact"/>
        <w:rPr>
          <w:rFonts w:ascii="Times New Roman" w:cs="Times New Roman" w:eastAsia="Times New Roman" w:hAnsi="Times New Roman"/>
          <w:sz w:val="18"/>
          <w:szCs w:val="18"/>
          <w:color w:val="auto"/>
        </w:rPr>
      </w:pPr>
    </w:p>
    <w:p>
      <w:pPr>
        <w:ind w:left="400" w:hanging="347"/>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63" w:lineRule="exact"/>
        <w:rPr>
          <w:rFonts w:ascii="Times New Roman" w:cs="Times New Roman" w:eastAsia="Times New Roman" w:hAnsi="Times New Roman"/>
          <w:sz w:val="18"/>
          <w:szCs w:val="18"/>
          <w:color w:val="auto"/>
        </w:rPr>
      </w:pPr>
    </w:p>
    <w:p>
      <w:pPr>
        <w:ind w:left="400" w:hanging="347"/>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-1165225</wp:posOffset>
            </wp:positionV>
            <wp:extent cx="5332095" cy="1208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32095" cy="1208405"/>
                    </a:xfrm>
                    <a:prstGeom prst="rect">
                      <a:avLst/>
                    </a:prstGeom>
                    <a:noFill/>
                  </pic:spPr>
                </pic:pic>
              </a:graphicData>
            </a:graphic>
          </wp:anchor>
        </w:drawing>
      </w:r>
    </w:p>
    <w:p>
      <w:pPr>
        <w:spacing w:after="0" w:line="25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VistaGen Therapeutics, Inc. (the “Issuer”).</w:t>
      </w:r>
    </w:p>
    <w:p>
      <w:pPr>
        <w:spacing w:after="0" w:line="2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the Issuer's Principal Executive Offices:</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343 ALLERTON AVENUE, SOUTH SAN FRANCISCO, CA 94080</w:t>
      </w:r>
    </w:p>
    <w:p>
      <w:pPr>
        <w:spacing w:after="0" w:line="2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Nantahala Capital Management, LLC (“Nantahala”)</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Wilmot B. Harkey</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Daniel Mack (together the “Reporting Persons”)</w:t>
      </w:r>
    </w:p>
    <w:p>
      <w:pPr>
        <w:spacing w:after="0" w:line="20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7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130 Main St.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ind w:left="1480"/>
        <w:spacing w:after="0"/>
        <w:rPr>
          <w:sz w:val="20"/>
          <w:szCs w:val="20"/>
          <w:color w:val="auto"/>
        </w:rPr>
      </w:pPr>
      <w:r>
        <w:rPr>
          <w:rFonts w:ascii="Times New Roman" w:cs="Times New Roman" w:eastAsia="Times New Roman" w:hAnsi="Times New Roman"/>
          <w:sz w:val="18"/>
          <w:szCs w:val="18"/>
          <w:color w:val="auto"/>
        </w:rPr>
        <w:t>New Canaan, CT 06840</w:t>
      </w:r>
    </w:p>
    <w:p>
      <w:pPr>
        <w:spacing w:after="0" w:line="20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Nantahala is a Massachusetts limited liability company.</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Each of Messrs. Harkey and Mack is a citizen of the United States of America.</w:t>
      </w:r>
    </w:p>
    <w:p>
      <w:pPr>
        <w:spacing w:after="0" w:line="20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Common Stock, par value $0.001 per share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-136525</wp:posOffset>
            </wp:positionV>
            <wp:extent cx="1774825"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4825" cy="3346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34290</wp:posOffset>
            </wp:positionV>
            <wp:extent cx="17748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74825" cy="16319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34290</wp:posOffset>
            </wp:positionV>
            <wp:extent cx="1774825"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74825" cy="33464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34290</wp:posOffset>
            </wp:positionV>
            <wp:extent cx="177482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74825" cy="33464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34290</wp:posOffset>
            </wp:positionV>
            <wp:extent cx="177482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74825" cy="16319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2,797,588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34290</wp:posOffset>
            </wp:positionV>
            <wp:extent cx="177482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74825" cy="16319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34290</wp:posOffset>
            </wp:positionV>
            <wp:extent cx="177482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74825" cy="16319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2,797,588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34290</wp:posOffset>
            </wp:positionV>
            <wp:extent cx="177482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74825" cy="16319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2,797,588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34290</wp:posOffset>
            </wp:positionV>
            <wp:extent cx="1774825" cy="33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74825" cy="33464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32385</wp:posOffset>
            </wp:positionV>
            <wp:extent cx="1778635" cy="184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78635" cy="1841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t>
      </w:r>
    </w:p>
    <w:p>
      <w:pPr>
        <w:sectPr>
          <w:pgSz w:w="11900" w:h="16838" w:orient="portrait"/>
          <w:cols w:equalWidth="0" w:num="2">
            <w:col w:w="7740" w:space="720"/>
            <w:col w:w="2780"/>
          </w:cols>
          <w:pgMar w:left="320" w:top="900"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12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Page 5 of 7</w:t>
            </w:r>
          </w:p>
        </w:tc>
      </w:tr>
      <w:tr>
        <w:trPr>
          <w:trHeight w:val="459"/>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12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92840H400</w:t>
            </w:r>
          </w:p>
        </w:tc>
        <w:tc>
          <w:tcPr>
            <w:tcW w:w="122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 13d-1(b), or 13d-2(b) or (c), check whether the person filing is a:</w:t>
            </w:r>
          </w:p>
        </w:tc>
        <w:tc>
          <w:tcPr>
            <w:tcW w:w="1220" w:type="dxa"/>
            <w:vAlign w:val="bottom"/>
          </w:tcPr>
          <w:p>
            <w:pPr>
              <w:spacing w:after="0"/>
              <w:rPr>
                <w:sz w:val="24"/>
                <w:szCs w:val="24"/>
                <w:color w:val="auto"/>
              </w:rPr>
            </w:pPr>
          </w:p>
        </w:tc>
      </w:tr>
      <w:tr>
        <w:trPr>
          <w:trHeight w:val="487"/>
        </w:trPr>
        <w:tc>
          <w:tcPr>
            <w:tcW w:w="1120" w:type="dxa"/>
            <w:vAlign w:val="bottom"/>
          </w:tcPr>
          <w:p>
            <w:pPr>
              <w:spacing w:after="0"/>
              <w:rPr>
                <w:sz w:val="24"/>
                <w:szCs w:val="24"/>
                <w:color w:val="auto"/>
              </w:rPr>
            </w:pPr>
          </w:p>
        </w:tc>
        <w:tc>
          <w:tcPr>
            <w:tcW w:w="8900" w:type="dxa"/>
            <w:vAlign w:val="bottom"/>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tc>
        <w:tc>
          <w:tcPr>
            <w:tcW w:w="12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900" w:type="dxa"/>
            <w:vAlign w:val="bottom"/>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tc>
        <w:tc>
          <w:tcPr>
            <w:tcW w:w="12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900" w:type="dxa"/>
            <w:vAlign w:val="bottom"/>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tc>
        <w:tc>
          <w:tcPr>
            <w:tcW w:w="12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900" w:type="dxa"/>
            <w:vAlign w:val="bottom"/>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tc>
        <w:tc>
          <w:tcPr>
            <w:tcW w:w="12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900" w:type="dxa"/>
            <w:vAlign w:val="bottom"/>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tc>
        <w:tc>
          <w:tcPr>
            <w:tcW w:w="12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900" w:type="dxa"/>
            <w:vAlign w:val="bottom"/>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tc>
        <w:tc>
          <w:tcPr>
            <w:tcW w:w="12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900" w:type="dxa"/>
            <w:vAlign w:val="bottom"/>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tc>
        <w:tc>
          <w:tcPr>
            <w:tcW w:w="12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900" w:type="dxa"/>
            <w:vAlign w:val="bottom"/>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(h)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tc>
        <w:tc>
          <w:tcPr>
            <w:tcW w:w="1220" w:type="dxa"/>
            <w:vAlign w:val="bottom"/>
          </w:tcPr>
          <w:p>
            <w:pPr>
              <w:spacing w:after="0"/>
              <w:rPr>
                <w:sz w:val="24"/>
                <w:szCs w:val="24"/>
                <w:color w:val="auto"/>
              </w:rPr>
            </w:pPr>
          </w:p>
        </w:tc>
      </w:tr>
      <w:tr>
        <w:trPr>
          <w:trHeight w:val="386"/>
        </w:trPr>
        <w:tc>
          <w:tcPr>
            <w:tcW w:w="1120" w:type="dxa"/>
            <w:vAlign w:val="bottom"/>
          </w:tcPr>
          <w:p>
            <w:pPr>
              <w:spacing w:after="0"/>
              <w:rPr>
                <w:sz w:val="24"/>
                <w:szCs w:val="24"/>
                <w:color w:val="auto"/>
              </w:rPr>
            </w:pPr>
          </w:p>
        </w:tc>
        <w:tc>
          <w:tcPr>
            <w:tcW w:w="10120" w:type="dxa"/>
            <w:vAlign w:val="bottom"/>
            <w:gridSpan w:val="2"/>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w:t>
            </w:r>
          </w:p>
        </w:tc>
      </w:tr>
      <w:tr>
        <w:trPr>
          <w:trHeight w:val="234"/>
        </w:trPr>
        <w:tc>
          <w:tcPr>
            <w:tcW w:w="112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 of 1940 (15 U.S.C. 80a-3).</w:t>
            </w:r>
          </w:p>
        </w:tc>
        <w:tc>
          <w:tcPr>
            <w:tcW w:w="1220" w:type="dxa"/>
            <w:vAlign w:val="bottom"/>
          </w:tcPr>
          <w:p>
            <w:pPr>
              <w:spacing w:after="0"/>
              <w:rPr>
                <w:sz w:val="20"/>
                <w:szCs w:val="20"/>
                <w:color w:val="auto"/>
              </w:rPr>
            </w:pPr>
          </w:p>
        </w:tc>
      </w:tr>
      <w:tr>
        <w:trPr>
          <w:trHeight w:val="460"/>
        </w:trPr>
        <w:tc>
          <w:tcPr>
            <w:tcW w:w="1120" w:type="dxa"/>
            <w:vAlign w:val="bottom"/>
          </w:tcPr>
          <w:p>
            <w:pPr>
              <w:spacing w:after="0"/>
              <w:rPr>
                <w:sz w:val="24"/>
                <w:szCs w:val="24"/>
                <w:color w:val="auto"/>
              </w:rPr>
            </w:pPr>
          </w:p>
        </w:tc>
        <w:tc>
          <w:tcPr>
            <w:tcW w:w="8900" w:type="dxa"/>
            <w:vAlign w:val="bottom"/>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(j)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tc>
        <w:tc>
          <w:tcPr>
            <w:tcW w:w="1220" w:type="dxa"/>
            <w:vAlign w:val="bottom"/>
          </w:tcPr>
          <w:p>
            <w:pPr>
              <w:spacing w:after="0"/>
              <w:rPr>
                <w:sz w:val="24"/>
                <w:szCs w:val="24"/>
                <w:color w:val="auto"/>
              </w:rPr>
            </w:pPr>
          </w:p>
        </w:tc>
      </w:tr>
      <w:tr>
        <w:trPr>
          <w:trHeight w:val="431"/>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22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4(a).</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c>
          <w:tcPr>
            <w:tcW w:w="122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10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 of December 31, 2023, Nantahala may be deemed to be the beneficial owner of 2,797,588 Shares held by funds and separately</w:t>
            </w:r>
          </w:p>
        </w:tc>
      </w:tr>
      <w:tr>
        <w:trPr>
          <w:trHeight w:val="216"/>
        </w:trPr>
        <w:tc>
          <w:tcPr>
            <w:tcW w:w="1120" w:type="dxa"/>
            <w:vAlign w:val="bottom"/>
          </w:tcPr>
          <w:p>
            <w:pPr>
              <w:spacing w:after="0"/>
              <w:rPr>
                <w:sz w:val="18"/>
                <w:szCs w:val="18"/>
                <w:color w:val="auto"/>
              </w:rPr>
            </w:pPr>
          </w:p>
        </w:tc>
        <w:tc>
          <w:tcPr>
            <w:tcW w:w="10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managed accounts under its control, and as the managing members of Nantahala, each of Messrs. Harkey and Mack may be deemed to</w:t>
            </w:r>
          </w:p>
        </w:tc>
      </w:tr>
      <w:tr>
        <w:trPr>
          <w:trHeight w:val="216"/>
        </w:trPr>
        <w:tc>
          <w:tcPr>
            <w:tcW w:w="1120" w:type="dxa"/>
            <w:vAlign w:val="bottom"/>
          </w:tcPr>
          <w:p>
            <w:pPr>
              <w:spacing w:after="0"/>
              <w:rPr>
                <w:sz w:val="18"/>
                <w:szCs w:val="18"/>
                <w:color w:val="auto"/>
              </w:rPr>
            </w:pPr>
          </w:p>
        </w:tc>
        <w:tc>
          <w:tcPr>
            <w:tcW w:w="10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be a beneficial owner of those Shares. The 2,797,588 Shares includes 980,858 Shares which may be acquired by the Reporting Persons</w:t>
            </w:r>
          </w:p>
        </w:tc>
      </w:tr>
      <w:tr>
        <w:trPr>
          <w:trHeight w:val="234"/>
        </w:trPr>
        <w:tc>
          <w:tcPr>
            <w:tcW w:w="112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within sixty days through the exercise of warrants.</w:t>
            </w:r>
          </w:p>
        </w:tc>
        <w:tc>
          <w:tcPr>
            <w:tcW w:w="122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4(b).</w:t>
            </w:r>
          </w:p>
        </w:tc>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122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0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 of December 31, 2023, each of the Reporting Persons may be deemed to be the beneficial owner of 9.9% of the total number of</w:t>
            </w:r>
          </w:p>
        </w:tc>
      </w:tr>
    </w:tbl>
    <w:p>
      <w:pPr>
        <w:ind w:left="1480"/>
        <w:spacing w:after="0" w:line="260" w:lineRule="auto"/>
        <w:rPr>
          <w:sz w:val="20"/>
          <w:szCs w:val="20"/>
          <w:color w:val="auto"/>
        </w:rPr>
      </w:pPr>
      <w:r>
        <w:rPr>
          <w:rFonts w:ascii="Times New Roman" w:cs="Times New Roman" w:eastAsia="Times New Roman" w:hAnsi="Times New Roman"/>
          <w:sz w:val="18"/>
          <w:szCs w:val="18"/>
          <w:color w:val="auto"/>
        </w:rPr>
        <w:t>Shares outstanding (based upon information provided by the Issuer on Form 10-Q filed November 9, 2023, there were 27,023,038 Shares outstanding in addition to the 980,858 Shares issuable upon the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 6 of 7</w:t>
            </w:r>
          </w:p>
        </w:tc>
      </w:tr>
      <w:tr>
        <w:trPr>
          <w:trHeight w:val="432"/>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4(c).</w:t>
            </w:r>
          </w:p>
        </w:tc>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 of shares as to which such person has:</w:t>
            </w:r>
          </w:p>
        </w:tc>
        <w:tc>
          <w:tcPr>
            <w:tcW w:w="2700" w:type="dxa"/>
            <w:vAlign w:val="bottom"/>
          </w:tcPr>
          <w:p>
            <w:pPr>
              <w:spacing w:after="0"/>
              <w:rPr>
                <w:sz w:val="24"/>
                <w:szCs w:val="24"/>
                <w:color w:val="auto"/>
              </w:rPr>
            </w:pPr>
          </w:p>
        </w:tc>
      </w:tr>
      <w:tr>
        <w:trPr>
          <w:trHeight w:val="391"/>
        </w:trPr>
        <w:tc>
          <w:tcPr>
            <w:tcW w:w="1480" w:type="dxa"/>
            <w:vAlign w:val="bottom"/>
          </w:tcPr>
          <w:p>
            <w:pPr>
              <w:spacing w:after="0"/>
              <w:rPr>
                <w:sz w:val="24"/>
                <w:szCs w:val="24"/>
                <w:color w:val="auto"/>
              </w:rPr>
            </w:pPr>
          </w:p>
        </w:tc>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Nantahala Capital Management, LLC</w:t>
            </w:r>
          </w:p>
        </w:tc>
        <w:tc>
          <w:tcPr>
            <w:tcW w:w="2700" w:type="dxa"/>
            <w:vAlign w:val="bottom"/>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53"/>
        </w:trPr>
        <w:tc>
          <w:tcPr>
            <w:tcW w:w="14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Sole power to vote or direct the vote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24"/>
        </w:trPr>
        <w:tc>
          <w:tcPr>
            <w:tcW w:w="14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2,797,588</w:t>
            </w:r>
          </w:p>
        </w:tc>
      </w:tr>
      <w:tr>
        <w:trPr>
          <w:trHeight w:val="324"/>
        </w:trPr>
        <w:tc>
          <w:tcPr>
            <w:tcW w:w="14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6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24"/>
        </w:trPr>
        <w:tc>
          <w:tcPr>
            <w:tcW w:w="14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6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2,797,588</w:t>
            </w:r>
          </w:p>
        </w:tc>
      </w:tr>
      <w:tr>
        <w:trPr>
          <w:trHeight w:val="391"/>
        </w:trPr>
        <w:tc>
          <w:tcPr>
            <w:tcW w:w="1480" w:type="dxa"/>
            <w:vAlign w:val="bottom"/>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Each of Messrs. Harkey and Mack</w:t>
            </w:r>
          </w:p>
        </w:tc>
        <w:tc>
          <w:tcPr>
            <w:tcW w:w="4520" w:type="dxa"/>
            <w:vAlign w:val="bottom"/>
            <w:gridSpan w:val="2"/>
          </w:tcPr>
          <w:p>
            <w:pPr>
              <w:spacing w:after="0"/>
              <w:rPr>
                <w:sz w:val="24"/>
                <w:szCs w:val="24"/>
                <w:color w:val="auto"/>
              </w:rPr>
            </w:pPr>
          </w:p>
        </w:tc>
        <w:tc>
          <w:tcPr>
            <w:tcW w:w="2700" w:type="dxa"/>
            <w:vAlign w:val="bottom"/>
          </w:tcPr>
          <w:p>
            <w:pPr>
              <w:spacing w:after="0"/>
              <w:rPr>
                <w:sz w:val="24"/>
                <w:szCs w:val="24"/>
                <w:color w:val="auto"/>
              </w:rPr>
            </w:pPr>
          </w:p>
        </w:tc>
      </w:tr>
      <w:tr>
        <w:trPr>
          <w:trHeight w:val="453"/>
        </w:trPr>
        <w:tc>
          <w:tcPr>
            <w:tcW w:w="14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Sole power to vote or direct the vote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24"/>
        </w:trPr>
        <w:tc>
          <w:tcPr>
            <w:tcW w:w="14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2,797,588</w:t>
            </w:r>
          </w:p>
        </w:tc>
      </w:tr>
      <w:tr>
        <w:trPr>
          <w:trHeight w:val="324"/>
        </w:trPr>
        <w:tc>
          <w:tcPr>
            <w:tcW w:w="14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6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24"/>
        </w:trPr>
        <w:tc>
          <w:tcPr>
            <w:tcW w:w="14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6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2,797,588</w:t>
            </w:r>
          </w:p>
        </w:tc>
      </w:tr>
      <w:tr>
        <w:trPr>
          <w:trHeight w:val="432"/>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c>
          <w:tcPr>
            <w:tcW w:w="2700" w:type="dxa"/>
            <w:vAlign w:val="bottom"/>
          </w:tcPr>
          <w:p>
            <w:pPr>
              <w:spacing w:after="0"/>
              <w:rPr>
                <w:sz w:val="24"/>
                <w:szCs w:val="24"/>
                <w:color w:val="auto"/>
              </w:rPr>
            </w:pPr>
          </w:p>
        </w:tc>
      </w:tr>
      <w:tr>
        <w:trPr>
          <w:trHeight w:val="432"/>
        </w:trPr>
        <w:tc>
          <w:tcPr>
            <w:tcW w:w="1480" w:type="dxa"/>
            <w:vAlign w:val="bottom"/>
          </w:tcPr>
          <w:p>
            <w:pPr>
              <w:spacing w:after="0"/>
              <w:rPr>
                <w:sz w:val="24"/>
                <w:szCs w:val="24"/>
                <w:color w:val="auto"/>
              </w:rPr>
            </w:pPr>
          </w:p>
        </w:tc>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This Item 5 is not applicable.</w:t>
            </w:r>
          </w:p>
        </w:tc>
        <w:tc>
          <w:tcPr>
            <w:tcW w:w="2700" w:type="dxa"/>
            <w:vAlign w:val="bottom"/>
          </w:tcPr>
          <w:p>
            <w:pPr>
              <w:spacing w:after="0"/>
              <w:rPr>
                <w:sz w:val="24"/>
                <w:szCs w:val="24"/>
                <w:color w:val="auto"/>
              </w:rPr>
            </w:pPr>
          </w:p>
        </w:tc>
      </w:tr>
      <w:tr>
        <w:trPr>
          <w:trHeight w:val="432"/>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c>
          <w:tcPr>
            <w:tcW w:w="2700" w:type="dxa"/>
            <w:vAlign w:val="bottom"/>
          </w:tcPr>
          <w:p>
            <w:pPr>
              <w:spacing w:after="0"/>
              <w:rPr>
                <w:sz w:val="24"/>
                <w:szCs w:val="24"/>
                <w:color w:val="auto"/>
              </w:rPr>
            </w:pPr>
          </w:p>
        </w:tc>
      </w:tr>
    </w:tbl>
    <w:p>
      <w:pPr>
        <w:spacing w:after="0" w:line="198" w:lineRule="exact"/>
        <w:rPr>
          <w:sz w:val="20"/>
          <w:szCs w:val="20"/>
          <w:color w:val="auto"/>
        </w:rPr>
      </w:pPr>
    </w:p>
    <w:p>
      <w:pPr>
        <w:jc w:val="both"/>
        <w:ind w:left="1480"/>
        <w:spacing w:after="0" w:line="266" w:lineRule="auto"/>
        <w:rPr>
          <w:sz w:val="20"/>
          <w:szCs w:val="20"/>
          <w:color w:val="auto"/>
        </w:rPr>
      </w:pPr>
      <w:r>
        <w:rPr>
          <w:rFonts w:ascii="Times New Roman" w:cs="Times New Roman" w:eastAsia="Times New Roman" w:hAnsi="Times New Roman"/>
          <w:sz w:val="18"/>
          <w:szCs w:val="18"/>
          <w:color w:val="auto"/>
        </w:rPr>
        <w:t>BLACKWELL PARTNERS LLC - SERIES A, a fund advised by Nantahala, has the right to receive or the power to direct the receipt of dividends from, or the proceeds from the sale of more than five percent of the outstanding shares of common stock beneficially owned by Nantahala reported herein.</w:t>
      </w:r>
    </w:p>
    <w:p>
      <w:pPr>
        <w:spacing w:after="0" w:line="172" w:lineRule="exact"/>
        <w:rPr>
          <w:sz w:val="20"/>
          <w:szCs w:val="20"/>
          <w:color w:val="auto"/>
        </w:rPr>
      </w:pPr>
    </w:p>
    <w:p>
      <w:pPr>
        <w:ind w:left="1480" w:right="20" w:hanging="1470"/>
        <w:spacing w:after="0" w:line="286"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jc w:val="both"/>
        <w:ind w:left="1480"/>
        <w:spacing w:after="0" w:line="282" w:lineRule="auto"/>
        <w:rPr>
          <w:sz w:val="20"/>
          <w:szCs w:val="20"/>
          <w:color w:val="auto"/>
        </w:rPr>
      </w:pPr>
      <w:r>
        <w:rPr>
          <w:rFonts w:ascii="Times New Roman" w:cs="Times New Roman" w:eastAsia="Times New Roman" w:hAnsi="Times New Roman"/>
          <w:sz w:val="18"/>
          <w:szCs w:val="18"/>
          <w:color w:val="auto"/>
        </w:rPr>
        <w:t>Each of Messrs. Harkey and Mack is filing this Schedule 13G as a control person in respect of shares beneficially owned by Nantahala, an investment adviser as described in §240.13d-1(b)(1)(ii)(E). See Item 4(a).</w:t>
      </w:r>
    </w:p>
    <w:p>
      <w:pPr>
        <w:spacing w:after="0" w:line="15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This Item 8 is not applicable.</w:t>
      </w:r>
    </w:p>
    <w:p>
      <w:pPr>
        <w:spacing w:after="0" w:line="2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This Item 9 is not applicable.</w:t>
      </w:r>
    </w:p>
    <w:p>
      <w:pPr>
        <w:spacing w:after="0" w:line="2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left="1480"/>
        <w:spacing w:after="0" w:line="261" w:lineRule="auto"/>
        <w:rPr>
          <w:sz w:val="20"/>
          <w:szCs w:val="20"/>
          <w:color w:val="auto"/>
        </w:rPr>
      </w:pPr>
      <w:r>
        <w:rPr>
          <w:rFonts w:ascii="Times New Roman" w:cs="Times New Roman" w:eastAsia="Times New Roman" w:hAnsi="Times New Roman"/>
          <w:sz w:val="18"/>
          <w:szCs w:val="18"/>
          <w:color w:val="auto"/>
        </w:rPr>
        <w:t>By signing below each Reporting Person certifies that, to the best of such person's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CUSIP NO. 92840H400</w:t>
      </w:r>
      <w:r>
        <w:rPr>
          <w:sz w:val="20"/>
          <w:szCs w:val="20"/>
          <w:color w:val="auto"/>
        </w:rPr>
        <w:tab/>
      </w:r>
      <w:r>
        <w:rPr>
          <w:rFonts w:ascii="Times New Roman" w:cs="Times New Roman" w:eastAsia="Times New Roman" w:hAnsi="Times New Roman"/>
          <w:sz w:val="18"/>
          <w:szCs w:val="18"/>
          <w:b w:val="1"/>
          <w:bCs w:val="1"/>
          <w:color w:val="auto"/>
        </w:rPr>
        <w:t>Page 7 of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37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14, 2024</w:t>
      </w:r>
      <w:r>
        <w:rPr>
          <w:sz w:val="20"/>
          <w:szCs w:val="20"/>
          <w:color w:val="auto"/>
        </w:rPr>
        <w:tab/>
      </w:r>
      <w:r>
        <w:rPr>
          <w:rFonts w:ascii="Times New Roman" w:cs="Times New Roman" w:eastAsia="Times New Roman" w:hAnsi="Times New Roman"/>
          <w:sz w:val="17"/>
          <w:szCs w:val="17"/>
          <w:color w:val="auto"/>
        </w:rPr>
        <w:t>NANTAHALA CAPITAL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Taki Vasilakis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Taki Vasilakis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Wilmot B. Harkey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Wilmot B. Harkey</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Daniel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Daniel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1"/>
    </w:lvl>
    <w:lvl w:ilvl="1">
      <w:lvlJc w:val="left"/>
      <w:lvlText w:val="(%2)"/>
      <w:numFmt w:val="decimal"/>
      <w:start w:val="5"/>
    </w:lvl>
  </w:abstractNum>
  <w:abstractNum w:abstractNumId="4">
    <w:nsid w:val="46E87CCD"/>
    <w:multiLevelType w:val="hybridMultilevel"/>
    <w:lvl w:ilvl="0">
      <w:lvlJc w:val="left"/>
      <w:lvlText w:val="(%1)"/>
      <w:numFmt w:val="decimal"/>
      <w:start w:val="9"/>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2024-02-14T17:15:49Z</dcterms:created>
  <dcterms:modified xsi:type="dcterms:W3CDTF">2024-02-14T17:15:49Z</dcterms:modified>
</cp:coreProperties>
</file>