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8.jpeg" ContentType="image/jpeg"/>
  <Override PartName="/word/media/image47.jpeg" ContentType="image/jpeg"/>
  <Override PartName="/word/media/image16.jpeg" ContentType="image/jpeg"/>
  <Override PartName="/word/media/image46.jpeg" ContentType="image/jpeg"/>
  <Override PartName="/word/media/image15.jpeg" ContentType="image/jpeg"/>
  <Override PartName="/word/media/image45.jpeg" ContentType="image/jpeg"/>
  <Override PartName="/word/media/image14.jpeg" ContentType="image/jpeg"/>
  <Override PartName="/word/media/image44.jpeg" ContentType="image/jpeg"/>
  <Override PartName="/word/media/image13.jpeg" ContentType="image/jpeg"/>
  <Override PartName="/word/media/image43.jpeg" ContentType="image/jpeg"/>
  <Override PartName="/word/media/image12.jpeg" ContentType="image/jpeg"/>
  <Override PartName="/word/media/image42.jpeg" ContentType="image/jpeg"/>
  <Override PartName="/word/media/image11.jpeg" ContentType="image/jpeg"/>
  <Override PartName="/word/media/image22.jpeg" ContentType="image/jpeg"/>
  <Override PartName="/word/media/image6.jpeg" ContentType="image/jpeg"/>
  <Override PartName="/word/media/image36.jpeg" ContentType="image/jpeg"/>
  <Override PartName="/word/media/image4.jpeg" ContentType="image/jpeg"/>
  <Override PartName="/word/media/image20.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17.jpeg" ContentType="image/jpeg"/>
  <Override PartName="/word/media/image30.jpeg" ContentType="image/jpeg"/>
  <Override PartName="/word/media/image18.jpeg" ContentType="image/jpeg"/>
  <Override PartName="/word/media/image31.jpeg" ContentType="image/jpeg"/>
  <Override PartName="/word/media/image19.jpeg" ContentType="image/jpeg"/>
  <Override PartName="/word/media/image32.jpeg" ContentType="image/jpeg"/>
  <Override PartName="/word/media/image1.jpeg" ContentType="image/jpeg"/>
  <Override PartName="/word/media/image33.jpeg" ContentType="image/jpeg"/>
  <Override PartName="/word/media/image2.jpeg" ContentType="image/jpeg"/>
  <Override PartName="/word/media/image34.jpeg" ContentType="image/jpeg"/>
  <Override PartName="/word/media/image38.jpeg" ContentType="image/jpeg"/>
  <Override PartName="/word/media/image3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90"/>
        <w:ind w:left="0" w:right="0" w:hanging="0"/>
        <w:jc w:val="center"/>
        <w:rPr>
          <w:bdr w:val="single" w:sz="24" w:space="1" w:color="000000"/>
        </w:rPr>
      </w:pPr>
      <w:r>
        <w:rPr>
          <w:bdr w:val="single" w:sz="24" w:space="1" w:color="000000"/>
        </w:rPr>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UNITED STATES</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SECURITIES AND EXCHANGE COMMISSION</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FORM 8-K</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CURRENT REPORT</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PURSUANT TO SECTION 13 OR 15(d) of the SECURITIES EXCHANGE ACT OF 1934</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 xml:space="preserve">Date of Report (Date of earliest event reported): </w:t>
      </w:r>
      <w:r>
        <w:rPr>
          <w:rFonts w:ascii="Times New Roman" w:hAnsi="Times New Roman"/>
          <w:b/>
          <w:sz w:val="15"/>
          <w:u w:val="single"/>
        </w:rPr>
        <w:t>May 2, 2019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20"/>
        </w:rPr>
      </w:pPr>
      <w:r>
        <w:rPr>
          <w:rFonts w:ascii="Times New Roman" w:hAnsi="Times New Roman"/>
          <w:b/>
          <w:color w:val="000000"/>
          <w:sz w:val="20"/>
        </w:rPr>
        <w:t>VistaGen Therapeutics, Inc.</w:t>
      </w:r>
    </w:p>
    <w:p>
      <w:pPr>
        <w:pStyle w:val="TextBody"/>
        <w:spacing w:before="0" w:after="0"/>
        <w:ind w:left="0" w:right="0" w:hanging="0"/>
        <w:jc w:val="center"/>
        <w:rPr>
          <w:rFonts w:ascii="Times New Roman" w:hAnsi="Times New Roman"/>
          <w:i/>
          <w:color w:val="000000"/>
          <w:sz w:val="15"/>
        </w:rPr>
      </w:pPr>
      <w:r>
        <w:rPr>
          <w:rFonts w:ascii="Times New Roman" w:hAnsi="Times New Roman"/>
          <w:i/>
          <w:color w:val="000000"/>
          <w:sz w:val="15"/>
        </w:rPr>
        <w:t>(Exact name of registrant as specified in its charter)</w:t>
      </w:r>
    </w:p>
    <w:p>
      <w:pPr>
        <w:pStyle w:val="TextBody"/>
        <w:spacing w:before="0" w:after="0"/>
        <w:ind w:left="0" w:right="0" w:hanging="0"/>
        <w:jc w:val="both"/>
        <w:rPr/>
      </w:pPr>
      <w:r>
        <w:rPr/>
        <w:t> </w:t>
      </w:r>
    </w:p>
    <w:tbl>
      <w:tblPr>
        <w:tblW w:w="6765" w:type="dxa"/>
        <w:jc w:val="center"/>
        <w:tblInd w:w="0" w:type="dxa"/>
        <w:tblCellMar>
          <w:top w:w="0" w:type="dxa"/>
          <w:left w:w="0" w:type="dxa"/>
          <w:bottom w:w="0" w:type="dxa"/>
          <w:right w:w="0" w:type="dxa"/>
        </w:tblCellMar>
      </w:tblPr>
      <w:tblGrid>
        <w:gridCol w:w="2765"/>
        <w:gridCol w:w="1670"/>
        <w:gridCol w:w="2330"/>
      </w:tblGrid>
      <w:tr>
        <w:trPr/>
        <w:tc>
          <w:tcPr>
            <w:tcW w:w="2765" w:type="dxa"/>
            <w:tcBorders/>
            <w:shd w:fill="auto" w:val="clear"/>
            <w:vAlign w:val="center"/>
          </w:tcPr>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NEVADA</w:t>
            </w:r>
          </w:p>
        </w:tc>
        <w:tc>
          <w:tcPr>
            <w:tcW w:w="1670" w:type="dxa"/>
            <w:tcBorders/>
            <w:shd w:fill="auto" w:val="clear"/>
            <w:vAlign w:val="center"/>
          </w:tcPr>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001-37761</w:t>
            </w:r>
          </w:p>
        </w:tc>
        <w:tc>
          <w:tcPr>
            <w:tcW w:w="2330" w:type="dxa"/>
            <w:tcBorders/>
            <w:shd w:fill="auto" w:val="clear"/>
            <w:vAlign w:val="center"/>
          </w:tcPr>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20-5093315</w:t>
            </w:r>
          </w:p>
        </w:tc>
      </w:tr>
      <w:tr>
        <w:trPr/>
        <w:tc>
          <w:tcPr>
            <w:tcW w:w="2765" w:type="dxa"/>
            <w:tcBorders/>
            <w:shd w:fill="auto" w:val="clear"/>
            <w:vAlign w:val="center"/>
          </w:tcPr>
          <w:p>
            <w:pPr>
              <w:pStyle w:val="TableContents"/>
              <w:spacing w:before="0" w:after="0"/>
              <w:ind w:left="0" w:right="0" w:hanging="0"/>
              <w:jc w:val="center"/>
              <w:rPr>
                <w:rFonts w:ascii="Times New Roman" w:hAnsi="Times New Roman"/>
                <w:i/>
                <w:color w:val="000000"/>
                <w:sz w:val="15"/>
              </w:rPr>
            </w:pPr>
            <w:r>
              <w:rPr>
                <w:rFonts w:ascii="Times New Roman" w:hAnsi="Times New Roman"/>
                <w:i/>
                <w:color w:val="000000"/>
                <w:sz w:val="15"/>
              </w:rPr>
              <w:t>(State or other jurisdiction of incorporation)</w:t>
            </w:r>
          </w:p>
        </w:tc>
        <w:tc>
          <w:tcPr>
            <w:tcW w:w="1670" w:type="dxa"/>
            <w:tcBorders/>
            <w:shd w:fill="auto" w:val="clear"/>
            <w:vAlign w:val="center"/>
          </w:tcPr>
          <w:p>
            <w:pPr>
              <w:pStyle w:val="TableContents"/>
              <w:spacing w:before="0" w:after="0"/>
              <w:ind w:left="0" w:right="0" w:hanging="0"/>
              <w:jc w:val="center"/>
              <w:rPr>
                <w:rFonts w:ascii="Times New Roman" w:hAnsi="Times New Roman"/>
                <w:i/>
                <w:color w:val="000000"/>
                <w:sz w:val="15"/>
              </w:rPr>
            </w:pPr>
            <w:r>
              <w:rPr>
                <w:rFonts w:ascii="Times New Roman" w:hAnsi="Times New Roman"/>
                <w:i/>
                <w:color w:val="000000"/>
                <w:sz w:val="15"/>
              </w:rPr>
              <w:t>(Commission File Number)</w:t>
            </w:r>
          </w:p>
        </w:tc>
        <w:tc>
          <w:tcPr>
            <w:tcW w:w="2330" w:type="dxa"/>
            <w:tcBorders/>
            <w:shd w:fill="auto" w:val="clear"/>
            <w:vAlign w:val="center"/>
          </w:tcPr>
          <w:p>
            <w:pPr>
              <w:pStyle w:val="TableContents"/>
              <w:spacing w:before="0" w:after="0"/>
              <w:ind w:left="0" w:right="0" w:hanging="0"/>
              <w:jc w:val="center"/>
              <w:rPr>
                <w:rFonts w:ascii="Times New Roman" w:hAnsi="Times New Roman"/>
                <w:i/>
                <w:color w:val="000000"/>
                <w:sz w:val="15"/>
              </w:rPr>
            </w:pPr>
            <w:r>
              <w:rPr>
                <w:rFonts w:ascii="Times New Roman" w:hAnsi="Times New Roman"/>
                <w:i/>
                <w:color w:val="000000"/>
                <w:sz w:val="15"/>
              </w:rPr>
              <w:t>(IRS Employer Identification Number)</w:t>
            </w:r>
          </w:p>
        </w:tc>
      </w:tr>
    </w:tbl>
    <w:p>
      <w:pPr>
        <w:pStyle w:val="TextBody"/>
        <w:spacing w:before="0" w:after="0"/>
        <w:ind w:left="0" w:right="0" w:hanging="0"/>
        <w:jc w:val="both"/>
        <w:rPr/>
      </w:pPr>
      <w:r>
        <w:rPr/>
        <w:t> </w:t>
      </w:r>
    </w:p>
    <w:tbl>
      <w:tblPr>
        <w:tblW w:w="2570" w:type="dxa"/>
        <w:jc w:val="center"/>
        <w:tblInd w:w="0" w:type="dxa"/>
        <w:tblCellMar>
          <w:top w:w="0" w:type="dxa"/>
          <w:left w:w="0" w:type="dxa"/>
          <w:bottom w:w="0" w:type="dxa"/>
          <w:right w:w="0" w:type="dxa"/>
        </w:tblCellMar>
      </w:tblPr>
      <w:tblGrid>
        <w:gridCol w:w="2570"/>
      </w:tblGrid>
      <w:tr>
        <w:trPr/>
        <w:tc>
          <w:tcPr>
            <w:tcW w:w="2570" w:type="dxa"/>
            <w:tcBorders/>
            <w:shd w:fill="auto" w:val="clear"/>
            <w:vAlign w:val="center"/>
          </w:tcPr>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343 Allerton Ave.</w:t>
            </w:r>
          </w:p>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South San Francisco, California 94090</w:t>
            </w:r>
          </w:p>
        </w:tc>
      </w:tr>
      <w:tr>
        <w:trPr/>
        <w:tc>
          <w:tcPr>
            <w:tcW w:w="2570" w:type="dxa"/>
            <w:tcBorders/>
            <w:shd w:fill="auto" w:val="clear"/>
            <w:vAlign w:val="center"/>
          </w:tcPr>
          <w:p>
            <w:pPr>
              <w:pStyle w:val="TableContents"/>
              <w:spacing w:before="0" w:after="0"/>
              <w:ind w:left="0" w:right="0" w:hanging="0"/>
              <w:jc w:val="center"/>
              <w:rPr>
                <w:rFonts w:ascii="Times New Roman" w:hAnsi="Times New Roman"/>
                <w:i/>
                <w:color w:val="000000"/>
                <w:sz w:val="15"/>
              </w:rPr>
            </w:pPr>
            <w:r>
              <w:rPr>
                <w:rFonts w:ascii="Times New Roman" w:hAnsi="Times New Roman"/>
                <w:i/>
                <w:color w:val="000000"/>
                <w:sz w:val="15"/>
              </w:rPr>
              <w:t>(Address of principal executive offices)</w:t>
            </w:r>
          </w:p>
          <w:p>
            <w:pPr>
              <w:pStyle w:val="TableContents"/>
              <w:spacing w:before="0" w:after="0"/>
              <w:ind w:left="0" w:right="0" w:hanging="0"/>
              <w:jc w:val="both"/>
              <w:rPr/>
            </w:pPr>
            <w:r>
              <w:rPr/>
              <w:t> </w:t>
            </w:r>
          </w:p>
        </w:tc>
      </w:tr>
    </w:tbl>
    <w:p>
      <w:pPr>
        <w:pStyle w:val="TextBody"/>
        <w:spacing w:before="0" w:after="0"/>
        <w:ind w:left="0" w:right="0" w:hanging="0"/>
        <w:jc w:val="center"/>
        <w:rPr>
          <w:rFonts w:ascii="Times New Roman" w:hAnsi="Times New Roman"/>
          <w:b/>
          <w:sz w:val="15"/>
        </w:rPr>
      </w:pPr>
      <w:r>
        <w:rPr>
          <w:rFonts w:ascii="Times New Roman" w:hAnsi="Times New Roman"/>
          <w:b/>
          <w:sz w:val="15"/>
        </w:rPr>
        <w:t>(650) 577-3600</w:t>
      </w:r>
    </w:p>
    <w:p>
      <w:pPr>
        <w:pStyle w:val="TextBody"/>
        <w:spacing w:before="0" w:after="0"/>
        <w:ind w:left="0" w:right="0" w:hanging="0"/>
        <w:jc w:val="center"/>
        <w:rPr>
          <w:rFonts w:ascii="Times New Roman" w:hAnsi="Times New Roman"/>
          <w:i/>
          <w:color w:val="000000"/>
          <w:sz w:val="15"/>
        </w:rPr>
      </w:pPr>
      <w:r>
        <w:rPr>
          <w:rFonts w:ascii="Times New Roman" w:hAnsi="Times New Roman"/>
          <w:i/>
          <w:color w:val="000000"/>
          <w:sz w:val="15"/>
        </w:rPr>
        <w:t>(Registrant’s telephone number, including area code)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Not Applicable</w:t>
      </w:r>
    </w:p>
    <w:p>
      <w:pPr>
        <w:pStyle w:val="TextBody"/>
        <w:spacing w:before="0" w:after="0"/>
        <w:ind w:left="0" w:right="0" w:hanging="0"/>
        <w:jc w:val="center"/>
        <w:rPr/>
      </w:pPr>
      <w:r>
        <w:rPr/>
        <w:t> </w:t>
      </w:r>
      <w:r>
        <w:rPr>
          <w:rFonts w:ascii="Times New Roman" w:hAnsi="Times New Roman"/>
          <w:i/>
          <w:sz w:val="15"/>
        </w:rPr>
        <w:t>(Former name or former address, if changed since last report)</w:t>
      </w:r>
    </w:p>
    <w:p>
      <w:pPr>
        <w:pStyle w:val="TextBody"/>
        <w:spacing w:before="0" w:after="0"/>
        <w:rPr/>
      </w:pPr>
      <w:r>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Check the appropriate box below if the Form 8-K filing is intended to simultaneously satisfy the filing obligation of the registrant under any of the following provisions:</w:t>
      </w:r>
    </w:p>
    <w:p>
      <w:pPr>
        <w:pStyle w:val="TextBody"/>
        <w:spacing w:before="0" w:after="0"/>
        <w:rPr/>
      </w:pPr>
      <w:r>
        <w:rPr/>
        <w:t> </w:t>
      </w:r>
    </w:p>
    <w:p>
      <w:pPr>
        <w:pStyle w:val="TextBody"/>
        <w:spacing w:before="0" w:after="0"/>
        <w:ind w:left="0" w:right="0" w:hanging="0"/>
        <w:jc w:val="left"/>
        <w:rPr/>
      </w:pPr>
      <w:r>
        <w:rPr>
          <w:color w:val="000000"/>
        </w:rPr>
        <w:t>☐</w:t>
      </w:r>
      <w:r>
        <w:rPr/>
        <w:t xml:space="preserve"> </w:t>
      </w:r>
      <w:r>
        <w:rPr>
          <w:rFonts w:ascii="Times New Roman" w:hAnsi="Times New Roman"/>
          <w:color w:val="000000"/>
          <w:sz w:val="15"/>
        </w:rPr>
        <w:t>Written communications pursuant to Rule 425 under the Securities Act (17 CFR 230.425)</w:t>
      </w:r>
    </w:p>
    <w:p>
      <w:pPr>
        <w:pStyle w:val="TextBody"/>
        <w:spacing w:before="0" w:after="0"/>
        <w:ind w:left="0" w:right="0" w:hanging="0"/>
        <w:jc w:val="left"/>
        <w:rPr/>
      </w:pPr>
      <w:r>
        <w:rPr>
          <w:color w:val="000000"/>
        </w:rPr>
        <w:t>☐</w:t>
      </w:r>
      <w:r>
        <w:rPr/>
        <w:t xml:space="preserve"> </w:t>
      </w:r>
      <w:r>
        <w:rPr>
          <w:rFonts w:ascii="Times New Roman" w:hAnsi="Times New Roman"/>
          <w:color w:val="000000"/>
          <w:sz w:val="15"/>
        </w:rPr>
        <w:t>Soliciting material pursuant to Rule 14a-12 under the Exchange Act (17 CFR 240.14a -12)</w:t>
      </w:r>
    </w:p>
    <w:p>
      <w:pPr>
        <w:pStyle w:val="TextBody"/>
        <w:spacing w:before="0" w:after="0"/>
        <w:ind w:left="0" w:right="0" w:hanging="0"/>
        <w:jc w:val="left"/>
        <w:rPr/>
      </w:pPr>
      <w:r>
        <w:rPr>
          <w:color w:val="000000"/>
        </w:rPr>
        <w:t>☐</w:t>
      </w:r>
      <w:r>
        <w:rPr/>
        <w:t xml:space="preserve"> </w:t>
      </w:r>
      <w:r>
        <w:rPr>
          <w:rFonts w:ascii="Times New Roman" w:hAnsi="Times New Roman"/>
          <w:color w:val="000000"/>
          <w:sz w:val="15"/>
        </w:rPr>
        <w:t>Pre-commencement communications pursuant to Rule 14d-2(b) under the Exchange Act (17 CFR 240.14d -2(b))</w:t>
      </w:r>
    </w:p>
    <w:p>
      <w:pPr>
        <w:pStyle w:val="TextBody"/>
        <w:spacing w:before="0" w:after="0"/>
        <w:ind w:left="0" w:right="0" w:hanging="0"/>
        <w:jc w:val="left"/>
        <w:rPr/>
      </w:pPr>
      <w:r>
        <w:rPr>
          <w:color w:val="000000"/>
        </w:rPr>
        <w:t>☐</w:t>
      </w:r>
      <w:r>
        <w:rPr/>
        <w:t xml:space="preserve"> </w:t>
      </w:r>
      <w:r>
        <w:rPr>
          <w:rFonts w:ascii="Times New Roman" w:hAnsi="Times New Roman"/>
          <w:color w:val="000000"/>
          <w:sz w:val="15"/>
        </w:rPr>
        <w:t>Pre-commencement communications pursuant to Rule 13e-4(c) under the Exchange Act (17 CFR 240.13e -4(c))</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Indicate by check mark whether the registrant is an emerging growth company as defined in Rule 405 of the Securities Act of 1933 (17 CFR 230.405) or Rule 12b-2 of the Securities Exchange Act of 1934 (17 CFR 240.12b-2)</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Emerging growth company [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Securities registered pursuant to Section 12(b) of the Act:</w:t>
      </w:r>
    </w:p>
    <w:p>
      <w:pPr>
        <w:pStyle w:val="TextBody"/>
        <w:spacing w:before="0" w:after="0"/>
        <w:ind w:left="0" w:right="0" w:hanging="0"/>
        <w:jc w:val="left"/>
        <w:rPr/>
      </w:pPr>
      <w:r>
        <w:rPr/>
        <w:t> </w:t>
      </w:r>
    </w:p>
    <w:tbl>
      <w:tblPr>
        <w:tblW w:w="6435" w:type="dxa"/>
        <w:jc w:val="left"/>
        <w:tblInd w:w="0" w:type="dxa"/>
        <w:tblCellMar>
          <w:top w:w="0" w:type="dxa"/>
          <w:left w:w="0" w:type="dxa"/>
          <w:bottom w:w="28" w:type="dxa"/>
          <w:right w:w="0" w:type="dxa"/>
        </w:tblCellMar>
      </w:tblPr>
      <w:tblGrid>
        <w:gridCol w:w="2660"/>
        <w:gridCol w:w="60"/>
        <w:gridCol w:w="1010"/>
        <w:gridCol w:w="60"/>
        <w:gridCol w:w="2645"/>
      </w:tblGrid>
      <w:tr>
        <w:trPr/>
        <w:tc>
          <w:tcPr>
            <w:tcW w:w="2660"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Title of each class</w:t>
            </w:r>
          </w:p>
        </w:tc>
        <w:tc>
          <w:tcPr>
            <w:tcW w:w="60" w:type="dxa"/>
            <w:tcBorders/>
            <w:shd w:fill="auto" w:val="clear"/>
            <w:tcMar>
              <w:bottom w:w="0" w:type="dxa"/>
            </w:tcMar>
            <w:vAlign w:val="center"/>
          </w:tcPr>
          <w:p>
            <w:pPr>
              <w:pStyle w:val="TableContents"/>
              <w:spacing w:before="0" w:after="0"/>
              <w:rPr/>
            </w:pPr>
            <w:r>
              <w:rPr/>
              <w:t> </w:t>
            </w:r>
          </w:p>
        </w:tc>
        <w:tc>
          <w:tcPr>
            <w:tcW w:w="1010"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Trading Symbol</w:t>
            </w:r>
          </w:p>
        </w:tc>
        <w:tc>
          <w:tcPr>
            <w:tcW w:w="60" w:type="dxa"/>
            <w:tcBorders/>
            <w:shd w:fill="auto" w:val="clear"/>
            <w:tcMar>
              <w:bottom w:w="0" w:type="dxa"/>
            </w:tcMar>
            <w:vAlign w:val="center"/>
          </w:tcPr>
          <w:p>
            <w:pPr>
              <w:pStyle w:val="TableContents"/>
              <w:spacing w:before="0" w:after="0"/>
              <w:rPr/>
            </w:pPr>
            <w:r>
              <w:rPr/>
              <w:t> </w:t>
            </w:r>
          </w:p>
        </w:tc>
        <w:tc>
          <w:tcPr>
            <w:tcW w:w="2645"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Name of each exchange on which registered</w:t>
            </w:r>
          </w:p>
        </w:tc>
      </w:tr>
      <w:tr>
        <w:trPr/>
        <w:tc>
          <w:tcPr>
            <w:tcW w:w="2660" w:type="dxa"/>
            <w:tcBorders/>
            <w:shd w:fill="auto" w:val="clear"/>
            <w:tcMar>
              <w:bottom w:w="0" w:type="dxa"/>
            </w:tcM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Common Stock, par value $0.001 per share</w:t>
            </w:r>
          </w:p>
        </w:tc>
        <w:tc>
          <w:tcPr>
            <w:tcW w:w="60" w:type="dxa"/>
            <w:tcBorders/>
            <w:shd w:fill="auto" w:val="clear"/>
            <w:tcMar>
              <w:bottom w:w="0" w:type="dxa"/>
            </w:tcMar>
            <w:vAlign w:val="center"/>
          </w:tcPr>
          <w:p>
            <w:pPr>
              <w:pStyle w:val="TableContents"/>
              <w:spacing w:before="0" w:after="0"/>
              <w:rPr/>
            </w:pPr>
            <w:r>
              <w:rPr/>
              <w:t> </w:t>
            </w:r>
          </w:p>
        </w:tc>
        <w:tc>
          <w:tcPr>
            <w:tcW w:w="1010" w:type="dxa"/>
            <w:tcBorders/>
            <w:shd w:fill="auto" w:val="clear"/>
            <w:tcMar>
              <w:bottom w:w="0" w:type="dxa"/>
            </w:tcM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VTGN</w:t>
            </w:r>
          </w:p>
        </w:tc>
        <w:tc>
          <w:tcPr>
            <w:tcW w:w="60" w:type="dxa"/>
            <w:tcBorders/>
            <w:shd w:fill="auto" w:val="clear"/>
            <w:tcMar>
              <w:bottom w:w="0" w:type="dxa"/>
            </w:tcMar>
            <w:vAlign w:val="center"/>
          </w:tcPr>
          <w:p>
            <w:pPr>
              <w:pStyle w:val="TableContents"/>
              <w:spacing w:before="0" w:after="0"/>
              <w:rPr/>
            </w:pPr>
            <w:r>
              <w:rPr/>
              <w:t> </w:t>
            </w:r>
          </w:p>
        </w:tc>
        <w:tc>
          <w:tcPr>
            <w:tcW w:w="2645" w:type="dxa"/>
            <w:tcBorders/>
            <w:shd w:fill="auto" w:val="clear"/>
            <w:tcMar>
              <w:bottom w:w="0" w:type="dxa"/>
            </w:tcM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Nasdaq Capital Market</w:t>
            </w:r>
          </w:p>
        </w:tc>
      </w:tr>
    </w:tbl>
    <w:p>
      <w:pPr>
        <w:pStyle w:val="TextBody"/>
        <w:spacing w:before="0" w:after="0"/>
        <w:ind w:left="0" w:right="0" w:hanging="0"/>
        <w:jc w:val="both"/>
        <w:rPr/>
      </w:pPr>
      <w:r>
        <w:rPr/>
        <w:t> </w:t>
      </w:r>
    </w:p>
    <w:p>
      <w:pPr>
        <w:pStyle w:val="TextBody"/>
        <w:spacing w:before="0" w:after="0"/>
        <w:ind w:left="0" w:right="0" w:hanging="0"/>
        <w:jc w:val="left"/>
        <w:rPr/>
      </w:pPr>
      <w:r>
        <w:rPr/>
      </w:r>
    </w:p>
    <w:p>
      <w:pPr>
        <w:pStyle w:val="TextBody"/>
        <w:spacing w:before="0" w:after="90"/>
        <w:ind w:left="0" w:right="0" w:hanging="0"/>
        <w:jc w:val="center"/>
        <w:rPr>
          <w:bdr w:val="single" w:sz="2" w:space="1" w:color="000000"/>
        </w:rPr>
      </w:pPr>
      <w:r>
        <w:rPr>
          <w:bdr w:val="single" w:sz="2" w:space="1" w:color="00000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0" w:name="pgbrk"/>
      <w:bookmarkStart w:id="1" w:name="pgbrk"/>
      <w:bookmarkEnd w:id="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 w:name="hdr"/>
      <w:bookmarkEnd w:id="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5"/>
        </w:rPr>
      </w:pPr>
      <w:r>
        <w:rPr>
          <w:rFonts w:ascii="Times New Roman" w:hAnsi="Times New Roman"/>
          <w:b/>
          <w:color w:val="000000"/>
          <w:sz w:val="15"/>
        </w:rPr>
        <w:t>Item 7.01</w:t>
      </w:r>
      <w:r>
        <w:rPr>
          <w:rFonts w:ascii="Times New Roman" w:hAnsi="Times New Roman"/>
          <w:color w:val="000000"/>
          <w:sz w:val="15"/>
        </w:rPr>
        <w:t> </w:t>
      </w:r>
      <w:r>
        <w:rPr>
          <w:rFonts w:ascii="Times New Roman" w:hAnsi="Times New Roman"/>
          <w:b/>
          <w:color w:val="000000"/>
          <w:sz w:val="15"/>
        </w:rPr>
        <w:t>Regulation FD Disclosure.</w:t>
      </w:r>
    </w:p>
    <w:p>
      <w:pPr>
        <w:pStyle w:val="TextBody"/>
        <w:spacing w:before="0" w:after="0"/>
        <w:ind w:left="0" w:right="0" w:hanging="0"/>
        <w:jc w:val="both"/>
        <w:rPr>
          <w:color w:val="000000"/>
        </w:rPr>
      </w:pPr>
      <w:r>
        <w:rPr>
          <w:color w:val="000000"/>
        </w:rPr>
        <w:t> </w:t>
      </w:r>
    </w:p>
    <w:p>
      <w:pPr>
        <w:pStyle w:val="TextBody"/>
        <w:spacing w:before="0" w:after="0"/>
        <w:ind w:left="0" w:right="0" w:firstLine="540"/>
        <w:jc w:val="both"/>
        <w:rPr/>
      </w:pPr>
      <w:r>
        <w:rPr/>
        <w:t> </w:t>
      </w:r>
      <w:r>
        <w:rPr>
          <w:rFonts w:ascii="Times New Roman" w:hAnsi="Times New Roman"/>
          <w:color w:val="000000"/>
          <w:sz w:val="15"/>
        </w:rPr>
        <w:t>VistaGen Therapeutics, Inc. (the “</w:t>
      </w:r>
      <w:r>
        <w:rPr>
          <w:rFonts w:ascii="Times New Roman" w:hAnsi="Times New Roman"/>
          <w:i/>
          <w:color w:val="000000"/>
          <w:sz w:val="15"/>
        </w:rPr>
        <w:t>Company</w:t>
      </w:r>
      <w:r>
        <w:rPr>
          <w:rFonts w:ascii="Times New Roman" w:hAnsi="Times New Roman"/>
          <w:color w:val="000000"/>
          <w:sz w:val="15"/>
        </w:rPr>
        <w:t>”) today began utilizing a new corporate presentation. A copy of the Corporate Presentation is attached hereto as Exhibit 99.1.</w:t>
      </w:r>
    </w:p>
    <w:p>
      <w:pPr>
        <w:pStyle w:val="TextBody"/>
        <w:spacing w:before="0" w:after="0"/>
        <w:ind w:left="0" w:right="0" w:hanging="0"/>
        <w:jc w:val="both"/>
        <w:rPr>
          <w:color w:val="000000"/>
        </w:rPr>
      </w:pPr>
      <w:r>
        <w:rPr>
          <w:color w:val="000000"/>
        </w:rPr>
        <w:t> </w:t>
      </w:r>
    </w:p>
    <w:p>
      <w:pPr>
        <w:pStyle w:val="TextBody"/>
        <w:spacing w:before="0" w:after="0"/>
        <w:ind w:left="0" w:right="0" w:firstLine="540"/>
        <w:jc w:val="both"/>
        <w:rPr>
          <w:rFonts w:ascii="Times New Roman" w:hAnsi="Times New Roman"/>
          <w:sz w:val="15"/>
        </w:rPr>
      </w:pPr>
      <w:r>
        <w:rPr>
          <w:rFonts w:ascii="Times New Roman" w:hAnsi="Times New Roman"/>
          <w:color w:val="000000"/>
          <w:sz w:val="15"/>
        </w:rPr>
        <w:t>The information in this Item 7.01 of this Current Report on Form 8-K, including the information set forth in Exhibit 99.1, is being furnished and shall not be deemed “filed” for purposes of Section 18 of the Securities Exchange Act of 1934, as amended (the “</w:t>
      </w:r>
      <w:r>
        <w:rPr>
          <w:rFonts w:ascii="Times New Roman" w:hAnsi="Times New Roman"/>
          <w:i/>
          <w:color w:val="000000"/>
          <w:sz w:val="15"/>
        </w:rPr>
        <w:t>Exchange Act</w:t>
      </w:r>
      <w:r>
        <w:rPr>
          <w:rFonts w:ascii="Times New Roman" w:hAnsi="Times New Roman"/>
          <w:color w:val="000000"/>
          <w:sz w:val="15"/>
        </w:rPr>
        <w:t>”), nor shall Exhibit 99.1 filed herewith be deemed incorporated by reference in any filing under the Securities Act of 1933, as amended, or the Exchange Act, except as shall be expressly set forth by specific reference in such a filing.</w:t>
      </w:r>
    </w:p>
    <w:p>
      <w:pPr>
        <w:pStyle w:val="TextBody"/>
        <w:spacing w:before="0" w:after="0"/>
        <w:ind w:left="0" w:right="0" w:firstLine="540"/>
        <w:jc w:val="both"/>
        <w:rPr/>
      </w:pPr>
      <w:r>
        <w:rPr/>
        <w:t> </w:t>
      </w:r>
    </w:p>
    <w:p>
      <w:pPr>
        <w:pStyle w:val="TextBody"/>
        <w:spacing w:before="0" w:after="0"/>
        <w:ind w:left="0" w:right="0" w:hanging="0"/>
        <w:jc w:val="both"/>
        <w:rPr>
          <w:rFonts w:ascii="Times New Roman" w:hAnsi="Times New Roman"/>
          <w:b/>
          <w:color w:val="000000"/>
          <w:sz w:val="15"/>
        </w:rPr>
      </w:pPr>
      <w:r>
        <w:rPr>
          <w:rFonts w:ascii="Times New Roman" w:hAnsi="Times New Roman"/>
          <w:b/>
          <w:color w:val="000000"/>
          <w:sz w:val="15"/>
        </w:rPr>
        <w:t>Item 8.01 Other Items.</w:t>
      </w:r>
    </w:p>
    <w:p>
      <w:pPr>
        <w:pStyle w:val="TextBody"/>
        <w:spacing w:before="0" w:after="0"/>
        <w:rPr/>
      </w:pPr>
      <w:r>
        <w:rPr/>
      </w:r>
    </w:p>
    <w:p>
      <w:pPr>
        <w:pStyle w:val="TextBody"/>
        <w:spacing w:before="0" w:after="0"/>
        <w:ind w:left="0" w:right="0" w:firstLine="720"/>
        <w:jc w:val="both"/>
        <w:rPr>
          <w:rFonts w:ascii="Times New Roman" w:hAnsi="Times New Roman"/>
          <w:sz w:val="15"/>
        </w:rPr>
      </w:pPr>
      <w:r>
        <w:rPr>
          <w:rFonts w:ascii="Times New Roman" w:hAnsi="Times New Roman"/>
          <w:color w:val="000000"/>
          <w:sz w:val="15"/>
        </w:rPr>
        <w:t>The Company</w:t>
      </w:r>
      <w:r>
        <w:rPr>
          <w:rFonts w:ascii="Times New Roman" w:hAnsi="Times New Roman"/>
          <w:sz w:val="15"/>
        </w:rPr>
        <w:t xml:space="preserve"> </w:t>
      </w:r>
      <w:r>
        <w:rPr>
          <w:rFonts w:ascii="Times New Roman" w:hAnsi="Times New Roman"/>
          <w:color w:val="000000"/>
          <w:sz w:val="15"/>
        </w:rPr>
        <w:t>today announced topline results from an exploratory clinical study of AV-101 as a monotherapy in patients with treatment-resistant depression (“</w:t>
      </w:r>
      <w:r>
        <w:rPr>
          <w:rFonts w:ascii="Times New Roman" w:hAnsi="Times New Roman"/>
          <w:i/>
          <w:color w:val="000000"/>
          <w:sz w:val="15"/>
        </w:rPr>
        <w:t>TRD</w:t>
      </w:r>
      <w:r>
        <w:rPr>
          <w:rFonts w:ascii="Times New Roman" w:hAnsi="Times New Roman"/>
          <w:color w:val="000000"/>
          <w:sz w:val="15"/>
        </w:rPr>
        <w:t>”). The 19-patient study was sponsored and conducted by the U.S National Institute of Mental Health (“</w:t>
      </w:r>
      <w:r>
        <w:rPr>
          <w:rFonts w:ascii="Times New Roman" w:hAnsi="Times New Roman"/>
          <w:i/>
          <w:color w:val="000000"/>
          <w:sz w:val="15"/>
        </w:rPr>
        <w:t>NIMH</w:t>
      </w:r>
      <w:r>
        <w:rPr>
          <w:rFonts w:ascii="Times New Roman" w:hAnsi="Times New Roman"/>
          <w:color w:val="000000"/>
          <w:sz w:val="15"/>
        </w:rPr>
        <w:t>”</w:t>
      </w:r>
      <w:r>
        <w:rPr>
          <w:rFonts w:ascii="Times New Roman" w:hAnsi="Times New Roman"/>
          <w:sz w:val="15"/>
        </w:rPr>
        <w:t>). A copy of the press release is attached to this Current Report on Form 8-K as Exhibit 99.2.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b/>
          <w:color w:val="000000"/>
          <w:sz w:val="15"/>
        </w:rPr>
        <w:t>Item 9.01 Financial Statements and Exhibits</w:t>
      </w:r>
      <w:r>
        <w:rPr>
          <w:rFonts w:ascii="Times New Roman" w:hAnsi="Times New Roman"/>
          <w:color w:val="000000"/>
          <w:sz w:val="15"/>
        </w:rPr>
        <w:t>.</w:t>
      </w:r>
    </w:p>
    <w:p>
      <w:pPr>
        <w:pStyle w:val="TextBody"/>
        <w:spacing w:before="0" w:after="0"/>
        <w:ind w:left="0" w:right="0" w:hanging="0"/>
        <w:jc w:val="both"/>
        <w:rPr>
          <w:color w:val="000000"/>
        </w:rPr>
      </w:pPr>
      <w:r>
        <w:rPr>
          <w:color w:val="000000"/>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(d) Exhibits Index</w:t>
      </w:r>
    </w:p>
    <w:p>
      <w:pPr>
        <w:pStyle w:val="TextBody"/>
        <w:spacing w:before="0" w:after="0"/>
        <w:ind w:left="0" w:right="0" w:hanging="0"/>
        <w:jc w:val="both"/>
        <w:rPr>
          <w:color w:val="000000"/>
        </w:rPr>
      </w:pPr>
      <w:r>
        <w:rPr>
          <w:color w:val="000000"/>
        </w:rPr>
        <w:t> </w:t>
      </w:r>
    </w:p>
    <w:tbl>
      <w:tblPr>
        <w:tblW w:w="5305" w:type="dxa"/>
        <w:jc w:val="left"/>
        <w:tblInd w:w="0" w:type="dxa"/>
        <w:tblCellMar>
          <w:top w:w="0" w:type="dxa"/>
          <w:left w:w="0" w:type="dxa"/>
          <w:bottom w:w="28" w:type="dxa"/>
          <w:right w:w="0" w:type="dxa"/>
        </w:tblCellMar>
      </w:tblPr>
      <w:tblGrid>
        <w:gridCol w:w="800"/>
        <w:gridCol w:w="60"/>
        <w:gridCol w:w="4445"/>
      </w:tblGrid>
      <w:tr>
        <w:trPr/>
        <w:tc>
          <w:tcPr>
            <w:tcW w:w="800" w:type="dxa"/>
            <w:tcBorders>
              <w:bottom w:val="single" w:sz="12" w:space="0" w:color="000000"/>
            </w:tcBorders>
            <w:shd w:fill="auto" w:val="clear"/>
            <w:vAlign w:val="center"/>
          </w:tcPr>
          <w:p>
            <w:pPr>
              <w:pStyle w:val="TableContents"/>
              <w:spacing w:before="0" w:after="0"/>
              <w:ind w:left="0" w:right="0" w:hanging="0"/>
              <w:jc w:val="left"/>
              <w:rPr>
                <w:rFonts w:ascii="Times New Roman" w:hAnsi="Times New Roman"/>
                <w:b/>
                <w:sz w:val="15"/>
              </w:rPr>
            </w:pPr>
            <w:r>
              <w:rPr>
                <w:rFonts w:ascii="Times New Roman" w:hAnsi="Times New Roman"/>
                <w:b/>
                <w:sz w:val="15"/>
              </w:rPr>
              <w:t>Exhibit No.</w:t>
            </w:r>
          </w:p>
        </w:tc>
        <w:tc>
          <w:tcPr>
            <w:tcW w:w="60" w:type="dxa"/>
            <w:tcBorders/>
            <w:shd w:fill="auto" w:val="clear"/>
            <w:tcMar>
              <w:bottom w:w="0" w:type="dxa"/>
            </w:tcMar>
            <w:vAlign w:val="center"/>
          </w:tcPr>
          <w:p>
            <w:pPr>
              <w:pStyle w:val="TableContents"/>
              <w:spacing w:before="0" w:after="0"/>
              <w:rPr/>
            </w:pPr>
            <w:r>
              <w:rPr/>
              <w:t> </w:t>
            </w:r>
          </w:p>
        </w:tc>
        <w:tc>
          <w:tcPr>
            <w:tcW w:w="4445"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15"/>
              </w:rPr>
            </w:pPr>
            <w:r>
              <w:rPr>
                <w:rFonts w:ascii="Times New Roman" w:hAnsi="Times New Roman"/>
                <w:b/>
                <w:sz w:val="15"/>
              </w:rPr>
              <w:t>Description</w:t>
            </w:r>
          </w:p>
        </w:tc>
      </w:tr>
      <w:tr>
        <w:trPr/>
        <w:tc>
          <w:tcPr>
            <w:tcW w:w="800" w:type="dxa"/>
            <w:tcBorders/>
            <w:shd w:fill="auto" w:val="clear"/>
            <w:tcMar>
              <w:bottom w:w="0" w:type="dxa"/>
            </w:tcMar>
            <w:vAlign w:val="center"/>
          </w:tcPr>
          <w:p>
            <w:pPr>
              <w:pStyle w:val="TableContents"/>
              <w:spacing w:before="0" w:after="0"/>
              <w:rPr/>
            </w:pPr>
            <w:r>
              <w:rPr/>
              <w:t> </w:t>
            </w:r>
          </w:p>
        </w:tc>
        <w:tc>
          <w:tcPr>
            <w:tcW w:w="60" w:type="dxa"/>
            <w:tcBorders/>
            <w:shd w:fill="auto" w:val="clear"/>
            <w:tcMar>
              <w:bottom w:w="0" w:type="dxa"/>
            </w:tcMar>
            <w:vAlign w:val="center"/>
          </w:tcPr>
          <w:p>
            <w:pPr>
              <w:pStyle w:val="TableContents"/>
              <w:spacing w:before="0" w:after="0"/>
              <w:rPr/>
            </w:pPr>
            <w:r>
              <w:rPr/>
              <w:t> </w:t>
            </w:r>
          </w:p>
        </w:tc>
        <w:tc>
          <w:tcPr>
            <w:tcW w:w="4445" w:type="dxa"/>
            <w:tcBorders/>
            <w:shd w:fill="auto" w:val="clear"/>
            <w:tcMar>
              <w:bottom w:w="0" w:type="dxa"/>
            </w:tcMar>
            <w:vAlign w:val="center"/>
          </w:tcPr>
          <w:p>
            <w:pPr>
              <w:pStyle w:val="TableContents"/>
              <w:spacing w:before="0" w:after="0"/>
              <w:rPr/>
            </w:pPr>
            <w:r>
              <w:rPr/>
              <w:t> </w:t>
            </w:r>
          </w:p>
        </w:tc>
      </w:tr>
      <w:tr>
        <w:trPr/>
        <w:tc>
          <w:tcPr>
            <w:tcW w:w="800" w:type="dxa"/>
            <w:tcBorders/>
            <w:shd w:fill="CCEEFF" w:val="clear"/>
            <w:tcMar>
              <w:bottom w:w="0" w:type="dxa"/>
            </w:tcMar>
            <w:vAlign w:val="center"/>
          </w:tcPr>
          <w:p>
            <w:pPr>
              <w:pStyle w:val="TableContents"/>
              <w:spacing w:before="0" w:after="0"/>
              <w:rPr/>
            </w:pPr>
            <w:hyperlink w:anchor="ex99-1.htm">
              <w:r>
                <w:rPr>
                  <w:rStyle w:val="InternetLink"/>
                  <w:rFonts w:ascii="Times New Roman" w:hAnsi="Times New Roman"/>
                  <w:sz w:val="15"/>
                </w:rPr>
                <w:t>99.1</w:t>
              </w:r>
            </w:hyperlink>
          </w:p>
        </w:tc>
        <w:tc>
          <w:tcPr>
            <w:tcW w:w="60" w:type="dxa"/>
            <w:tcBorders/>
            <w:shd w:fill="CCEEFF" w:val="clear"/>
            <w:tcMar>
              <w:bottom w:w="0" w:type="dxa"/>
            </w:tcMar>
            <w:vAlign w:val="center"/>
          </w:tcPr>
          <w:p>
            <w:pPr>
              <w:pStyle w:val="TableContents"/>
              <w:spacing w:before="0" w:after="0"/>
              <w:rPr/>
            </w:pPr>
            <w:r>
              <w:rPr/>
              <w:t> </w:t>
            </w:r>
          </w:p>
        </w:tc>
        <w:tc>
          <w:tcPr>
            <w:tcW w:w="4445" w:type="dxa"/>
            <w:tcBorders/>
            <w:shd w:fill="CCEEFF" w:val="clear"/>
            <w:tcMar>
              <w:bottom w:w="0" w:type="dxa"/>
            </w:tcMar>
            <w:vAlign w:val="center"/>
          </w:tcPr>
          <w:p>
            <w:pPr>
              <w:pStyle w:val="TableContents"/>
              <w:spacing w:before="0" w:after="0"/>
              <w:rPr>
                <w:rFonts w:ascii="Times New Roman" w:hAnsi="Times New Roman"/>
                <w:sz w:val="15"/>
              </w:rPr>
            </w:pPr>
            <w:r>
              <w:rPr>
                <w:rFonts w:ascii="Times New Roman" w:hAnsi="Times New Roman"/>
                <w:sz w:val="15"/>
              </w:rPr>
              <w:t>Corporate Presentation, dated May 2, 2019</w:t>
            </w:r>
          </w:p>
        </w:tc>
      </w:tr>
      <w:tr>
        <w:trPr/>
        <w:tc>
          <w:tcPr>
            <w:tcW w:w="800" w:type="dxa"/>
            <w:tcBorders/>
            <w:shd w:fill="auto" w:val="clear"/>
            <w:tcMar>
              <w:bottom w:w="0" w:type="dxa"/>
            </w:tcMar>
            <w:vAlign w:val="center"/>
          </w:tcPr>
          <w:p>
            <w:pPr>
              <w:pStyle w:val="TableContents"/>
              <w:spacing w:before="0" w:after="0"/>
              <w:ind w:left="0" w:right="0" w:hanging="0"/>
              <w:jc w:val="left"/>
              <w:rPr/>
            </w:pPr>
            <w:hyperlink w:anchor="ex99-2.htm">
              <w:r>
                <w:rPr>
                  <w:rStyle w:val="InternetLink"/>
                  <w:rFonts w:ascii="Times New Roman" w:hAnsi="Times New Roman"/>
                  <w:sz w:val="15"/>
                </w:rPr>
                <w:t>99.2</w:t>
              </w:r>
            </w:hyperlink>
          </w:p>
        </w:tc>
        <w:tc>
          <w:tcPr>
            <w:tcW w:w="60" w:type="dxa"/>
            <w:tcBorders/>
            <w:shd w:fill="auto" w:val="clear"/>
            <w:tcMar>
              <w:bottom w:w="0" w:type="dxa"/>
            </w:tcMar>
            <w:vAlign w:val="center"/>
          </w:tcPr>
          <w:p>
            <w:pPr>
              <w:pStyle w:val="TableContents"/>
              <w:spacing w:before="0" w:after="0"/>
              <w:rPr/>
            </w:pPr>
            <w:r>
              <w:rPr/>
              <w:t> </w:t>
            </w:r>
          </w:p>
        </w:tc>
        <w:tc>
          <w:tcPr>
            <w:tcW w:w="4445" w:type="dxa"/>
            <w:tcBorders/>
            <w:shd w:fill="auto" w:val="clear"/>
            <w:tcMar>
              <w:bottom w:w="0"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Press Release issued by VistaGen Therapeutics, Inc., dated May 2, 2019.</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 w:name="pgbrk1"/>
      <w:bookmarkStart w:id="4" w:name="pgbrk1"/>
      <w:bookmarkEnd w:id="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 w:name="ftr"/>
      <w:bookmarkEnd w:id="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6" w:name="pb"/>
      <w:bookmarkStart w:id="7" w:name="pb"/>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8" w:name="hdr1"/>
      <w:bookmarkEnd w:id="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720"/>
        <w:jc w:val="center"/>
        <w:rPr>
          <w:rFonts w:ascii="Times New Roman" w:hAnsi="Times New Roman"/>
          <w:b/>
          <w:sz w:val="15"/>
        </w:rPr>
      </w:pPr>
      <w:r>
        <w:rPr>
          <w:rFonts w:ascii="Times New Roman" w:hAnsi="Times New Roman"/>
          <w:b/>
          <w:sz w:val="15"/>
        </w:rPr>
        <w:t>Signatures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15"/>
        </w:rPr>
      </w:pPr>
      <w:r>
        <w:rPr>
          <w:rFonts w:ascii="Times New Roman" w:hAnsi="Times New Roman"/>
          <w:sz w:val="15"/>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both"/>
        <w:rPr/>
      </w:pPr>
      <w:r>
        <w:rPr/>
        <w:t> </w:t>
      </w:r>
    </w:p>
    <w:tbl>
      <w:tblPr>
        <w:tblW w:w="2934" w:type="dxa"/>
        <w:jc w:val="left"/>
        <w:tblInd w:w="0" w:type="dxa"/>
        <w:tblCellMar>
          <w:top w:w="0" w:type="dxa"/>
          <w:left w:w="0" w:type="dxa"/>
          <w:bottom w:w="0" w:type="dxa"/>
          <w:right w:w="0" w:type="dxa"/>
        </w:tblCellMar>
      </w:tblPr>
      <w:tblGrid>
        <w:gridCol w:w="1235"/>
        <w:gridCol w:w="246"/>
        <w:gridCol w:w="1453"/>
      </w:tblGrid>
      <w:tr>
        <w:trPr/>
        <w:tc>
          <w:tcPr>
            <w:tcW w:w="1235" w:type="dxa"/>
            <w:tcBorders/>
            <w:shd w:fill="auto" w:val="clear"/>
            <w:vAlign w:val="center"/>
          </w:tcPr>
          <w:p>
            <w:pPr>
              <w:pStyle w:val="TableContents"/>
              <w:spacing w:before="0" w:after="0"/>
              <w:rPr/>
            </w:pPr>
            <w:r>
              <w:rPr/>
              <w:t> </w:t>
            </w:r>
          </w:p>
        </w:tc>
        <w:tc>
          <w:tcPr>
            <w:tcW w:w="1699" w:type="dxa"/>
            <w:gridSpan w:val="2"/>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VistaGen Therapeutics, Inc.</w:t>
            </w:r>
          </w:p>
        </w:tc>
      </w:tr>
      <w:tr>
        <w:trPr/>
        <w:tc>
          <w:tcPr>
            <w:tcW w:w="1235" w:type="dxa"/>
            <w:tcBorders/>
            <w:shd w:fill="auto" w:val="clear"/>
            <w:vAlign w:val="center"/>
          </w:tcPr>
          <w:p>
            <w:pPr>
              <w:pStyle w:val="TableContents"/>
              <w:spacing w:before="0" w:after="0"/>
              <w:rPr/>
            </w:pPr>
            <w:r>
              <w:rPr/>
              <w:t> </w:t>
            </w:r>
          </w:p>
        </w:tc>
        <w:tc>
          <w:tcPr>
            <w:tcW w:w="246" w:type="dxa"/>
            <w:tcBorders/>
            <w:shd w:fill="auto" w:val="clear"/>
            <w:vAlign w:val="center"/>
          </w:tcPr>
          <w:p>
            <w:pPr>
              <w:pStyle w:val="TableContents"/>
              <w:spacing w:before="0" w:after="0"/>
              <w:rPr/>
            </w:pPr>
            <w:r>
              <w:rPr/>
              <w:t> </w:t>
            </w:r>
          </w:p>
        </w:tc>
        <w:tc>
          <w:tcPr>
            <w:tcW w:w="1453" w:type="dxa"/>
            <w:tcBorders/>
            <w:shd w:fill="auto" w:val="clear"/>
            <w:vAlign w:val="center"/>
          </w:tcPr>
          <w:p>
            <w:pPr>
              <w:pStyle w:val="TableContents"/>
              <w:spacing w:before="0" w:after="0"/>
              <w:rPr/>
            </w:pPr>
            <w:r>
              <w:rPr/>
              <w:t> </w:t>
            </w:r>
          </w:p>
        </w:tc>
      </w:tr>
      <w:tr>
        <w:trPr/>
        <w:tc>
          <w:tcPr>
            <w:tcW w:w="1235" w:type="dxa"/>
            <w:tcBorders/>
            <w:shd w:fill="auto" w:val="clear"/>
            <w:vAlign w:val="center"/>
          </w:tcPr>
          <w:p>
            <w:pPr>
              <w:pStyle w:val="TableContents"/>
              <w:spacing w:before="0" w:after="0"/>
              <w:ind w:left="0" w:right="0" w:hanging="0"/>
              <w:jc w:val="left"/>
              <w:rPr/>
            </w:pPr>
            <w:r>
              <w:rPr/>
              <w:t> </w:t>
            </w:r>
            <w:r>
              <w:rPr>
                <w:rFonts w:ascii="Times New Roman" w:hAnsi="Times New Roman"/>
                <w:sz w:val="15"/>
              </w:rPr>
              <w:t>Date: May 2, 2019</w:t>
            </w:r>
          </w:p>
        </w:tc>
        <w:tc>
          <w:tcPr>
            <w:tcW w:w="246"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By:</w:t>
            </w:r>
          </w:p>
        </w:tc>
        <w:tc>
          <w:tcPr>
            <w:tcW w:w="1453" w:type="dxa"/>
            <w:tcBorders>
              <w:bottom w:val="single" w:sz="12" w:space="0" w:color="000000"/>
            </w:tcBorders>
            <w:shd w:fill="auto" w:val="clear"/>
            <w:tcMar>
              <w:bottom w:w="28" w:type="dxa"/>
            </w:tcMar>
            <w:vAlign w:val="center"/>
          </w:tcPr>
          <w:p>
            <w:pPr>
              <w:pStyle w:val="TableContents"/>
              <w:spacing w:before="0" w:after="0"/>
              <w:ind w:left="0" w:right="0" w:hanging="0"/>
              <w:jc w:val="left"/>
              <w:rPr>
                <w:rFonts w:ascii="Times New Roman" w:hAnsi="Times New Roman"/>
                <w:i/>
                <w:sz w:val="15"/>
              </w:rPr>
            </w:pPr>
            <w:r>
              <w:rPr>
                <w:rFonts w:ascii="Times New Roman" w:hAnsi="Times New Roman"/>
                <w:i/>
                <w:sz w:val="15"/>
              </w:rPr>
              <w:t>/s/ Shawn K. Singh</w:t>
            </w:r>
          </w:p>
        </w:tc>
      </w:tr>
      <w:tr>
        <w:trPr/>
        <w:tc>
          <w:tcPr>
            <w:tcW w:w="1235" w:type="dxa"/>
            <w:tcBorders/>
            <w:shd w:fill="auto" w:val="clear"/>
            <w:vAlign w:val="center"/>
          </w:tcPr>
          <w:p>
            <w:pPr>
              <w:pStyle w:val="TableContents"/>
              <w:spacing w:before="0" w:after="0"/>
              <w:rPr/>
            </w:pPr>
            <w:r>
              <w:rPr/>
              <w:t> </w:t>
            </w:r>
          </w:p>
        </w:tc>
        <w:tc>
          <w:tcPr>
            <w:tcW w:w="246" w:type="dxa"/>
            <w:tcBorders/>
            <w:shd w:fill="auto" w:val="clear"/>
            <w:vAlign w:val="center"/>
          </w:tcPr>
          <w:p>
            <w:pPr>
              <w:pStyle w:val="TableContents"/>
              <w:spacing w:before="0" w:after="0"/>
              <w:rPr/>
            </w:pPr>
            <w:r>
              <w:rPr/>
              <w:t> </w:t>
            </w:r>
          </w:p>
        </w:tc>
        <w:tc>
          <w:tcPr>
            <w:tcW w:w="1453"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Shawn K. Singh</w:t>
            </w:r>
          </w:p>
          <w:p>
            <w:pPr>
              <w:pStyle w:val="TableContents"/>
              <w:spacing w:before="0" w:after="0"/>
              <w:ind w:left="0" w:right="0" w:hanging="0"/>
              <w:jc w:val="left"/>
              <w:rPr>
                <w:rFonts w:ascii="Times New Roman" w:hAnsi="Times New Roman"/>
                <w:sz w:val="15"/>
              </w:rPr>
            </w:pPr>
            <w:r>
              <w:rPr>
                <w:rFonts w:ascii="Times New Roman" w:hAnsi="Times New Roman"/>
                <w:sz w:val="15"/>
              </w:rPr>
              <w:t>Chief Executive Officer</w:t>
            </w:r>
          </w:p>
        </w:tc>
      </w:tr>
    </w:tbl>
    <w:p>
      <w:pPr>
        <w:pStyle w:val="TextBody"/>
        <w:spacing w:before="0" w:after="0"/>
        <w:ind w:left="0" w:right="0" w:hanging="0"/>
        <w:jc w:val="both"/>
        <w:rPr/>
      </w:pPr>
      <w:r>
        <w:rPr/>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 w:name="pgbrk2"/>
      <w:bookmarkStart w:id="10" w:name="pgbrk2"/>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1" w:name="ftr1"/>
      <w:bookmarkEnd w:id="1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 w:name="pb1"/>
      <w:bookmarkStart w:id="13" w:name="pb1"/>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4" w:name="hdr2"/>
      <w:bookmarkEnd w:id="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EXHIBIT INDEX</w:t>
      </w:r>
    </w:p>
    <w:p>
      <w:pPr>
        <w:pStyle w:val="TextBody"/>
        <w:spacing w:before="0" w:after="0"/>
        <w:ind w:left="0" w:right="0" w:hanging="0"/>
        <w:jc w:val="both"/>
        <w:rPr>
          <w:color w:val="000000"/>
        </w:rPr>
      </w:pPr>
      <w:r>
        <w:rPr>
          <w:color w:val="000000"/>
        </w:rPr>
        <w:t> </w:t>
      </w:r>
    </w:p>
    <w:tbl>
      <w:tblPr>
        <w:tblW w:w="5305" w:type="dxa"/>
        <w:jc w:val="left"/>
        <w:tblInd w:w="0" w:type="dxa"/>
        <w:tblCellMar>
          <w:top w:w="0" w:type="dxa"/>
          <w:left w:w="0" w:type="dxa"/>
          <w:bottom w:w="28" w:type="dxa"/>
          <w:right w:w="0" w:type="dxa"/>
        </w:tblCellMar>
      </w:tblPr>
      <w:tblGrid>
        <w:gridCol w:w="800"/>
        <w:gridCol w:w="60"/>
        <w:gridCol w:w="4445"/>
      </w:tblGrid>
      <w:tr>
        <w:trPr/>
        <w:tc>
          <w:tcPr>
            <w:tcW w:w="800" w:type="dxa"/>
            <w:tcBorders>
              <w:bottom w:val="single" w:sz="12" w:space="0" w:color="000000"/>
            </w:tcBorders>
            <w:shd w:fill="auto" w:val="clear"/>
            <w:vAlign w:val="center"/>
          </w:tcPr>
          <w:p>
            <w:pPr>
              <w:pStyle w:val="TableContents"/>
              <w:spacing w:before="0" w:after="0"/>
              <w:ind w:left="0" w:right="0" w:hanging="0"/>
              <w:jc w:val="left"/>
              <w:rPr>
                <w:rFonts w:ascii="Times New Roman" w:hAnsi="Times New Roman"/>
                <w:b/>
                <w:sz w:val="15"/>
              </w:rPr>
            </w:pPr>
            <w:r>
              <w:rPr>
                <w:rFonts w:ascii="Times New Roman" w:hAnsi="Times New Roman"/>
                <w:b/>
                <w:sz w:val="15"/>
              </w:rPr>
              <w:t>Exhibit No.</w:t>
            </w:r>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4445" w:type="dxa"/>
            <w:tcBorders>
              <w:bottom w:val="single" w:sz="12" w:space="0" w:color="000000"/>
            </w:tcBorders>
            <w:shd w:fill="auto" w:val="clear"/>
            <w:vAlign w:val="center"/>
          </w:tcPr>
          <w:p>
            <w:pPr>
              <w:pStyle w:val="TableContents"/>
              <w:spacing w:before="0" w:after="0"/>
              <w:ind w:left="0" w:right="0" w:hanging="0"/>
              <w:jc w:val="left"/>
              <w:rPr>
                <w:rFonts w:ascii="Times New Roman" w:hAnsi="Times New Roman"/>
                <w:b/>
                <w:sz w:val="15"/>
              </w:rPr>
            </w:pPr>
            <w:r>
              <w:rPr>
                <w:rFonts w:ascii="Times New Roman" w:hAnsi="Times New Roman"/>
                <w:b/>
                <w:sz w:val="15"/>
              </w:rPr>
              <w:t>Description</w:t>
            </w:r>
          </w:p>
        </w:tc>
      </w:tr>
      <w:tr>
        <w:trPr/>
        <w:tc>
          <w:tcPr>
            <w:tcW w:w="800" w:type="dxa"/>
            <w:tcBorders/>
            <w:shd w:fill="auto" w:val="clear"/>
            <w:tcMar>
              <w:bottom w:w="0" w:type="dxa"/>
            </w:tcMar>
            <w:vAlign w:val="center"/>
          </w:tcPr>
          <w:p>
            <w:pPr>
              <w:pStyle w:val="TableContents"/>
              <w:spacing w:before="0" w:after="0"/>
              <w:ind w:left="0" w:right="0" w:hanging="0"/>
              <w:jc w:val="left"/>
              <w:rPr/>
            </w:pPr>
            <w:r>
              <w:rPr/>
              <w:t> </w:t>
            </w:r>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4445" w:type="dxa"/>
            <w:tcBorders/>
            <w:shd w:fill="auto" w:val="clear"/>
            <w:tcMar>
              <w:bottom w:w="0" w:type="dxa"/>
            </w:tcMar>
            <w:vAlign w:val="center"/>
          </w:tcPr>
          <w:p>
            <w:pPr>
              <w:pStyle w:val="TableContents"/>
              <w:spacing w:before="0" w:after="0"/>
              <w:ind w:left="0" w:right="0" w:hanging="0"/>
              <w:jc w:val="left"/>
              <w:rPr/>
            </w:pPr>
            <w:r>
              <w:rPr/>
              <w:t> </w:t>
            </w:r>
          </w:p>
        </w:tc>
      </w:tr>
      <w:tr>
        <w:trPr/>
        <w:tc>
          <w:tcPr>
            <w:tcW w:w="800" w:type="dxa"/>
            <w:tcBorders/>
            <w:shd w:fill="CCEEFF" w:val="clear"/>
            <w:tcMar>
              <w:bottom w:w="0" w:type="dxa"/>
            </w:tcMar>
            <w:vAlign w:val="center"/>
          </w:tcPr>
          <w:p>
            <w:pPr>
              <w:pStyle w:val="TableContents"/>
              <w:spacing w:before="0" w:after="0"/>
              <w:ind w:left="0" w:right="0" w:hanging="0"/>
              <w:jc w:val="left"/>
              <w:rPr/>
            </w:pPr>
            <w:hyperlink w:anchor="ex99-1.htm">
              <w:r>
                <w:rPr>
                  <w:rStyle w:val="InternetLink"/>
                  <w:rFonts w:ascii="Times New Roman" w:hAnsi="Times New Roman"/>
                  <w:sz w:val="15"/>
                </w:rPr>
                <w:t>99.1</w:t>
              </w:r>
            </w:hyperlink>
          </w:p>
        </w:tc>
        <w:tc>
          <w:tcPr>
            <w:tcW w:w="60" w:type="dxa"/>
            <w:tcBorders/>
            <w:shd w:fill="CCEEFF" w:val="clear"/>
            <w:tcMar>
              <w:bottom w:w="0" w:type="dxa"/>
            </w:tcMar>
            <w:vAlign w:val="center"/>
          </w:tcPr>
          <w:p>
            <w:pPr>
              <w:pStyle w:val="TableContents"/>
              <w:spacing w:before="0" w:after="0"/>
              <w:ind w:left="0" w:right="0" w:hanging="0"/>
              <w:jc w:val="left"/>
              <w:rPr/>
            </w:pPr>
            <w:r>
              <w:rPr/>
              <w:t> </w:t>
            </w:r>
          </w:p>
        </w:tc>
        <w:tc>
          <w:tcPr>
            <w:tcW w:w="4445" w:type="dxa"/>
            <w:tcBorders/>
            <w:shd w:fill="CCEEFF" w:val="clear"/>
            <w:tcMar>
              <w:bottom w:w="0"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Corporate Presentation, dated May 2, 2019</w:t>
            </w:r>
          </w:p>
        </w:tc>
      </w:tr>
      <w:tr>
        <w:trPr/>
        <w:tc>
          <w:tcPr>
            <w:tcW w:w="800" w:type="dxa"/>
            <w:tcBorders/>
            <w:shd w:fill="auto" w:val="clear"/>
            <w:tcMar>
              <w:bottom w:w="0" w:type="dxa"/>
            </w:tcMar>
            <w:vAlign w:val="center"/>
          </w:tcPr>
          <w:p>
            <w:pPr>
              <w:pStyle w:val="TableContents"/>
              <w:spacing w:before="0" w:after="0"/>
              <w:ind w:left="0" w:right="0" w:hanging="0"/>
              <w:jc w:val="left"/>
              <w:rPr/>
            </w:pPr>
            <w:hyperlink w:anchor="ex99-2.htm">
              <w:r>
                <w:rPr>
                  <w:rStyle w:val="InternetLink"/>
                  <w:rFonts w:ascii="Times New Roman" w:hAnsi="Times New Roman"/>
                  <w:sz w:val="15"/>
                </w:rPr>
                <w:t>99.2</w:t>
              </w:r>
            </w:hyperlink>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4445" w:type="dxa"/>
            <w:tcBorders/>
            <w:shd w:fill="auto" w:val="clear"/>
            <w:tcMar>
              <w:bottom w:w="0"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Press Release issued by VistaGen Therapeutics, Inc., dated May 2, 2019.</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 w:name="pgbrk3"/>
      <w:bookmarkStart w:id="16" w:name="pgbrk3"/>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7" w:name="ftr2"/>
      <w:bookmarkEnd w:id="1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8" w:name="pb2"/>
      <w:bookmarkStart w:id="19" w:name="pb2"/>
      <w:bookmarkEnd w:id="19"/>
    </w:p>
    <w:p>
      <w:pPr>
        <w:pStyle w:val="TextBody"/>
        <w:ind w:left="0" w:right="0" w:hanging="0"/>
        <w:rPr/>
      </w:pPr>
      <w:r>
        <w:rPr/>
      </w:r>
      <w:bookmarkStart w:id="20" w:name="pgbrk4"/>
      <w:bookmarkStart w:id="21" w:name="pgbrk4"/>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2" w:name="hdr3"/>
      <w:bookmarkEnd w:id="2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r>
        <w:rPr>
          <w:rFonts w:ascii="Times New Roman" w:hAnsi="Times New Roman"/>
          <w:b/>
          <w:sz w:val="15"/>
        </w:rPr>
        <w:t>Exhibit 99.1</w:t>
      </w:r>
    </w:p>
    <w:p>
      <w:pPr>
        <w:pStyle w:val="TextBody"/>
        <w:spacing w:before="0" w:after="0"/>
        <w:ind w:left="0" w:right="0" w:hanging="0"/>
        <w:jc w:val="center"/>
        <w:rPr/>
      </w:pPr>
      <w:r>
        <w:rPr/>
        <w:t xml:space="preserve">  </w:t>
      </w:r>
    </w:p>
    <w:p>
      <w:pPr>
        <w:pStyle w:val="TextBody"/>
        <w:spacing w:before="0" w:after="0"/>
        <w:ind w:left="0" w:right="0" w:hanging="0"/>
        <w:jc w:val="center"/>
        <w:rPr/>
      </w:pPr>
      <w:r>
        <w:rPr/>
        <w:t> </w:t>
      </w:r>
    </w:p>
    <w:p>
      <w:pPr>
        <w:pStyle w:val="TextBody"/>
        <w:spacing w:before="0" w:after="0"/>
        <w:ind w:left="0" w:right="0" w:hanging="0"/>
        <w:jc w:val="center"/>
        <w:rPr/>
      </w:pPr>
      <w:r>
        <w:rPr/>
        <w:drawing>
          <wp:inline distT="0" distB="0" distL="0" distR="0">
            <wp:extent cx="11087100" cy="857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 w:name="pgbrk5"/>
      <w:bookmarkStart w:id="24" w:name="pgbrk5"/>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5" w:name="ftr3"/>
      <w:bookmarkEnd w:id="2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pb3"/>
      <w:bookmarkStart w:id="27" w:name="pb3"/>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8" w:name="hdr4"/>
      <w:bookmarkEnd w:id="2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 w:name="pgbrk6"/>
      <w:bookmarkStart w:id="30" w:name="pgbrk6"/>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1" w:name="ftr4"/>
      <w:bookmarkEnd w:id="3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 w:name="pb4"/>
      <w:bookmarkStart w:id="33" w:name="pb4"/>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4" w:name="hdr5"/>
      <w:bookmarkEnd w:id="3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 w:name="pgbrk7"/>
      <w:bookmarkStart w:id="36" w:name="pgbrk7"/>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7" w:name="ftr5"/>
      <w:bookmarkEnd w:id="3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pb5"/>
      <w:bookmarkStart w:id="39" w:name="pb5"/>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0" w:name="hdr6"/>
      <w:bookmarkEnd w:id="4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 w:name="pgbrk8"/>
      <w:bookmarkStart w:id="42" w:name="pgbrk8"/>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3" w:name="ftr6"/>
      <w:bookmarkEnd w:id="4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 w:name="pb6"/>
      <w:bookmarkStart w:id="45" w:name="pb6"/>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6" w:name="hdr7"/>
      <w:bookmarkEnd w:id="4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 w:name="pgbrk9"/>
      <w:bookmarkStart w:id="48" w:name="pgbrk9"/>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9" w:name="ftr7"/>
      <w:bookmarkEnd w:id="4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 w:name="pb7"/>
      <w:bookmarkStart w:id="51" w:name="pb7"/>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2" w:name="hdr8"/>
      <w:bookmarkEnd w:id="5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 w:name="pgbrk10"/>
      <w:bookmarkStart w:id="54" w:name="pgbrk10"/>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5" w:name="ftr8"/>
      <w:bookmarkEnd w:id="5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 w:name="pb8"/>
      <w:bookmarkStart w:id="57" w:name="pb8"/>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8" w:name="hdr9"/>
      <w:bookmarkEnd w:id="5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 w:name="pgbrk11"/>
      <w:bookmarkStart w:id="60" w:name="pgbrk11"/>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61" w:name="ftr9"/>
      <w:bookmarkEnd w:id="6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 w:name="pb9"/>
      <w:bookmarkStart w:id="63" w:name="pb9"/>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64" w:name="hdr10"/>
      <w:bookmarkEnd w:id="6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 w:name="pgbrk12"/>
      <w:bookmarkStart w:id="66" w:name="pgbrk12"/>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67" w:name="ftr10"/>
      <w:bookmarkEnd w:id="6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 w:name="pb10"/>
      <w:bookmarkStart w:id="69" w:name="pb10"/>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70" w:name="hdr11"/>
      <w:bookmarkEnd w:id="7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 w:name="pgbrk13"/>
      <w:bookmarkStart w:id="72" w:name="pgbrk13"/>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73" w:name="ftr11"/>
      <w:bookmarkEnd w:id="7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 w:name="pb11"/>
      <w:bookmarkStart w:id="75" w:name="pb11"/>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76" w:name="hdr12"/>
      <w:bookmarkEnd w:id="7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7" w:name="pgbrk14"/>
      <w:bookmarkStart w:id="78" w:name="pgbrk14"/>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79" w:name="ftr12"/>
      <w:bookmarkEnd w:id="7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pb12"/>
      <w:bookmarkStart w:id="81" w:name="pb12"/>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82" w:name="hdr13"/>
      <w:bookmarkEnd w:id="8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3" w:name="pgbrk15"/>
      <w:bookmarkStart w:id="84" w:name="pgbrk15"/>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85" w:name="ftr13"/>
      <w:bookmarkEnd w:id="8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 w:name="pb13"/>
      <w:bookmarkStart w:id="87" w:name="pb13"/>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88" w:name="hdr14"/>
      <w:bookmarkEnd w:id="8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 w:name="pgbrk16"/>
      <w:bookmarkStart w:id="90" w:name="pgbrk16"/>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91" w:name="ftr14"/>
      <w:bookmarkEnd w:id="9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 w:name="pb14"/>
      <w:bookmarkStart w:id="93" w:name="pb14"/>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94" w:name="hdr15"/>
      <w:bookmarkEnd w:id="9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5" w:name="pgbrk17"/>
      <w:bookmarkStart w:id="96" w:name="pgbrk17"/>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97" w:name="ftr15"/>
      <w:bookmarkEnd w:id="9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 w:name="pb15"/>
      <w:bookmarkStart w:id="99" w:name="pb15"/>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00" w:name="hdr16"/>
      <w:bookmarkEnd w:id="10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1" w:name="pgbrk18"/>
      <w:bookmarkStart w:id="102" w:name="pgbrk18"/>
      <w:bookmarkEnd w:id="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03" w:name="ftr16"/>
      <w:bookmarkEnd w:id="10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pb16"/>
      <w:bookmarkStart w:id="105" w:name="pb16"/>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06" w:name="hdr17"/>
      <w:bookmarkEnd w:id="10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7" w:name="pgbrk19"/>
      <w:bookmarkStart w:id="108" w:name="pgbrk19"/>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09" w:name="ftr17"/>
      <w:bookmarkEnd w:id="10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 w:name="pb17"/>
      <w:bookmarkStart w:id="111" w:name="pb17"/>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12" w:name="hdr18"/>
      <w:bookmarkEnd w:id="11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3" w:name="pgbrk20"/>
      <w:bookmarkStart w:id="114" w:name="pgbrk20"/>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15" w:name="ftr18"/>
      <w:bookmarkEnd w:id="11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 w:name="pb18"/>
      <w:bookmarkStart w:id="117" w:name="pb18"/>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18" w:name="hdr19"/>
      <w:bookmarkEnd w:id="11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9" w:name="pgbrk21"/>
      <w:bookmarkStart w:id="120" w:name="pgbrk21"/>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21" w:name="ftr19"/>
      <w:bookmarkEnd w:id="12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 w:name="pb19"/>
      <w:bookmarkStart w:id="123" w:name="pb19"/>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24" w:name="hdr20"/>
      <w:bookmarkEnd w:id="12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5" w:name="pgbrk22"/>
      <w:bookmarkStart w:id="126" w:name="pgbrk22"/>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27" w:name="ftr20"/>
      <w:bookmarkEnd w:id="12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 w:name="pb20"/>
      <w:bookmarkStart w:id="129" w:name="pb20"/>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30" w:name="hdr21"/>
      <w:bookmarkEnd w:id="13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1" w:name="pgbrk23"/>
      <w:bookmarkStart w:id="132" w:name="pgbrk23"/>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33" w:name="ftr21"/>
      <w:bookmarkEnd w:id="13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 w:name="pb21"/>
      <w:bookmarkStart w:id="135" w:name="pb21"/>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36" w:name="hdr22"/>
      <w:bookmarkEnd w:id="13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7" w:name="pgbrk24"/>
      <w:bookmarkStart w:id="138" w:name="pgbrk24"/>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39" w:name="ftr22"/>
      <w:bookmarkEnd w:id="13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0" w:name="pb22"/>
      <w:bookmarkStart w:id="141" w:name="pb22"/>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42" w:name="hdr23"/>
      <w:bookmarkEnd w:id="14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3" w:name="pgbrk25"/>
      <w:bookmarkStart w:id="144" w:name="pgbrk25"/>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45" w:name="ftr23"/>
      <w:bookmarkEnd w:id="14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 w:name="pb23"/>
      <w:bookmarkStart w:id="147" w:name="pb23"/>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48" w:name="hdr24"/>
      <w:bookmarkEnd w:id="14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9" w:name="pgbrk26"/>
      <w:bookmarkStart w:id="150" w:name="pgbrk26"/>
      <w:bookmarkEnd w:id="1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51" w:name="ftr24"/>
      <w:bookmarkEnd w:id="15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 w:name="pb24"/>
      <w:bookmarkStart w:id="153" w:name="pb24"/>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54" w:name="hdr25"/>
      <w:bookmarkEnd w:id="15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5" w:name="pgbrk27"/>
      <w:bookmarkStart w:id="156" w:name="pgbrk27"/>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57" w:name="ftr25"/>
      <w:bookmarkEnd w:id="15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8" w:name="pb25"/>
      <w:bookmarkStart w:id="159" w:name="pb25"/>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60" w:name="hdr26"/>
      <w:bookmarkEnd w:id="16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1" w:name="pgbrk28"/>
      <w:bookmarkStart w:id="162" w:name="pgbrk28"/>
      <w:bookmarkEnd w:id="1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63" w:name="ftr26"/>
      <w:bookmarkEnd w:id="16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4" w:name="pb26"/>
      <w:bookmarkStart w:id="165" w:name="pb26"/>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66" w:name="hdr27"/>
      <w:bookmarkEnd w:id="16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7" w:name="pgbrk29"/>
      <w:bookmarkStart w:id="168" w:name="pgbrk29"/>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69" w:name="ftr27"/>
      <w:bookmarkEnd w:id="16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0" w:name="pb27"/>
      <w:bookmarkStart w:id="171" w:name="pb27"/>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72" w:name="hdr28"/>
      <w:bookmarkEnd w:id="17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3" w:name="pgbrk30"/>
      <w:bookmarkStart w:id="174" w:name="pgbrk30"/>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75" w:name="ftr28"/>
      <w:bookmarkEnd w:id="17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6" w:name="pb28"/>
      <w:bookmarkStart w:id="177" w:name="pb28"/>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78" w:name="hdr29"/>
      <w:bookmarkEnd w:id="17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9" w:name="pgbrk31"/>
      <w:bookmarkStart w:id="180" w:name="pgbrk31"/>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81" w:name="ftr29"/>
      <w:bookmarkEnd w:id="18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2" w:name="pb29"/>
      <w:bookmarkStart w:id="183" w:name="pb29"/>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84" w:name="hdr30"/>
      <w:bookmarkEnd w:id="18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5" w:name="pgbrk32"/>
      <w:bookmarkStart w:id="186" w:name="pgbrk32"/>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87" w:name="ftr30"/>
      <w:bookmarkEnd w:id="18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8" w:name="pb30"/>
      <w:bookmarkStart w:id="189" w:name="pb30"/>
      <w:bookmarkEnd w:id="1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90" w:name="hdr31"/>
      <w:bookmarkEnd w:id="19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1" w:name="pgbrk33"/>
      <w:bookmarkStart w:id="192" w:name="pgbrk33"/>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93" w:name="ftr31"/>
      <w:bookmarkEnd w:id="19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4" w:name="pb31"/>
      <w:bookmarkStart w:id="195" w:name="pb31"/>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96" w:name="hdr32"/>
      <w:bookmarkEnd w:id="19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7" w:name="pgbrk34"/>
      <w:bookmarkStart w:id="198" w:name="pgbrk34"/>
      <w:bookmarkEnd w:id="1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99" w:name="ftr32"/>
      <w:bookmarkEnd w:id="19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 w:name="pb32"/>
      <w:bookmarkStart w:id="201" w:name="pb32"/>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02" w:name="hdr33"/>
      <w:bookmarkEnd w:id="20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3" w:name="pgbrk35"/>
      <w:bookmarkStart w:id="204" w:name="pgbrk35"/>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05" w:name="ftr33"/>
      <w:bookmarkEnd w:id="20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 w:name="pb33"/>
      <w:bookmarkStart w:id="207" w:name="pb33"/>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08" w:name="hdr34"/>
      <w:bookmarkEnd w:id="20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9" w:name="pgbrk36"/>
      <w:bookmarkStart w:id="210" w:name="pgbrk36"/>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11" w:name="ftr34"/>
      <w:bookmarkEnd w:id="21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2" w:name="pb34"/>
      <w:bookmarkStart w:id="213" w:name="pb34"/>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14" w:name="hdr35"/>
      <w:bookmarkEnd w:id="2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5" w:name="pgbrk37"/>
      <w:bookmarkStart w:id="216" w:name="pgbrk37"/>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17" w:name="ftr35"/>
      <w:bookmarkEnd w:id="21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8" w:name="pb35"/>
      <w:bookmarkStart w:id="219" w:name="pb35"/>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20" w:name="hdr36"/>
      <w:bookmarkEnd w:id="22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1" w:name="pgbrk38"/>
      <w:bookmarkStart w:id="222" w:name="pgbrk38"/>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23" w:name="ftr36"/>
      <w:bookmarkEnd w:id="2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 w:name="pb36"/>
      <w:bookmarkStart w:id="225" w:name="pb36"/>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26" w:name="hdr37"/>
      <w:bookmarkEnd w:id="22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7" w:name="pgbrk39"/>
      <w:bookmarkStart w:id="228" w:name="pgbrk39"/>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29" w:name="ftr37"/>
      <w:bookmarkEnd w:id="22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0" w:name="pb37"/>
      <w:bookmarkStart w:id="231" w:name="pb37"/>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32" w:name="hdr38"/>
      <w:bookmarkEnd w:id="23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3" w:name="pgbrk40"/>
      <w:bookmarkStart w:id="234" w:name="pgbrk40"/>
      <w:bookmarkEnd w:id="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35" w:name="ftr38"/>
      <w:bookmarkEnd w:id="23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6" w:name="pb38"/>
      <w:bookmarkStart w:id="237" w:name="pb38"/>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38" w:name="hdr39"/>
      <w:bookmarkEnd w:id="2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9" w:name="pgbrk41"/>
      <w:bookmarkStart w:id="240" w:name="pgbrk41"/>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41" w:name="ftr39"/>
      <w:bookmarkEnd w:id="24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2" w:name="pb39"/>
      <w:bookmarkStart w:id="243" w:name="pb39"/>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44" w:name="hdr40"/>
      <w:bookmarkEnd w:id="24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5" w:name="pgbrk42"/>
      <w:bookmarkStart w:id="246" w:name="pgbrk42"/>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47" w:name="ftr40"/>
      <w:bookmarkEnd w:id="24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8" w:name="pb40"/>
      <w:bookmarkStart w:id="249" w:name="pb40"/>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50" w:name="hdr41"/>
      <w:bookmarkEnd w:id="25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1" w:name="pgbrk43"/>
      <w:bookmarkStart w:id="252" w:name="pgbrk43"/>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53" w:name="ftr41"/>
      <w:bookmarkEnd w:id="25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4" w:name="pb41"/>
      <w:bookmarkStart w:id="255" w:name="pb41"/>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56" w:name="hdr42"/>
      <w:bookmarkEnd w:id="25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7" w:name="pgbrk44"/>
      <w:bookmarkStart w:id="258" w:name="pgbrk44"/>
      <w:bookmarkEnd w:id="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59" w:name="ftr42"/>
      <w:bookmarkEnd w:id="25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0" w:name="pb42"/>
      <w:bookmarkStart w:id="261" w:name="pb42"/>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62" w:name="hdr43"/>
      <w:bookmarkEnd w:id="26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3" w:name="pgbrk45"/>
      <w:bookmarkStart w:id="264" w:name="pgbrk45"/>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65" w:name="ftr43"/>
      <w:bookmarkEnd w:id="26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6" w:name="pb43"/>
      <w:bookmarkStart w:id="267" w:name="pb43"/>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68" w:name="hdr44"/>
      <w:bookmarkEnd w:id="26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9" w:name="pgbrk46"/>
      <w:bookmarkStart w:id="270" w:name="pgbrk46"/>
      <w:bookmarkEnd w:id="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71" w:name="ftr44"/>
      <w:bookmarkEnd w:id="27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2" w:name="pb44"/>
      <w:bookmarkStart w:id="273" w:name="pb44"/>
      <w:bookmarkEnd w:id="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74" w:name="hdr45"/>
      <w:bookmarkEnd w:id="27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5" w:name="pgbrk47"/>
      <w:bookmarkStart w:id="276" w:name="pgbrk47"/>
      <w:bookmarkEnd w:id="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77" w:name="ftr45"/>
      <w:bookmarkEnd w:id="27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8" w:name="pb45"/>
      <w:bookmarkStart w:id="279" w:name="pb45"/>
      <w:bookmarkEnd w:id="2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80" w:name="hdr46"/>
      <w:bookmarkEnd w:id="28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1" w:name="pgbrk48"/>
      <w:bookmarkStart w:id="282" w:name="pgbrk48"/>
      <w:bookmarkEnd w:id="2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83" w:name="ftr46"/>
      <w:bookmarkEnd w:id="28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4" w:name="pb46"/>
      <w:bookmarkStart w:id="285" w:name="pb46"/>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86" w:name="hdr47"/>
      <w:bookmarkEnd w:id="28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11087100" cy="85725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1087100" cy="8572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7" w:name="pgbrk49"/>
      <w:bookmarkStart w:id="288" w:name="pgbrk49"/>
      <w:bookmarkEnd w:id="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89" w:name="ftr47"/>
      <w:bookmarkEnd w:id="28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0" w:name="pb47"/>
      <w:bookmarkStart w:id="291" w:name="pb47"/>
      <w:bookmarkEnd w:id="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92" w:name="hdr48"/>
      <w:bookmarkEnd w:id="292"/>
      <w:r>
        <w:rPr/>
        <w:t> </w:t>
      </w:r>
    </w:p>
    <w:p>
      <w:pPr>
        <w:pStyle w:val="TextBody"/>
        <w:ind w:left="0" w:right="0" w:hanging="0"/>
        <w:rPr/>
      </w:pPr>
      <w:r>
        <w:rPr/>
      </w:r>
      <w:bookmarkStart w:id="293" w:name="pgbrk50"/>
      <w:bookmarkStart w:id="294" w:name="pgbrk50"/>
      <w:bookmarkEnd w:id="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95" w:name="hdr49"/>
      <w:bookmarkEnd w:id="29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sz w:val="15"/>
        </w:rPr>
      </w:pPr>
      <w:r>
        <w:rPr>
          <w:rFonts w:ascii="Times New Roman" w:hAnsi="Times New Roman"/>
          <w:b/>
          <w:sz w:val="15"/>
        </w:rPr>
        <w:t>Exhibit 99.2</w:t>
      </w:r>
    </w:p>
    <w:p>
      <w:pPr>
        <w:pStyle w:val="TextBody"/>
        <w:spacing w:before="0" w:after="0"/>
        <w:ind w:left="0" w:right="0" w:hanging="0"/>
        <w:jc w:val="both"/>
        <w:rPr/>
      </w:pPr>
      <w:r>
        <w:rPr/>
        <w:t> </w:t>
      </w:r>
    </w:p>
    <w:p>
      <w:pPr>
        <w:pStyle w:val="TextBody"/>
        <w:spacing w:before="0" w:after="0"/>
        <w:ind w:left="0" w:right="0" w:hanging="0"/>
        <w:jc w:val="left"/>
        <w:rPr/>
      </w:pPr>
      <w:r>
        <w:rPr/>
        <w:drawing>
          <wp:inline distT="0" distB="0" distL="0" distR="0">
            <wp:extent cx="1019175" cy="6572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019175" cy="657225"/>
                    </a:xfrm>
                    <a:prstGeom prst="rect">
                      <a:avLst/>
                    </a:prstGeom>
                  </pic:spPr>
                </pic:pic>
              </a:graphicData>
            </a:graphic>
          </wp:inline>
        </w:drawing>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bookmarkStart w:id="296" w:name="_Hlk7625445"/>
      <w:bookmarkEnd w:id="296"/>
      <w:r>
        <w:rPr>
          <w:rFonts w:ascii="Times New Roman" w:hAnsi="Times New Roman"/>
          <w:b/>
          <w:sz w:val="20"/>
        </w:rPr>
        <w:t>VistaGen Reports Top Line Results from NIMH’s Exploratory Study of</w:t>
      </w:r>
    </w:p>
    <w:p>
      <w:pPr>
        <w:pStyle w:val="TextBody"/>
        <w:spacing w:before="0" w:after="0"/>
        <w:ind w:left="0" w:right="0" w:hanging="0"/>
        <w:jc w:val="center"/>
        <w:rPr>
          <w:rFonts w:ascii="Times New Roman" w:hAnsi="Times New Roman"/>
          <w:b/>
          <w:sz w:val="20"/>
        </w:rPr>
      </w:pPr>
      <w:r>
        <w:rPr>
          <w:rFonts w:ascii="Times New Roman" w:hAnsi="Times New Roman"/>
          <w:b/>
          <w:sz w:val="20"/>
        </w:rPr>
        <w:t>AV-101 Monotherapy for Treatment-Resistant Depression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15"/>
        </w:rPr>
      </w:pPr>
      <w:r>
        <w:rPr>
          <w:rFonts w:ascii="Times New Roman" w:hAnsi="Times New Roman"/>
          <w:b/>
          <w:sz w:val="15"/>
        </w:rPr>
        <w:t>SOUTH SAN FRANCISCO, Calif., May 2, 2019</w:t>
      </w:r>
      <w:r>
        <w:rPr>
          <w:rFonts w:ascii="Times New Roman" w:hAnsi="Times New Roman"/>
          <w:sz w:val="15"/>
        </w:rPr>
        <w:t xml:space="preserve"> - </w:t>
      </w:r>
      <w:r>
        <w:rPr>
          <w:rFonts w:ascii="Times New Roman" w:hAnsi="Times New Roman"/>
          <w:color w:val="0095DA"/>
          <w:sz w:val="15"/>
          <w:u w:val="single"/>
        </w:rPr>
        <w:t>VistaGen Therapeutics</w:t>
      </w:r>
      <w:r>
        <w:rPr>
          <w:rFonts w:ascii="Times New Roman" w:hAnsi="Times New Roman"/>
          <w:sz w:val="15"/>
        </w:rPr>
        <w:t xml:space="preserve"> (NASDAQ: VTGN), a clinical-stage biopharmaceutical company developing new generation medicines for depression, social anxiety disorder and other central nervous system (CNS) diseases and disorders with high unmet need, today announced top line results from an exploratory Phase 2 clinical study of AV-101 as a monotherapy (which is treatment without a concurrent FDA-approved antidepressant) in patients with treatment-resistant depression (TRD). In the 19-patient study sponsored and conducted by the U.S National Institute of Mental Health (NIMH), AV-101 did not demonstrate significant separation from placebo on the primary outcome measure, the change from baseline in the Hamilton Depression Rating Scale (HDRS) total score compared to placebo. A key objective of the study was to evaluate safety in TRD patients, and, consistent with VistaGen’s Phase 1 studies, AV-101 was very well-tolerated with no ketamine-like psychological side effects or safety concerns and no treatment-related serious adverse events.</w:t>
      </w:r>
    </w:p>
    <w:p>
      <w:pPr>
        <w:pStyle w:val="TextBody"/>
        <w:spacing w:before="0" w:after="0"/>
        <w:ind w:left="0" w:right="0" w:hanging="0"/>
        <w:jc w:val="both"/>
        <w:rPr/>
      </w:pPr>
      <w:r>
        <w:rPr/>
        <w:t> </w:t>
      </w:r>
    </w:p>
    <w:p>
      <w:pPr>
        <w:pStyle w:val="TextBody"/>
        <w:spacing w:before="0" w:after="0"/>
        <w:ind w:left="0" w:right="0" w:hanging="0"/>
        <w:jc w:val="left"/>
        <w:rPr/>
      </w:pPr>
      <w:r>
        <w:rPr/>
        <w:t>“</w:t>
      </w:r>
      <w:r>
        <w:rPr>
          <w:rFonts w:ascii="Times New Roman" w:hAnsi="Times New Roman"/>
          <w:sz w:val="15"/>
        </w:rPr>
        <w:t>Although this small NIMH monotherapy study did not meet its primary endpoint in this very difficult-to-treat TRD population, we remain firmly committed to developing novel treatments for those suffering from MDD. In contrast to the NIMH study, our ongoing ELEVATE study is designed to evaluate AV-101 as a novel adjunctive therapy in a significantly different population of MDD patients, namely those whose current depressive episode is less than 2 years. ELEVATE is on track and we will announce top line results later this year,” stated Shawn Singh, VistaGen’s CEO. “We greatly appreciate our long-standing relationship with the NIMH and are grateful for their efforts conducting and providing financial sponsorship for this exploratory study. In addition, we appreciate receiving additional positive safety data from this study and are encouraged that AV-101 was very well-tolerated, without any troubling side effects or safety concerns, in TRD patients suffering from one of the most debilitating forms of depression.”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The double-blind, placebo-controlled, crossover study was conducted at the National Institutes of Health (NIH) Clinical Center in Bethesda, Maryland. Patients with TRD were required to taper off all antidepressant medications, including all adjunctive atypical antipsychotics, for 2 to 5 weeks, and then remain medication free for an additional 2 weeks prior to dosing. Patients were then randomized to receive either a daily dose of AV-101 for 14 days (1080 mg for 7 days followed by 1440 mg for 7 days) or placebo for 14 days. After a 2- to 3-week washout period following the initial 14-day dosing phase, patients were crossed over to the opposite arm of the study.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People who are currently struggling with Major Depressive Disorder (MDD) are considered to have TRD if they have not responded adequately to at least 2 different antidepressants of adequate dose and duration in their current depressive episode. Patients in this NIMH study had serious, long-lasting episodes of depression. The average length of the current depressive episode of the TRD patients in this study was 8.6 years. Prior to participating in this study, patients had undergone an average of 7.8 attempts to treat their TRD over their lifetime, using multiple different antidepressant drugs.</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7" w:name="pgbrk51"/>
      <w:bookmarkStart w:id="298" w:name="pgbrk51"/>
      <w:bookmarkEnd w:id="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99" w:name="ftr48"/>
      <w:bookmarkEnd w:id="29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00" w:name="pb48"/>
      <w:bookmarkStart w:id="301" w:name="pb48"/>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02" w:name="hdr50"/>
      <w:bookmarkEnd w:id="30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drawing>
          <wp:inline distT="0" distB="0" distL="0" distR="0">
            <wp:extent cx="1019175" cy="6572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019175" cy="657225"/>
                    </a:xfrm>
                    <a:prstGeom prst="rect">
                      <a:avLst/>
                    </a:prstGeom>
                  </pic:spPr>
                </pic:pic>
              </a:graphicData>
            </a:graphic>
          </wp:inline>
        </w:drawing>
      </w:r>
    </w:p>
    <w:p>
      <w:pPr>
        <w:pStyle w:val="TextBody"/>
        <w:spacing w:before="0" w:after="0"/>
        <w:rPr/>
      </w:pPr>
      <w:r>
        <w:rPr/>
        <w:t> </w:t>
      </w:r>
    </w:p>
    <w:p>
      <w:pPr>
        <w:pStyle w:val="TextBody"/>
        <w:spacing w:before="0" w:after="0"/>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The NIMH plans to present detailed results from this study at a scientific meeting later this year.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About Major Depressive Disorder (MDD)</w:t>
      </w:r>
    </w:p>
    <w:p>
      <w:pPr>
        <w:pStyle w:val="TextBody"/>
        <w:spacing w:before="0" w:after="0"/>
        <w:ind w:left="0" w:right="0" w:hanging="0"/>
        <w:jc w:val="left"/>
        <w:rPr>
          <w:rFonts w:ascii="Times New Roman" w:hAnsi="Times New Roman"/>
          <w:sz w:val="15"/>
        </w:rPr>
      </w:pPr>
      <w:r>
        <w:rPr>
          <w:rFonts w:ascii="Times New Roman" w:hAnsi="Times New Roman"/>
          <w:sz w:val="15"/>
        </w:rPr>
        <w:t>Major depressive disorder is a serious neurobiologically-based mood disorder, affecting approximately 16 million adults in the U.S., according to the NIMH. Individuals diagnosed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 Globally, MDD affects nearly 300 million people of all ages and is the leading cause of disability worldwide.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About Treatment-Resistant Depression (TRD)</w:t>
      </w:r>
    </w:p>
    <w:p>
      <w:pPr>
        <w:pStyle w:val="TextBody"/>
        <w:spacing w:before="0" w:after="0"/>
        <w:ind w:left="0" w:right="0" w:hanging="0"/>
        <w:jc w:val="left"/>
        <w:rPr>
          <w:rFonts w:ascii="Times New Roman" w:hAnsi="Times New Roman"/>
          <w:sz w:val="15"/>
        </w:rPr>
      </w:pPr>
      <w:r>
        <w:rPr>
          <w:rFonts w:ascii="Times New Roman" w:hAnsi="Times New Roman"/>
          <w:color w:val="333333"/>
          <w:sz w:val="15"/>
        </w:rPr>
        <w:t>People who are currently struggling with MDD are considered to have TRD if they have not responded adequately to at least 2 different antidepressants of adequate dose and duration in their current depressive episode.</w:t>
      </w:r>
      <w:r>
        <w:rPr>
          <w:rFonts w:ascii="Times New Roman" w:hAnsi="Times New Roman"/>
          <w:sz w:val="15"/>
        </w:rPr>
        <w:t> </w:t>
      </w:r>
      <w:r>
        <w:rPr>
          <w:rFonts w:ascii="Times New Roman" w:hAnsi="Times New Roman"/>
          <w:color w:val="333333"/>
          <w:sz w:val="15"/>
        </w:rPr>
        <w:t>TRD is a chronic condition that places an ongoing emotional, functional, and economic burden on the individual, their loved ones and society.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About AV-101</w:t>
      </w:r>
    </w:p>
    <w:p>
      <w:pPr>
        <w:pStyle w:val="TextBody"/>
        <w:spacing w:before="0" w:after="0"/>
        <w:ind w:left="0" w:right="0" w:hanging="0"/>
        <w:jc w:val="left"/>
        <w:rPr>
          <w:rFonts w:ascii="Times New Roman" w:hAnsi="Times New Roman"/>
          <w:sz w:val="15"/>
        </w:rPr>
      </w:pPr>
      <w:r>
        <w:rPr>
          <w:rFonts w:ascii="Times New Roman" w:hAnsi="Times New Roman"/>
          <w:sz w:val="15"/>
          <w:highlight w:val="white"/>
        </w:rPr>
        <w:t>AV-101 (4-Cl-KYN) is an investigational, oral NMDA receptor glycine site antagonist with potential to be a treatment for multiple CNS indications with high unmet need. AV-101 is currently in a Phase 2 clinical study (the ELEVATE study) for adjunctive treatment of MDD and</w:t>
      </w:r>
      <w:r>
        <w:rPr>
          <w:rFonts w:ascii="Times New Roman" w:hAnsi="Times New Roman"/>
          <w:sz w:val="15"/>
        </w:rPr>
        <w:t xml:space="preserve"> a first-step target engagement study in healthy volunteer U.S. military Veterans</w:t>
      </w:r>
      <w:r>
        <w:rPr>
          <w:rFonts w:ascii="Times New Roman" w:hAnsi="Times New Roman"/>
          <w:sz w:val="15"/>
          <w:highlight w:val="white"/>
        </w:rPr>
        <w:t>. The</w:t>
      </w:r>
      <w:r>
        <w:rPr>
          <w:rFonts w:ascii="Times New Roman" w:hAnsi="Times New Roman"/>
          <w:sz w:val="15"/>
        </w:rPr>
        <w:t xml:space="preserve"> FDA </w:t>
      </w:r>
      <w:r>
        <w:rPr>
          <w:rFonts w:ascii="Times New Roman" w:hAnsi="Times New Roman"/>
          <w:sz w:val="15"/>
          <w:highlight w:val="white"/>
        </w:rPr>
        <w:t>has </w:t>
      </w:r>
      <w:r>
        <w:rPr>
          <w:rFonts w:ascii="Times New Roman" w:hAnsi="Times New Roman"/>
          <w:color w:val="000000"/>
          <w:sz w:val="15"/>
        </w:rPr>
        <w:t>granted Fast Track designation</w:t>
      </w:r>
      <w:r>
        <w:rPr>
          <w:rFonts w:ascii="Times New Roman" w:hAnsi="Times New Roman"/>
          <w:sz w:val="15"/>
          <w:highlight w:val="white"/>
        </w:rPr>
        <w:t> for development of AV-101 as both a potential</w:t>
      </w:r>
      <w:r>
        <w:rPr>
          <w:rFonts w:ascii="Times New Roman" w:hAnsi="Times New Roman"/>
          <w:sz w:val="15"/>
        </w:rPr>
        <w:t xml:space="preserve"> </w:t>
      </w:r>
      <w:r>
        <w:rPr>
          <w:rFonts w:ascii="Times New Roman" w:hAnsi="Times New Roman"/>
          <w:color w:val="0095DA"/>
          <w:sz w:val="15"/>
          <w:u w:val="single"/>
        </w:rPr>
        <w:t>adjunctive treatment for MDD</w:t>
      </w:r>
      <w:r>
        <w:rPr>
          <w:rFonts w:ascii="Times New Roman" w:hAnsi="Times New Roman"/>
          <w:sz w:val="15"/>
          <w:highlight w:val="white"/>
        </w:rPr>
        <w:t> and as a</w:t>
      </w:r>
      <w:r>
        <w:rPr>
          <w:rFonts w:ascii="Times New Roman" w:hAnsi="Times New Roman"/>
          <w:color w:val="333333"/>
          <w:sz w:val="15"/>
          <w:highlight w:val="white"/>
        </w:rPr>
        <w:t> </w:t>
      </w:r>
      <w:r>
        <w:rPr>
          <w:rFonts w:ascii="Times New Roman" w:hAnsi="Times New Roman"/>
          <w:color w:val="0095DA"/>
          <w:sz w:val="15"/>
          <w:u w:val="single"/>
        </w:rPr>
        <w:t>non-opioid treatment for neuropathic pain</w:t>
      </w:r>
      <w:r>
        <w:rPr>
          <w:rFonts w:ascii="Times New Roman" w:hAnsi="Times New Roman"/>
          <w:color w:val="333333"/>
          <w:sz w:val="15"/>
          <w:highlight w:val="white"/>
        </w:rPr>
        <w: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About ELEVATE</w:t>
      </w:r>
    </w:p>
    <w:p>
      <w:pPr>
        <w:pStyle w:val="TextBody"/>
        <w:spacing w:before="0" w:after="0"/>
        <w:ind w:left="0" w:right="0" w:hanging="0"/>
        <w:jc w:val="left"/>
        <w:rPr>
          <w:rFonts w:ascii="Times New Roman" w:hAnsi="Times New Roman"/>
          <w:sz w:val="15"/>
          <w:highlight w:val="white"/>
        </w:rPr>
      </w:pPr>
      <w:r>
        <w:rPr>
          <w:rFonts w:ascii="Times New Roman" w:hAnsi="Times New Roman"/>
          <w:sz w:val="15"/>
          <w:highlight w:val="white"/>
        </w:rPr>
        <w:t>Among VistaGen’s core objectives for AV-101 is to displace atypical antipsychotics, such as aripiprazole and brexpiprazole, in the current MDD drug treatment paradigm. The Company’s ELEVATE study is designed to advance on that objective. The ELEVATE study is an ongoing randomized, double-blind, placebo-controlled, multi-center U.S. Phase 2 clinical study to evaluate the efficacy and safety of adjunctive use of AV-101 in adult MDD patients who have an inadequate response to standard FDA-approved antidepressant therapy, either a selective serotonin reuptake inhibitor (SSRI), a serotonin norepinephrine reuptake inhibitor (SNRI), or bupropion. Only patients whose current depression episode is less than 2 years will be randomized to receive either AV-101 or placebo, in addition to their ongoing standard FDA-approved antidepressant. The primary endpoint of the study is the change from baseline on the Montgomery-Åsberg Depression Rating Scale (MADRS) total score.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About VistaGen</w:t>
      </w:r>
    </w:p>
    <w:p>
      <w:pPr>
        <w:pStyle w:val="TextBody"/>
        <w:spacing w:before="0" w:after="0"/>
        <w:rPr/>
      </w:pPr>
      <w:r>
        <w:rPr/>
        <w:t> </w:t>
      </w:r>
    </w:p>
    <w:p>
      <w:pPr>
        <w:pStyle w:val="TextBody"/>
        <w:spacing w:before="0" w:after="0"/>
        <w:ind w:left="0" w:right="0" w:hanging="0"/>
        <w:jc w:val="left"/>
        <w:rPr>
          <w:rFonts w:ascii="Times New Roman" w:hAnsi="Times New Roman"/>
          <w:sz w:val="15"/>
        </w:rPr>
      </w:pPr>
      <w:r>
        <w:rPr>
          <w:rFonts w:ascii="Times New Roman" w:hAnsi="Times New Roman"/>
          <w:color w:val="333333"/>
          <w:sz w:val="15"/>
          <w:highlight w:val="white"/>
        </w:rPr>
        <w:t>VistaGen Therapeutics is a clinical-stage biopharmaceutical company developing new generation medicines for depression, social anxiety disorder and other CNS diseases and disorders with high unmet need. VistaGen’s current CNS pipeline includes three drug candidates, AV-101, PH10, and PH94B, with potential for at-home use, rapid-onset therapeutic benefits and exceptional safety.</w:t>
      </w:r>
      <w:r>
        <w:rPr>
          <w:rFonts w:ascii="Times New Roman" w:hAnsi="Times New Roman"/>
          <w:sz w:val="15"/>
        </w:rPr>
        <w:t xml:space="preserve"> For more information, please visit </w:t>
      </w:r>
      <w:r>
        <w:rPr>
          <w:rFonts w:ascii="Times New Roman" w:hAnsi="Times New Roman"/>
          <w:color w:val="0095DA"/>
          <w:sz w:val="15"/>
          <w:u w:val="single"/>
        </w:rPr>
        <w:t>www.vistagen.com</w:t>
      </w:r>
      <w:r>
        <w:rPr>
          <w:rFonts w:ascii="Times New Roman" w:hAnsi="Times New Roman"/>
          <w:color w:val="333333"/>
          <w:sz w:val="15"/>
        </w:rPr>
        <w:t> </w:t>
      </w:r>
      <w:r>
        <w:rPr>
          <w:rFonts w:ascii="Times New Roman" w:hAnsi="Times New Roman"/>
          <w:sz w:val="15"/>
        </w:rPr>
        <w:t>and connect with VistaGen on</w:t>
      </w:r>
      <w:r>
        <w:rPr>
          <w:rFonts w:ascii="Times New Roman" w:hAnsi="Times New Roman"/>
          <w:color w:val="333333"/>
          <w:sz w:val="15"/>
        </w:rPr>
        <w:t> </w:t>
      </w:r>
      <w:r>
        <w:rPr>
          <w:rFonts w:ascii="Times New Roman" w:hAnsi="Times New Roman"/>
          <w:color w:val="0095DA"/>
          <w:sz w:val="15"/>
          <w:u w:val="single"/>
        </w:rPr>
        <w:t>Twitter</w:t>
      </w:r>
      <w:r>
        <w:rPr>
          <w:rFonts w:ascii="Times New Roman" w:hAnsi="Times New Roman"/>
          <w:color w:val="333333"/>
          <w:sz w:val="15"/>
        </w:rPr>
        <w:t>, </w:t>
      </w:r>
      <w:r>
        <w:rPr>
          <w:rFonts w:ascii="Times New Roman" w:hAnsi="Times New Roman"/>
          <w:color w:val="0095DA"/>
          <w:sz w:val="15"/>
          <w:u w:val="single"/>
        </w:rPr>
        <w:t>LinkedIn</w:t>
      </w:r>
      <w:r>
        <w:rPr>
          <w:rFonts w:ascii="Times New Roman" w:hAnsi="Times New Roman"/>
          <w:color w:val="333333"/>
          <w:sz w:val="15"/>
        </w:rPr>
        <w:t> </w:t>
      </w:r>
      <w:r>
        <w:rPr>
          <w:rFonts w:ascii="Times New Roman" w:hAnsi="Times New Roman"/>
          <w:sz w:val="15"/>
        </w:rPr>
        <w:t>and</w:t>
      </w:r>
      <w:r>
        <w:rPr>
          <w:rFonts w:ascii="Times New Roman" w:hAnsi="Times New Roman"/>
          <w:color w:val="333333"/>
          <w:sz w:val="15"/>
        </w:rPr>
        <w:t> </w:t>
      </w:r>
      <w:r>
        <w:rPr>
          <w:rFonts w:ascii="Times New Roman" w:hAnsi="Times New Roman"/>
          <w:color w:val="0095DA"/>
          <w:sz w:val="15"/>
          <w:u w:val="single"/>
        </w:rPr>
        <w:t>Facebook</w:t>
      </w:r>
      <w:r>
        <w:rPr>
          <w:rFonts w:ascii="Times New Roman" w:hAnsi="Times New Roman"/>
          <w:color w:val="333333"/>
          <w:sz w:val="15"/>
        </w:rPr>
        <w:t>.</w:t>
      </w:r>
    </w:p>
    <w:p>
      <w:pPr>
        <w:pStyle w:val="TextBody"/>
        <w:spacing w:before="0" w:after="0"/>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3" w:name="pgbrk52"/>
      <w:bookmarkStart w:id="304" w:name="pgbrk52"/>
      <w:bookmarkEnd w:id="3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05" w:name="ftr49"/>
      <w:bookmarkEnd w:id="30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06" w:name="pb49"/>
      <w:bookmarkStart w:id="307" w:name="pb49"/>
      <w:bookmarkEnd w:id="3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08" w:name="hdr51"/>
      <w:bookmarkEnd w:id="30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rPr/>
      </w:pPr>
      <w:r>
        <w:rPr/>
        <w:drawing>
          <wp:inline distT="0" distB="0" distL="0" distR="0">
            <wp:extent cx="1019175" cy="6572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019175" cy="657225"/>
                    </a:xfrm>
                    <a:prstGeom prst="rect">
                      <a:avLst/>
                    </a:prstGeom>
                  </pic:spPr>
                </pic:pic>
              </a:graphicData>
            </a:graphic>
          </wp:inline>
        </w:drawing>
      </w:r>
    </w:p>
    <w:p>
      <w:pPr>
        <w:pStyle w:val="TextBody"/>
        <w:spacing w:before="0" w:after="0"/>
        <w:rPr/>
      </w:pPr>
      <w:r>
        <w:rPr/>
        <w:t> </w:t>
      </w:r>
    </w:p>
    <w:p>
      <w:pPr>
        <w:pStyle w:val="TextBody"/>
        <w:spacing w:before="0" w:after="0"/>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Forward-Looking Statements</w:t>
      </w:r>
    </w:p>
    <w:p>
      <w:pPr>
        <w:pStyle w:val="TextBody"/>
        <w:spacing w:before="0" w:after="0"/>
        <w:ind w:left="0" w:right="0" w:hanging="0"/>
        <w:jc w:val="left"/>
        <w:rPr>
          <w:rFonts w:ascii="Times New Roman" w:hAnsi="Times New Roman"/>
          <w:sz w:val="15"/>
        </w:rPr>
      </w:pPr>
      <w:r>
        <w:rPr>
          <w:rFonts w:ascii="Times New Roman" w:hAnsi="Times New Roman"/>
          <w:color w:val="333333"/>
          <w:sz w:val="15"/>
          <w:highlight w:val="white"/>
        </w:rPr>
        <w:t>This release contains various statements concerning VistaGen's future expectations, plans and prospects, including without limitation, our expectations regarding development and commercialization of our drug candidates, including AV-101 for MDD, all of which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in ongoing or future studies, and ongoing or future preclinical and clinical results may not support further development of, or be sufficient to gain regulatory approval to market our drug candidates, including AV-101,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Times New Roman" w:hAnsi="Times New Roman"/>
          <w:color w:val="0095DA"/>
          <w:sz w:val="15"/>
          <w:u w:val="single"/>
        </w:rPr>
        <w:t>www.sec.gov</w:t>
      </w:r>
      <w:r>
        <w:rPr>
          <w:rFonts w:ascii="Times New Roman" w:hAnsi="Times New Roman"/>
          <w:color w:val="333333"/>
          <w:sz w:val="15"/>
          <w:highlight w:val="white"/>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Company Contact</w:t>
      </w:r>
    </w:p>
    <w:p>
      <w:pPr>
        <w:pStyle w:val="TextBody"/>
        <w:spacing w:before="0" w:after="0"/>
        <w:ind w:left="0" w:right="0" w:hanging="0"/>
        <w:jc w:val="left"/>
        <w:rPr>
          <w:rFonts w:ascii="Times New Roman" w:hAnsi="Times New Roman"/>
          <w:sz w:val="15"/>
        </w:rPr>
      </w:pPr>
      <w:r>
        <w:rPr>
          <w:rFonts w:ascii="Times New Roman" w:hAnsi="Times New Roman"/>
          <w:sz w:val="15"/>
        </w:rPr>
        <w:t>Mark A. McPartland</w:t>
      </w:r>
    </w:p>
    <w:p>
      <w:pPr>
        <w:pStyle w:val="TextBody"/>
        <w:spacing w:before="0" w:after="0"/>
        <w:ind w:left="0" w:right="0" w:hanging="0"/>
        <w:jc w:val="left"/>
        <w:rPr>
          <w:rFonts w:ascii="Times New Roman" w:hAnsi="Times New Roman"/>
          <w:sz w:val="15"/>
        </w:rPr>
      </w:pPr>
      <w:r>
        <w:rPr>
          <w:rFonts w:ascii="Times New Roman" w:hAnsi="Times New Roman"/>
          <w:sz w:val="15"/>
        </w:rPr>
        <w:t>VistaGen Therapeutics Inc.</w:t>
      </w:r>
    </w:p>
    <w:p>
      <w:pPr>
        <w:pStyle w:val="TextBody"/>
        <w:spacing w:before="0" w:after="0"/>
        <w:ind w:left="0" w:right="0" w:hanging="0"/>
        <w:jc w:val="left"/>
        <w:rPr>
          <w:rFonts w:ascii="Times New Roman" w:hAnsi="Times New Roman"/>
          <w:sz w:val="15"/>
        </w:rPr>
      </w:pPr>
      <w:r>
        <w:rPr>
          <w:rFonts w:ascii="Times New Roman" w:hAnsi="Times New Roman"/>
          <w:sz w:val="15"/>
        </w:rPr>
        <w:t>Phone: +1 (650) 577-3600</w:t>
      </w:r>
    </w:p>
    <w:p>
      <w:pPr>
        <w:pStyle w:val="TextBody"/>
        <w:spacing w:before="0" w:after="0"/>
        <w:ind w:left="0" w:right="0" w:hanging="0"/>
        <w:jc w:val="left"/>
        <w:rPr>
          <w:rFonts w:ascii="Times New Roman" w:hAnsi="Times New Roman"/>
          <w:sz w:val="15"/>
        </w:rPr>
      </w:pPr>
      <w:r>
        <w:rPr>
          <w:rFonts w:ascii="Times New Roman" w:hAnsi="Times New Roman"/>
          <w:sz w:val="15"/>
        </w:rPr>
        <w:t>Email:</w:t>
      </w:r>
      <w:r>
        <w:rPr>
          <w:rFonts w:ascii="Times New Roman" w:hAnsi="Times New Roman"/>
          <w:color w:val="333333"/>
          <w:sz w:val="15"/>
        </w:rPr>
        <w:t> </w:t>
      </w:r>
      <w:r>
        <w:rPr>
          <w:rFonts w:ascii="Times New Roman" w:hAnsi="Times New Roman"/>
          <w:color w:val="0095DA"/>
          <w:sz w:val="15"/>
          <w:u w:val="single"/>
        </w:rPr>
        <w:t>IR@vistagen.com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Investor Contact</w:t>
      </w:r>
    </w:p>
    <w:p>
      <w:pPr>
        <w:pStyle w:val="TextBody"/>
        <w:spacing w:before="0" w:after="0"/>
        <w:ind w:left="0" w:right="0" w:hanging="0"/>
        <w:jc w:val="left"/>
        <w:rPr>
          <w:rFonts w:ascii="Times New Roman" w:hAnsi="Times New Roman"/>
          <w:sz w:val="15"/>
        </w:rPr>
      </w:pPr>
      <w:r>
        <w:rPr>
          <w:rFonts w:ascii="Times New Roman" w:hAnsi="Times New Roman"/>
          <w:sz w:val="15"/>
        </w:rPr>
        <w:t>Valter Pinto / Allison Soss</w:t>
      </w:r>
    </w:p>
    <w:p>
      <w:pPr>
        <w:pStyle w:val="TextBody"/>
        <w:spacing w:before="0" w:after="0"/>
        <w:ind w:left="0" w:right="0" w:hanging="0"/>
        <w:jc w:val="left"/>
        <w:rPr>
          <w:rFonts w:ascii="Times New Roman" w:hAnsi="Times New Roman"/>
          <w:sz w:val="15"/>
        </w:rPr>
      </w:pPr>
      <w:r>
        <w:rPr>
          <w:rFonts w:ascii="Times New Roman" w:hAnsi="Times New Roman"/>
          <w:sz w:val="15"/>
        </w:rPr>
        <w:t>KCSA Strategic Communications</w:t>
      </w:r>
    </w:p>
    <w:p>
      <w:pPr>
        <w:pStyle w:val="TextBody"/>
        <w:spacing w:before="0" w:after="0"/>
        <w:ind w:left="0" w:right="0" w:hanging="0"/>
        <w:jc w:val="left"/>
        <w:rPr>
          <w:rFonts w:ascii="Times New Roman" w:hAnsi="Times New Roman"/>
          <w:sz w:val="15"/>
        </w:rPr>
      </w:pPr>
      <w:r>
        <w:rPr>
          <w:rFonts w:ascii="Times New Roman" w:hAnsi="Times New Roman"/>
          <w:sz w:val="15"/>
        </w:rPr>
        <w:t>Phone: +1 (212) 896-1254/+1 (212) 896-1267</w:t>
      </w:r>
    </w:p>
    <w:p>
      <w:pPr>
        <w:pStyle w:val="TextBody"/>
        <w:spacing w:before="0" w:after="0"/>
        <w:ind w:left="0" w:right="0" w:hanging="0"/>
        <w:jc w:val="left"/>
        <w:rPr>
          <w:rFonts w:ascii="Times New Roman" w:hAnsi="Times New Roman"/>
          <w:sz w:val="15"/>
        </w:rPr>
      </w:pPr>
      <w:r>
        <w:rPr>
          <w:rFonts w:ascii="Times New Roman" w:hAnsi="Times New Roman"/>
          <w:sz w:val="15"/>
        </w:rPr>
        <w:t>Email:</w:t>
      </w:r>
      <w:r>
        <w:rPr>
          <w:rFonts w:ascii="Times New Roman" w:hAnsi="Times New Roman"/>
          <w:color w:val="333333"/>
          <w:sz w:val="15"/>
        </w:rPr>
        <w:t> </w:t>
      </w:r>
      <w:r>
        <w:rPr>
          <w:rFonts w:ascii="Times New Roman" w:hAnsi="Times New Roman"/>
          <w:color w:val="0095DA"/>
          <w:sz w:val="15"/>
          <w:u w:val="single"/>
        </w:rPr>
        <w:t>VistaGen@KCSA.com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Media Contact</w:t>
      </w:r>
    </w:p>
    <w:p>
      <w:pPr>
        <w:pStyle w:val="TextBody"/>
        <w:spacing w:before="0" w:after="0"/>
        <w:ind w:left="0" w:right="0" w:hanging="0"/>
        <w:jc w:val="left"/>
        <w:rPr>
          <w:rFonts w:ascii="Times New Roman" w:hAnsi="Times New Roman"/>
          <w:sz w:val="15"/>
        </w:rPr>
      </w:pPr>
      <w:r>
        <w:rPr>
          <w:rFonts w:ascii="Times New Roman" w:hAnsi="Times New Roman"/>
          <w:sz w:val="15"/>
        </w:rPr>
        <w:t>Caitlin Kasunich / Lisa Lipson</w:t>
      </w:r>
    </w:p>
    <w:p>
      <w:pPr>
        <w:pStyle w:val="TextBody"/>
        <w:spacing w:before="0" w:after="0"/>
        <w:ind w:left="0" w:right="0" w:hanging="0"/>
        <w:jc w:val="left"/>
        <w:rPr>
          <w:rFonts w:ascii="Times New Roman" w:hAnsi="Times New Roman"/>
          <w:sz w:val="15"/>
        </w:rPr>
      </w:pPr>
      <w:r>
        <w:rPr>
          <w:rFonts w:ascii="Times New Roman" w:hAnsi="Times New Roman"/>
          <w:sz w:val="15"/>
        </w:rPr>
        <w:t>KCSA Strategic Communications</w:t>
      </w:r>
    </w:p>
    <w:p>
      <w:pPr>
        <w:pStyle w:val="TextBody"/>
        <w:spacing w:before="0" w:after="0"/>
        <w:ind w:left="0" w:right="0" w:hanging="0"/>
        <w:jc w:val="left"/>
        <w:rPr>
          <w:rFonts w:ascii="Times New Roman" w:hAnsi="Times New Roman"/>
          <w:sz w:val="15"/>
        </w:rPr>
      </w:pPr>
      <w:r>
        <w:rPr>
          <w:rFonts w:ascii="Times New Roman" w:hAnsi="Times New Roman"/>
          <w:sz w:val="15"/>
        </w:rPr>
        <w:t>Phone: +1 (212) 896-1241/+1 (508) 843-6428</w:t>
      </w:r>
    </w:p>
    <w:p>
      <w:pPr>
        <w:pStyle w:val="TextBody"/>
        <w:spacing w:before="0" w:after="0"/>
        <w:ind w:left="0" w:right="0" w:hanging="0"/>
        <w:jc w:val="left"/>
        <w:rPr>
          <w:rFonts w:ascii="Times New Roman" w:hAnsi="Times New Roman"/>
          <w:sz w:val="15"/>
        </w:rPr>
      </w:pPr>
      <w:r>
        <w:rPr>
          <w:rFonts w:ascii="Times New Roman" w:hAnsi="Times New Roman"/>
          <w:sz w:val="15"/>
        </w:rPr>
        <w:t>Email: </w:t>
      </w:r>
      <w:r>
        <w:rPr>
          <w:rFonts w:ascii="Times New Roman" w:hAnsi="Times New Roman"/>
          <w:color w:val="0095DA"/>
          <w:sz w:val="15"/>
          <w:u w:val="single"/>
        </w:rPr>
        <w:t>VistaGen@KCSA.com</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15"/>
        </w:rPr>
      </w:pPr>
      <w:r>
        <w:rPr>
          <w:rFonts w:ascii="Times New Roman" w:hAnsi="Times New Roman"/>
          <w:sz w:val="15"/>
        </w:rPr>
        <w:t>###</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9" w:name="pgbrk53"/>
      <w:bookmarkStart w:id="310" w:name="pgbrk53"/>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11" w:name="ftr50"/>
      <w:bookmarkEnd w:id="31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12" w:name="pb50"/>
      <w:bookmarkStart w:id="313" w:name="pb50"/>
      <w:bookmarkEnd w:id="313"/>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2026</Words>
  <CharactersWithSpaces>13648</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