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b w:val="1"/>
          <w:bCs w:val="1"/>
          <w:color w:val="auto"/>
        </w:rPr>
        <w:t>As filed with the Securities and Exchange Commission on August 6 , 2014</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333-195901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-27305</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S-1/A</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(Amendment No. 5 )</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REGISTRATION STATEMENT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THE SECURITIES ACT OF 1933</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54" w:lineRule="exact"/>
        <w:rPr>
          <w:sz w:val="24"/>
          <w:szCs w:val="24"/>
          <w:color w:val="auto"/>
        </w:rPr>
      </w:pPr>
    </w:p>
    <w:tbl>
      <w:tblPr>
        <w:tblLayout w:type="fixed"/>
        <w:tblInd w:w="1000" w:type="dxa"/>
        <w:tblCellMar>
          <w:top w:w="0" w:type="dxa"/>
          <w:left w:w="0" w:type="dxa"/>
          <w:bottom w:w="0" w:type="dxa"/>
          <w:right w:w="0" w:type="dxa"/>
        </w:tblCellMar>
      </w:tblPr>
      <w:tr>
        <w:trPr>
          <w:trHeight w:val="148"/>
        </w:trPr>
        <w:tc>
          <w:tcPr>
            <w:tcW w:w="1700" w:type="dxa"/>
            <w:vAlign w:val="bottom"/>
          </w:tcPr>
          <w:p>
            <w:pPr>
              <w:jc w:val="center"/>
              <w:ind w:right="180"/>
              <w:spacing w:after="0"/>
              <w:rPr>
                <w:sz w:val="20"/>
                <w:szCs w:val="20"/>
                <w:color w:val="auto"/>
              </w:rPr>
            </w:pPr>
            <w:r>
              <w:rPr>
                <w:rFonts w:ascii="Arial" w:cs="Arial" w:eastAsia="Arial" w:hAnsi="Arial"/>
                <w:sz w:val="12"/>
                <w:szCs w:val="12"/>
                <w:b w:val="1"/>
                <w:bCs w:val="1"/>
                <w:color w:val="auto"/>
                <w:w w:val="88"/>
              </w:rPr>
              <w:t>Nevada</w:t>
            </w:r>
          </w:p>
        </w:tc>
        <w:tc>
          <w:tcPr>
            <w:tcW w:w="6180" w:type="dxa"/>
            <w:vAlign w:val="bottom"/>
          </w:tcPr>
          <w:p>
            <w:pPr>
              <w:jc w:val="center"/>
              <w:spacing w:after="0"/>
              <w:rPr>
                <w:sz w:val="20"/>
                <w:szCs w:val="20"/>
                <w:color w:val="auto"/>
              </w:rPr>
            </w:pPr>
            <w:r>
              <w:rPr>
                <w:rFonts w:ascii="Arial" w:cs="Arial" w:eastAsia="Arial" w:hAnsi="Arial"/>
                <w:sz w:val="12"/>
                <w:szCs w:val="12"/>
                <w:b w:val="1"/>
                <w:bCs w:val="1"/>
                <w:color w:val="auto"/>
                <w:w w:val="89"/>
              </w:rPr>
              <w:t>3841</w:t>
            </w:r>
          </w:p>
        </w:tc>
        <w:tc>
          <w:tcPr>
            <w:tcW w:w="1480" w:type="dxa"/>
            <w:vAlign w:val="bottom"/>
          </w:tcPr>
          <w:p>
            <w:pPr>
              <w:jc w:val="center"/>
              <w:ind w:left="320"/>
              <w:spacing w:after="0"/>
              <w:rPr>
                <w:sz w:val="20"/>
                <w:szCs w:val="20"/>
                <w:color w:val="auto"/>
              </w:rPr>
            </w:pPr>
            <w:r>
              <w:rPr>
                <w:rFonts w:ascii="Arial" w:cs="Arial" w:eastAsia="Arial" w:hAnsi="Arial"/>
                <w:sz w:val="12"/>
                <w:szCs w:val="12"/>
                <w:b w:val="1"/>
                <w:bCs w:val="1"/>
                <w:color w:val="auto"/>
                <w:w w:val="90"/>
              </w:rPr>
              <w:t>20-5093315</w:t>
            </w:r>
          </w:p>
        </w:tc>
      </w:tr>
      <w:tr>
        <w:trPr>
          <w:trHeight w:val="144"/>
        </w:trPr>
        <w:tc>
          <w:tcPr>
            <w:tcW w:w="1700" w:type="dxa"/>
            <w:vAlign w:val="bottom"/>
          </w:tcPr>
          <w:p>
            <w:pPr>
              <w:jc w:val="center"/>
              <w:ind w:right="200"/>
              <w:spacing w:after="0"/>
              <w:rPr>
                <w:sz w:val="20"/>
                <w:szCs w:val="20"/>
                <w:color w:val="auto"/>
              </w:rPr>
            </w:pPr>
            <w:r>
              <w:rPr>
                <w:rFonts w:ascii="Arial" w:cs="Arial" w:eastAsia="Arial" w:hAnsi="Arial"/>
                <w:sz w:val="12"/>
                <w:szCs w:val="12"/>
                <w:color w:val="auto"/>
                <w:w w:val="93"/>
              </w:rPr>
              <w:t>(State or other jurisdiction of</w:t>
            </w:r>
          </w:p>
        </w:tc>
        <w:tc>
          <w:tcPr>
            <w:tcW w:w="6180" w:type="dxa"/>
            <w:vAlign w:val="bottom"/>
          </w:tcPr>
          <w:p>
            <w:pPr>
              <w:jc w:val="center"/>
              <w:spacing w:after="0"/>
              <w:rPr>
                <w:sz w:val="20"/>
                <w:szCs w:val="20"/>
                <w:color w:val="auto"/>
              </w:rPr>
            </w:pPr>
            <w:r>
              <w:rPr>
                <w:rFonts w:ascii="Arial" w:cs="Arial" w:eastAsia="Arial" w:hAnsi="Arial"/>
                <w:sz w:val="12"/>
                <w:szCs w:val="12"/>
                <w:color w:val="auto"/>
                <w:w w:val="91"/>
              </w:rPr>
              <w:t>(Primary Standard Industrial</w:t>
            </w:r>
          </w:p>
        </w:tc>
        <w:tc>
          <w:tcPr>
            <w:tcW w:w="1480" w:type="dxa"/>
            <w:vAlign w:val="bottom"/>
          </w:tcPr>
          <w:p>
            <w:pPr>
              <w:jc w:val="center"/>
              <w:ind w:left="320"/>
              <w:spacing w:after="0"/>
              <w:rPr>
                <w:sz w:val="20"/>
                <w:szCs w:val="20"/>
                <w:color w:val="auto"/>
              </w:rPr>
            </w:pPr>
            <w:r>
              <w:rPr>
                <w:rFonts w:ascii="Arial" w:cs="Arial" w:eastAsia="Arial" w:hAnsi="Arial"/>
                <w:sz w:val="12"/>
                <w:szCs w:val="12"/>
                <w:color w:val="auto"/>
                <w:w w:val="93"/>
              </w:rPr>
              <w:t>(I.R.S. Employer</w:t>
            </w:r>
          </w:p>
        </w:tc>
      </w:tr>
      <w:tr>
        <w:trPr>
          <w:trHeight w:val="153"/>
        </w:trPr>
        <w:tc>
          <w:tcPr>
            <w:tcW w:w="1700" w:type="dxa"/>
            <w:vAlign w:val="bottom"/>
          </w:tcPr>
          <w:p>
            <w:pPr>
              <w:jc w:val="center"/>
              <w:ind w:right="200"/>
              <w:spacing w:after="0"/>
              <w:rPr>
                <w:sz w:val="20"/>
                <w:szCs w:val="20"/>
                <w:color w:val="auto"/>
              </w:rPr>
            </w:pPr>
            <w:r>
              <w:rPr>
                <w:rFonts w:ascii="Arial" w:cs="Arial" w:eastAsia="Arial" w:hAnsi="Arial"/>
                <w:sz w:val="12"/>
                <w:szCs w:val="12"/>
                <w:color w:val="auto"/>
                <w:w w:val="92"/>
              </w:rPr>
              <w:t>incorporation or organization)</w:t>
            </w:r>
          </w:p>
        </w:tc>
        <w:tc>
          <w:tcPr>
            <w:tcW w:w="6180" w:type="dxa"/>
            <w:vAlign w:val="bottom"/>
          </w:tcPr>
          <w:p>
            <w:pPr>
              <w:jc w:val="center"/>
              <w:spacing w:after="0"/>
              <w:rPr>
                <w:sz w:val="20"/>
                <w:szCs w:val="20"/>
                <w:color w:val="auto"/>
              </w:rPr>
            </w:pPr>
            <w:r>
              <w:rPr>
                <w:rFonts w:ascii="Arial" w:cs="Arial" w:eastAsia="Arial" w:hAnsi="Arial"/>
                <w:sz w:val="12"/>
                <w:szCs w:val="12"/>
                <w:color w:val="auto"/>
                <w:w w:val="91"/>
              </w:rPr>
              <w:t>Classification Code Number)</w:t>
            </w:r>
          </w:p>
        </w:tc>
        <w:tc>
          <w:tcPr>
            <w:tcW w:w="1480" w:type="dxa"/>
            <w:vAlign w:val="bottom"/>
          </w:tcPr>
          <w:p>
            <w:pPr>
              <w:jc w:val="center"/>
              <w:ind w:left="320"/>
              <w:spacing w:after="0"/>
              <w:rPr>
                <w:sz w:val="20"/>
                <w:szCs w:val="20"/>
                <w:color w:val="auto"/>
              </w:rPr>
            </w:pPr>
            <w:r>
              <w:rPr>
                <w:rFonts w:ascii="Arial" w:cs="Arial" w:eastAsia="Arial" w:hAnsi="Arial"/>
                <w:sz w:val="12"/>
                <w:szCs w:val="12"/>
                <w:color w:val="auto"/>
                <w:w w:val="93"/>
              </w:rPr>
              <w:t>Identification Number)</w:t>
            </w:r>
          </w:p>
        </w:tc>
      </w:tr>
      <w:tr>
        <w:trPr>
          <w:trHeight w:val="293"/>
        </w:trPr>
        <w:tc>
          <w:tcPr>
            <w:tcW w:w="1700" w:type="dxa"/>
            <w:vAlign w:val="bottom"/>
          </w:tcPr>
          <w:p>
            <w:pPr>
              <w:spacing w:after="0"/>
              <w:rPr>
                <w:sz w:val="24"/>
                <w:szCs w:val="24"/>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VistaGen Therapeutics, Inc.</w:t>
            </w:r>
          </w:p>
        </w:tc>
        <w:tc>
          <w:tcPr>
            <w:tcW w:w="1480" w:type="dxa"/>
            <w:vAlign w:val="bottom"/>
          </w:tcPr>
          <w:p>
            <w:pPr>
              <w:spacing w:after="0"/>
              <w:rPr>
                <w:sz w:val="24"/>
                <w:szCs w:val="24"/>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343 Allerton Avenue</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South San Francisco, CA 94080</w:t>
            </w:r>
          </w:p>
        </w:tc>
        <w:tc>
          <w:tcPr>
            <w:tcW w:w="1480" w:type="dxa"/>
            <w:vAlign w:val="bottom"/>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(650) 577-3600</w:t>
            </w:r>
          </w:p>
        </w:tc>
        <w:tc>
          <w:tcPr>
            <w:tcW w:w="148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color w:val="auto"/>
                <w:w w:val="91"/>
              </w:rPr>
              <w:t>(Address, including zip code, and telephone number, including area code, of registrant’s principal executive offices)</w:t>
            </w:r>
          </w:p>
        </w:tc>
        <w:tc>
          <w:tcPr>
            <w:tcW w:w="1480" w:type="dxa"/>
            <w:vAlign w:val="bottom"/>
          </w:tcPr>
          <w:p>
            <w:pPr>
              <w:spacing w:after="0"/>
              <w:rPr>
                <w:sz w:val="13"/>
                <w:szCs w:val="13"/>
                <w:color w:val="auto"/>
              </w:rPr>
            </w:pPr>
          </w:p>
        </w:tc>
      </w:tr>
      <w:tr>
        <w:trPr>
          <w:trHeight w:val="293"/>
        </w:trPr>
        <w:tc>
          <w:tcPr>
            <w:tcW w:w="1700" w:type="dxa"/>
            <w:vAlign w:val="bottom"/>
          </w:tcPr>
          <w:p>
            <w:pPr>
              <w:spacing w:after="0"/>
              <w:rPr>
                <w:sz w:val="24"/>
                <w:szCs w:val="24"/>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92"/>
              </w:rPr>
              <w:t>Shawn K. Singh, J.D.</w:t>
            </w:r>
          </w:p>
        </w:tc>
        <w:tc>
          <w:tcPr>
            <w:tcW w:w="1480" w:type="dxa"/>
            <w:vAlign w:val="bottom"/>
          </w:tcPr>
          <w:p>
            <w:pPr>
              <w:spacing w:after="0"/>
              <w:rPr>
                <w:sz w:val="24"/>
                <w:szCs w:val="24"/>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Chief Executive Officer</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VistaGen Therapeutics, Inc.</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343 Allerton Avenue</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South San Francisco, CA 94080</w:t>
            </w:r>
          </w:p>
        </w:tc>
        <w:tc>
          <w:tcPr>
            <w:tcW w:w="1480" w:type="dxa"/>
            <w:vAlign w:val="bottom"/>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(650) 577-3600</w:t>
            </w:r>
          </w:p>
        </w:tc>
        <w:tc>
          <w:tcPr>
            <w:tcW w:w="148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color w:val="auto"/>
                <w:w w:val="90"/>
              </w:rPr>
              <w:t>(Name, address, including zip code, and telephone number, including area code, of agent for service)</w:t>
            </w:r>
          </w:p>
        </w:tc>
        <w:tc>
          <w:tcPr>
            <w:tcW w:w="1480" w:type="dxa"/>
            <w:vAlign w:val="bottom"/>
          </w:tcPr>
          <w:p>
            <w:pPr>
              <w:spacing w:after="0"/>
              <w:rPr>
                <w:sz w:val="13"/>
                <w:szCs w:val="13"/>
                <w:color w:val="auto"/>
              </w:rPr>
            </w:pPr>
          </w:p>
        </w:tc>
      </w:tr>
      <w:tr>
        <w:trPr>
          <w:trHeight w:val="306"/>
        </w:trPr>
        <w:tc>
          <w:tcPr>
            <w:tcW w:w="1700" w:type="dxa"/>
            <w:vAlign w:val="bottom"/>
          </w:tcPr>
          <w:p>
            <w:pPr>
              <w:spacing w:after="0"/>
              <w:rPr>
                <w:sz w:val="24"/>
                <w:szCs w:val="24"/>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i w:val="1"/>
                <w:iCs w:val="1"/>
                <w:color w:val="auto"/>
                <w:w w:val="92"/>
              </w:rPr>
              <w:t>Copies of all communications to:</w:t>
            </w:r>
          </w:p>
        </w:tc>
        <w:tc>
          <w:tcPr>
            <w:tcW w:w="1480" w:type="dxa"/>
            <w:vAlign w:val="bottom"/>
          </w:tcPr>
          <w:p>
            <w:pPr>
              <w:spacing w:after="0"/>
              <w:rPr>
                <w:sz w:val="24"/>
                <w:szCs w:val="24"/>
                <w:color w:val="auto"/>
              </w:rPr>
            </w:pPr>
          </w:p>
        </w:tc>
      </w:tr>
    </w:tbl>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1"/>
              </w:rPr>
              <w:t>Daniel W. Rumsey, Esq.</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1"/>
              </w:rPr>
              <w:t>Harvey Kesner, Esq.</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86"/>
              </w:rPr>
              <w:t>Jessica R. Sudweeks, Esq.</w:t>
            </w:r>
          </w:p>
        </w:tc>
        <w:tc>
          <w:tcPr>
            <w:tcW w:w="4180" w:type="dxa"/>
            <w:vAlign w:val="bottom"/>
          </w:tcPr>
          <w:p>
            <w:pPr>
              <w:jc w:val="center"/>
              <w:ind w:right="1520"/>
              <w:spacing w:after="0"/>
              <w:rPr>
                <w:sz w:val="20"/>
                <w:szCs w:val="20"/>
                <w:color w:val="auto"/>
              </w:rPr>
            </w:pPr>
            <w:r>
              <w:rPr>
                <w:rFonts w:ascii="Arial" w:cs="Arial" w:eastAsia="Arial" w:hAnsi="Arial"/>
                <w:sz w:val="12"/>
                <w:szCs w:val="12"/>
                <w:b w:val="1"/>
                <w:bCs w:val="1"/>
                <w:color w:val="auto"/>
                <w:w w:val="94"/>
              </w:rPr>
              <w:t>Tara Guarneri-Ferrara, Esq.</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1"/>
              </w:rPr>
              <w:t>Disclosure Law Group, LLP</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89"/>
              </w:rPr>
              <w:t>Sichenzia Ross Friedman Ference LLP</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0"/>
              </w:rPr>
              <w:t>600 West Broadway, Suite 700</w:t>
            </w:r>
          </w:p>
        </w:tc>
        <w:tc>
          <w:tcPr>
            <w:tcW w:w="4180" w:type="dxa"/>
            <w:vAlign w:val="bottom"/>
          </w:tcPr>
          <w:p>
            <w:pPr>
              <w:jc w:val="center"/>
              <w:ind w:right="1500"/>
              <w:spacing w:after="0" w:line="144" w:lineRule="exact"/>
              <w:rPr>
                <w:sz w:val="20"/>
                <w:szCs w:val="20"/>
                <w:color w:val="auto"/>
              </w:rPr>
            </w:pPr>
            <w:r>
              <w:rPr>
                <w:rFonts w:ascii="Arial" w:cs="Arial" w:eastAsia="Arial" w:hAnsi="Arial"/>
                <w:sz w:val="12"/>
                <w:szCs w:val="12"/>
                <w:b w:val="1"/>
                <w:bCs w:val="1"/>
                <w:color w:val="auto"/>
                <w:w w:val="89"/>
              </w:rPr>
              <w:t>61 Broadway, 32</w:t>
            </w:r>
            <w:r>
              <w:rPr>
                <w:rFonts w:ascii="Arial" w:cs="Arial" w:eastAsia="Arial" w:hAnsi="Arial"/>
                <w:sz w:val="16"/>
                <w:szCs w:val="16"/>
                <w:b w:val="1"/>
                <w:bCs w:val="1"/>
                <w:color w:val="auto"/>
                <w:w w:val="89"/>
                <w:vertAlign w:val="superscript"/>
              </w:rPr>
              <w:t>nd</w:t>
            </w:r>
            <w:r>
              <w:rPr>
                <w:rFonts w:ascii="Arial" w:cs="Arial" w:eastAsia="Arial" w:hAnsi="Arial"/>
                <w:sz w:val="12"/>
                <w:szCs w:val="12"/>
                <w:b w:val="1"/>
                <w:bCs w:val="1"/>
                <w:color w:val="auto"/>
                <w:w w:val="89"/>
              </w:rPr>
              <w:t xml:space="preserve"> Floor</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1"/>
              </w:rPr>
              <w:t>San Diego, California 92101</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2"/>
              </w:rPr>
              <w:t>New York, New York 10006</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89"/>
              </w:rPr>
              <w:t>Tel: (619) 795-1134</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1"/>
              </w:rPr>
              <w:t>Tel: (212) 930-9700</w:t>
            </w:r>
          </w:p>
        </w:tc>
      </w:tr>
      <w:tr>
        <w:trPr>
          <w:trHeight w:val="157"/>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0"/>
              </w:rPr>
              <w:t>Fax: (619) 330-2101</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2"/>
              </w:rPr>
              <w:t>Fax: (212) 930-9725</w:t>
            </w:r>
          </w:p>
        </w:tc>
      </w:tr>
      <w:tr>
        <w:trPr>
          <w:trHeight w:val="306"/>
        </w:trPr>
        <w:tc>
          <w:tcPr>
            <w:tcW w:w="7300" w:type="dxa"/>
            <w:vAlign w:val="bottom"/>
          </w:tcPr>
          <w:p>
            <w:pPr>
              <w:spacing w:after="0"/>
              <w:rPr>
                <w:sz w:val="20"/>
                <w:szCs w:val="20"/>
                <w:color w:val="auto"/>
              </w:rPr>
            </w:pPr>
            <w:r>
              <w:rPr>
                <w:rFonts w:ascii="Arial" w:cs="Arial" w:eastAsia="Arial" w:hAnsi="Arial"/>
                <w:sz w:val="12"/>
                <w:szCs w:val="12"/>
                <w:b w:val="1"/>
                <w:bCs w:val="1"/>
                <w:color w:val="auto"/>
                <w:w w:val="92"/>
              </w:rPr>
              <w:t xml:space="preserve">Approximate date of commencement of proposed sale to the public: </w:t>
            </w:r>
            <w:r>
              <w:rPr>
                <w:rFonts w:ascii="Arial" w:cs="Arial" w:eastAsia="Arial" w:hAnsi="Arial"/>
                <w:sz w:val="12"/>
                <w:szCs w:val="12"/>
                <w:color w:val="auto"/>
                <w:w w:val="92"/>
              </w:rPr>
              <w:t>As soon as practicable after this registration statement becomes effective.</w:t>
            </w:r>
          </w:p>
        </w:tc>
        <w:tc>
          <w:tcPr>
            <w:tcW w:w="4180" w:type="dxa"/>
            <w:vAlign w:val="bottom"/>
          </w:tcPr>
          <w:p>
            <w:pPr>
              <w:spacing w:after="0"/>
              <w:rPr>
                <w:sz w:val="24"/>
                <w:szCs w:val="24"/>
                <w:color w:val="auto"/>
              </w:rPr>
            </w:pPr>
          </w:p>
        </w:tc>
      </w:tr>
      <w:tr>
        <w:trPr>
          <w:trHeight w:val="436"/>
        </w:trPr>
        <w:tc>
          <w:tcPr>
            <w:tcW w:w="730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99" w:right="199" w:bottom="1440" w:gutter="0" w:footer="0" w:header="0"/>
        </w:sectPr>
      </w:pPr>
    </w:p>
    <w:bookmarkStart w:id="1" w:name="page2"/>
    <w:bookmarkEnd w:id="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check the following box. [X]</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160"/>
              <w:spacing w:after="0"/>
              <w:rPr>
                <w:sz w:val="20"/>
                <w:szCs w:val="20"/>
                <w:color w:val="auto"/>
              </w:rPr>
            </w:pPr>
            <w:r>
              <w:rPr>
                <w:rFonts w:ascii="Arial" w:cs="Arial" w:eastAsia="Arial" w:hAnsi="Arial"/>
                <w:sz w:val="12"/>
                <w:szCs w:val="12"/>
                <w:color w:val="auto"/>
              </w:rPr>
              <w:t>]</w:t>
            </w:r>
          </w:p>
        </w:tc>
        <w:tc>
          <w:tcPr>
            <w:tcW w:w="3960" w:type="dxa"/>
            <w:vAlign w:val="bottom"/>
          </w:tcPr>
          <w:p>
            <w:pPr>
              <w:ind w:left="1240"/>
              <w:spacing w:after="0"/>
              <w:rPr>
                <w:sz w:val="20"/>
                <w:szCs w:val="20"/>
                <w:color w:val="auto"/>
              </w:rPr>
            </w:pPr>
            <w:r>
              <w:rPr>
                <w:rFonts w:ascii="Arial" w:cs="Arial" w:eastAsia="Arial" w:hAnsi="Arial"/>
                <w:sz w:val="12"/>
                <w:szCs w:val="12"/>
                <w:color w:val="auto"/>
              </w:rPr>
              <w:t>Accelerated filer</w:t>
            </w:r>
          </w:p>
        </w:tc>
        <w:tc>
          <w:tcPr>
            <w:tcW w:w="2680" w:type="dxa"/>
            <w:vAlign w:val="bottom"/>
          </w:tcPr>
          <w:p>
            <w:pPr>
              <w:ind w:left="1420"/>
              <w:spacing w:after="0"/>
              <w:rPr>
                <w:sz w:val="20"/>
                <w:szCs w:val="20"/>
                <w:color w:val="auto"/>
              </w:rPr>
            </w:pPr>
            <w:r>
              <w:rPr>
                <w:rFonts w:ascii="Arial" w:cs="Arial" w:eastAsia="Arial" w:hAnsi="Arial"/>
                <w:sz w:val="12"/>
                <w:szCs w:val="12"/>
                <w:color w:val="auto"/>
              </w:rPr>
              <w:t>[  ]</w:t>
            </w:r>
          </w:p>
        </w:tc>
      </w:t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Non-accelerated filer</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160"/>
              <w:spacing w:after="0"/>
              <w:rPr>
                <w:sz w:val="20"/>
                <w:szCs w:val="20"/>
                <w:color w:val="auto"/>
              </w:rPr>
            </w:pPr>
            <w:r>
              <w:rPr>
                <w:rFonts w:ascii="Arial" w:cs="Arial" w:eastAsia="Arial" w:hAnsi="Arial"/>
                <w:sz w:val="12"/>
                <w:szCs w:val="12"/>
                <w:color w:val="auto"/>
              </w:rPr>
              <w:t>]</w:t>
            </w:r>
          </w:p>
        </w:tc>
        <w:tc>
          <w:tcPr>
            <w:tcW w:w="3960" w:type="dxa"/>
            <w:vAlign w:val="bottom"/>
          </w:tcPr>
          <w:p>
            <w:pPr>
              <w:ind w:left="1240"/>
              <w:spacing w:after="0"/>
              <w:rPr>
                <w:sz w:val="20"/>
                <w:szCs w:val="20"/>
                <w:color w:val="auto"/>
              </w:rPr>
            </w:pPr>
            <w:r>
              <w:rPr>
                <w:rFonts w:ascii="Arial" w:cs="Arial" w:eastAsia="Arial" w:hAnsi="Arial"/>
                <w:sz w:val="12"/>
                <w:szCs w:val="12"/>
                <w:color w:val="auto"/>
              </w:rPr>
              <w:t>Smaller reporting company</w:t>
            </w:r>
          </w:p>
        </w:tc>
        <w:tc>
          <w:tcPr>
            <w:tcW w:w="2680" w:type="dxa"/>
            <w:vAlign w:val="bottom"/>
          </w:tcPr>
          <w:p>
            <w:pPr>
              <w:ind w:left="1420"/>
              <w:spacing w:after="0"/>
              <w:rPr>
                <w:sz w:val="20"/>
                <w:szCs w:val="20"/>
                <w:color w:val="auto"/>
              </w:rPr>
            </w:pPr>
            <w:r>
              <w:rPr>
                <w:rFonts w:ascii="Arial" w:cs="Arial" w:eastAsia="Arial" w:hAnsi="Arial"/>
                <w:sz w:val="12"/>
                <w:szCs w:val="12"/>
                <w:color w:val="auto"/>
              </w:rPr>
              <w:t>[X]</w:t>
            </w:r>
          </w:p>
        </w:tc>
      </w:tr>
      <w:tr>
        <w:trPr>
          <w:trHeight w:val="153"/>
        </w:trPr>
        <w:tc>
          <w:tcPr>
            <w:tcW w:w="2840" w:type="dxa"/>
            <w:vAlign w:val="bottom"/>
          </w:tcPr>
          <w:p>
            <w:pPr>
              <w:spacing w:after="0"/>
              <w:rPr>
                <w:sz w:val="20"/>
                <w:szCs w:val="20"/>
                <w:color w:val="auto"/>
              </w:rPr>
            </w:pPr>
            <w:r>
              <w:rPr>
                <w:rFonts w:ascii="Arial" w:cs="Arial" w:eastAsia="Arial" w:hAnsi="Arial"/>
                <w:sz w:val="12"/>
                <w:szCs w:val="12"/>
                <w:color w:val="auto"/>
              </w:rPr>
              <w:t>(Do not check if a smaller reporting company)</w:t>
            </w: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436"/>
        </w:trPr>
        <w:tc>
          <w:tcPr>
            <w:tcW w:w="28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 w:name="page3"/>
    <w:bookmarkEnd w:id="2"/>
    <w:tbl>
      <w:tblPr>
        <w:tblLayout w:type="fixed"/>
        <w:tblInd w:w="8" w:type="dxa"/>
        <w:tblCellMar>
          <w:top w:w="0" w:type="dxa"/>
          <w:left w:w="0" w:type="dxa"/>
          <w:bottom w:w="0" w:type="dxa"/>
          <w:right w:w="0" w:type="dxa"/>
        </w:tblCellMar>
      </w:tblPr>
      <w:tr>
        <w:trPr>
          <w:trHeight w:val="126"/>
        </w:trPr>
        <w:tc>
          <w:tcPr>
            <w:tcW w:w="376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5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5160" w:type="dxa"/>
            <w:vAlign w:val="bottom"/>
          </w:tcPr>
          <w:p>
            <w:pPr>
              <w:jc w:val="right"/>
              <w:ind w:right="1980"/>
              <w:spacing w:after="0"/>
              <w:rPr>
                <w:sz w:val="20"/>
                <w:szCs w:val="20"/>
                <w:color w:val="auto"/>
              </w:rPr>
            </w:pPr>
            <w:r>
              <w:rPr>
                <w:rFonts w:ascii="Arial" w:cs="Arial" w:eastAsia="Arial" w:hAnsi="Arial"/>
                <w:sz w:val="12"/>
                <w:szCs w:val="12"/>
                <w:b w:val="1"/>
                <w:bCs w:val="1"/>
                <w:color w:val="auto"/>
              </w:rPr>
              <w:t>CALCULATION OF REGISTRATION FEE</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Proposed Maximum</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Aggregate Offering</w:t>
            </w:r>
          </w:p>
        </w:tc>
        <w:tc>
          <w:tcPr>
            <w:tcW w:w="100" w:type="dxa"/>
            <w:vAlign w:val="bottom"/>
          </w:tcPr>
          <w:p>
            <w:pPr>
              <w:spacing w:after="0"/>
              <w:rPr>
                <w:sz w:val="12"/>
                <w:szCs w:val="12"/>
                <w:color w:val="auto"/>
              </w:rPr>
            </w:pPr>
          </w:p>
        </w:tc>
        <w:tc>
          <w:tcPr>
            <w:tcW w:w="1160" w:type="dxa"/>
            <w:vAlign w:val="bottom"/>
            <w:gridSpan w:val="2"/>
          </w:tcPr>
          <w:p>
            <w:pPr>
              <w:jc w:val="right"/>
              <w:ind w:right="358"/>
              <w:spacing w:after="0"/>
              <w:rPr>
                <w:sz w:val="20"/>
                <w:szCs w:val="20"/>
                <w:color w:val="auto"/>
              </w:rPr>
            </w:pPr>
            <w:r>
              <w:rPr>
                <w:rFonts w:ascii="Arial" w:cs="Arial" w:eastAsia="Arial" w:hAnsi="Arial"/>
                <w:sz w:val="12"/>
                <w:szCs w:val="12"/>
                <w:b w:val="1"/>
                <w:bCs w:val="1"/>
                <w:color w:val="auto"/>
              </w:rPr>
              <w:t>Amount Of</w:t>
            </w:r>
          </w:p>
        </w:tc>
      </w:tr>
      <w:tr>
        <w:trPr>
          <w:trHeight w:val="157"/>
        </w:trPr>
        <w:tc>
          <w:tcPr>
            <w:tcW w:w="3760" w:type="dxa"/>
            <w:vAlign w:val="bottom"/>
            <w:gridSpan w:val="3"/>
          </w:tcPr>
          <w:p>
            <w:pPr>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516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Price</w:t>
            </w:r>
          </w:p>
        </w:tc>
        <w:tc>
          <w:tcPr>
            <w:tcW w:w="100" w:type="dxa"/>
            <w:vAlign w:val="bottom"/>
          </w:tcPr>
          <w:p>
            <w:pPr>
              <w:spacing w:after="0"/>
              <w:rPr>
                <w:sz w:val="13"/>
                <w:szCs w:val="13"/>
                <w:color w:val="auto"/>
              </w:rPr>
            </w:pPr>
          </w:p>
        </w:tc>
        <w:tc>
          <w:tcPr>
            <w:tcW w:w="1160" w:type="dxa"/>
            <w:vAlign w:val="bottom"/>
            <w:gridSpan w:val="2"/>
          </w:tcPr>
          <w:p>
            <w:pPr>
              <w:jc w:val="right"/>
              <w:ind w:right="218"/>
              <w:spacing w:after="0"/>
              <w:rPr>
                <w:sz w:val="20"/>
                <w:szCs w:val="20"/>
                <w:color w:val="auto"/>
              </w:rPr>
            </w:pPr>
            <w:r>
              <w:rPr>
                <w:rFonts w:ascii="Arial" w:cs="Arial" w:eastAsia="Arial" w:hAnsi="Arial"/>
                <w:sz w:val="12"/>
                <w:szCs w:val="12"/>
                <w:b w:val="1"/>
                <w:bCs w:val="1"/>
                <w:color w:val="auto"/>
                <w:w w:val="93"/>
              </w:rPr>
              <w:t>Registration Fee</w:t>
            </w:r>
          </w:p>
        </w:tc>
      </w:tr>
      <w:tr>
        <w:trPr>
          <w:trHeight w:val="142"/>
        </w:trPr>
        <w:tc>
          <w:tcPr>
            <w:tcW w:w="20" w:type="dxa"/>
            <w:vAlign w:val="bottom"/>
          </w:tcPr>
          <w:p>
            <w:pPr>
              <w:spacing w:after="0"/>
              <w:rPr>
                <w:sz w:val="12"/>
                <w:szCs w:val="12"/>
                <w:color w:val="auto"/>
              </w:rPr>
            </w:pPr>
          </w:p>
        </w:tc>
        <w:tc>
          <w:tcPr>
            <w:tcW w:w="37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2"/>
                <w:szCs w:val="12"/>
                <w:color w:val="auto"/>
              </w:rPr>
              <w:t xml:space="preserve">Common stock, $0.001 par value </w:t>
            </w:r>
            <w:r>
              <w:rPr>
                <w:rFonts w:ascii="Arial" w:cs="Arial" w:eastAsia="Arial" w:hAnsi="Arial"/>
                <w:sz w:val="16"/>
                <w:szCs w:val="16"/>
                <w:color w:val="auto"/>
                <w:vertAlign w:val="superscript"/>
              </w:rPr>
              <w:t>(1)</w:t>
            </w:r>
          </w:p>
        </w:tc>
        <w:tc>
          <w:tcPr>
            <w:tcW w:w="5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8"/>
                <w:szCs w:val="8"/>
                <w:color w:val="auto"/>
                <w:w w:val="81"/>
              </w:rPr>
              <w:t>(2)</w:t>
            </w:r>
          </w:p>
        </w:tc>
      </w:tr>
      <w:tr>
        <w:trPr>
          <w:trHeight w:val="144"/>
        </w:trPr>
        <w:tc>
          <w:tcPr>
            <w:tcW w:w="2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Arial" w:cs="Arial" w:eastAsia="Arial" w:hAnsi="Arial"/>
                <w:sz w:val="12"/>
                <w:szCs w:val="12"/>
                <w:color w:val="auto"/>
              </w:rPr>
              <w:t>Warrants to purchase shares of common stock</w:t>
            </w:r>
          </w:p>
        </w:tc>
        <w:tc>
          <w:tcPr>
            <w:tcW w:w="5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Arial" w:cs="Arial" w:eastAsia="Arial" w:hAnsi="Arial"/>
                <w:sz w:val="8"/>
                <w:szCs w:val="8"/>
                <w:color w:val="auto"/>
              </w:rPr>
              <w:t>(3)</w:t>
            </w:r>
          </w:p>
        </w:tc>
      </w:tr>
      <w:tr>
        <w:trPr>
          <w:trHeight w:val="144"/>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Shares of common stock issuable upon exercise of warrants</w:t>
            </w:r>
            <w:r>
              <w:rPr>
                <w:rFonts w:ascii="Arial" w:cs="Arial" w:eastAsia="Arial" w:hAnsi="Arial"/>
                <w:sz w:val="16"/>
                <w:szCs w:val="16"/>
                <w:color w:val="auto"/>
                <w:vertAlign w:val="superscript"/>
              </w:rPr>
              <w:t>(1)</w:t>
            </w:r>
          </w:p>
        </w:tc>
        <w:tc>
          <w:tcPr>
            <w:tcW w:w="5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(4)</w:t>
            </w:r>
          </w:p>
        </w:tc>
      </w:tr>
      <w:tr>
        <w:trPr>
          <w:trHeight w:val="153"/>
        </w:trPr>
        <w:tc>
          <w:tcPr>
            <w:tcW w:w="2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2"/>
                <w:szCs w:val="12"/>
                <w:color w:val="auto"/>
              </w:rPr>
              <w:t>Total</w:t>
            </w:r>
          </w:p>
        </w:tc>
        <w:tc>
          <w:tcPr>
            <w:tcW w:w="5160" w:type="dxa"/>
            <w:vAlign w:val="bottom"/>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15,000,000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4,404.96</w:t>
            </w:r>
            <w:r>
              <w:rPr>
                <w:rFonts w:ascii="Arial" w:cs="Arial" w:eastAsia="Arial" w:hAnsi="Arial"/>
                <w:sz w:val="8"/>
                <w:szCs w:val="8"/>
                <w:color w:val="auto"/>
              </w:rPr>
              <w:t>(5)</w:t>
            </w:r>
          </w:p>
        </w:tc>
      </w:tr>
    </w:tbl>
    <w:p>
      <w:pPr>
        <w:spacing w:after="0" w:line="144" w:lineRule="exact"/>
        <w:rPr>
          <w:sz w:val="20"/>
          <w:szCs w:val="20"/>
          <w:color w:val="auto"/>
        </w:rPr>
      </w:pPr>
    </w:p>
    <w:p>
      <w:pPr>
        <w:ind w:left="468" w:hanging="468"/>
        <w:spacing w:after="0" w:line="213" w:lineRule="auto"/>
        <w:tabs>
          <w:tab w:leader="none" w:pos="46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Pursuant to Rule 416 under the Securities Act, the Registration Statement shall also cover any additional shares of common stock that become issuable by reason of any stock dividend, stock split or other similar transaction effected without the receipt of consideration that results in an increase in the number of the outstanding shares of common stock of the Registrant.</w:t>
      </w:r>
    </w:p>
    <w:p>
      <w:pPr>
        <w:spacing w:after="0" w:line="111" w:lineRule="exact"/>
        <w:rPr>
          <w:rFonts w:ascii="Arial" w:cs="Arial" w:eastAsia="Arial" w:hAnsi="Arial"/>
          <w:sz w:val="17"/>
          <w:szCs w:val="17"/>
          <w:color w:val="auto"/>
          <w:vertAlign w:val="superscript"/>
        </w:rPr>
      </w:pPr>
    </w:p>
    <w:p>
      <w:pPr>
        <w:ind w:left="448" w:hanging="448"/>
        <w:spacing w:after="0"/>
        <w:tabs>
          <w:tab w:leader="none" w:pos="44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 xml:space="preserve">Estimated pursuant to Rule 457(o) under the Securities Act of 1933, as amended (the </w:t>
      </w:r>
      <w:r>
        <w:rPr>
          <w:rFonts w:ascii="Arial" w:cs="Arial" w:eastAsia="Arial" w:hAnsi="Arial"/>
          <w:sz w:val="12"/>
          <w:szCs w:val="12"/>
          <w:i w:val="1"/>
          <w:iCs w:val="1"/>
          <w:color w:val="auto"/>
        </w:rPr>
        <w:t>Securities Act</w:t>
      </w:r>
      <w:r>
        <w:rPr>
          <w:rFonts w:ascii="Arial" w:cs="Arial" w:eastAsia="Arial" w:hAnsi="Arial"/>
          <w:sz w:val="12"/>
          <w:szCs w:val="12"/>
          <w:color w:val="auto"/>
        </w:rPr>
        <w:t>).</w:t>
      </w:r>
    </w:p>
    <w:p>
      <w:pPr>
        <w:spacing w:after="0" w:line="92" w:lineRule="exact"/>
        <w:rPr>
          <w:rFonts w:ascii="Arial" w:cs="Arial" w:eastAsia="Arial" w:hAnsi="Arial"/>
          <w:sz w:val="17"/>
          <w:szCs w:val="17"/>
          <w:color w:val="auto"/>
          <w:vertAlign w:val="superscript"/>
        </w:rPr>
      </w:pPr>
    </w:p>
    <w:p>
      <w:pPr>
        <w:ind w:left="428" w:hanging="428"/>
        <w:spacing w:after="0"/>
        <w:tabs>
          <w:tab w:leader="none" w:pos="42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No fee pursuant to Rule 457(g) under the Securities Act.</w:t>
      </w:r>
    </w:p>
    <w:p>
      <w:pPr>
        <w:spacing w:after="0" w:line="110" w:lineRule="exact"/>
        <w:rPr>
          <w:rFonts w:ascii="Arial" w:cs="Arial" w:eastAsia="Arial" w:hAnsi="Arial"/>
          <w:sz w:val="17"/>
          <w:szCs w:val="17"/>
          <w:color w:val="auto"/>
          <w:vertAlign w:val="superscript"/>
        </w:rPr>
      </w:pPr>
    </w:p>
    <w:p>
      <w:pPr>
        <w:ind w:left="428" w:hanging="428"/>
        <w:spacing w:after="0"/>
        <w:tabs>
          <w:tab w:leader="none" w:pos="42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Estimated solely for purposes of calculating the registration fee pursuant to Rule 457(g) under the Securities Act.</w:t>
      </w:r>
    </w:p>
    <w:p>
      <w:pPr>
        <w:spacing w:after="0" w:line="92" w:lineRule="exact"/>
        <w:rPr>
          <w:rFonts w:ascii="Arial" w:cs="Arial" w:eastAsia="Arial" w:hAnsi="Arial"/>
          <w:sz w:val="17"/>
          <w:szCs w:val="17"/>
          <w:color w:val="auto"/>
          <w:vertAlign w:val="superscript"/>
        </w:rPr>
      </w:pPr>
    </w:p>
    <w:p>
      <w:pPr>
        <w:ind w:left="428" w:hanging="428"/>
        <w:spacing w:after="0"/>
        <w:tabs>
          <w:tab w:leader="none" w:pos="42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Previously paid.</w:t>
      </w:r>
    </w:p>
    <w:p>
      <w:pPr>
        <w:spacing w:after="0" w:line="131" w:lineRule="exact"/>
        <w:rPr>
          <w:sz w:val="20"/>
          <w:szCs w:val="20"/>
          <w:color w:val="auto"/>
        </w:rPr>
      </w:pPr>
    </w:p>
    <w:p>
      <w:pPr>
        <w:jc w:val="both"/>
        <w:ind w:left="8"/>
        <w:spacing w:after="0" w:line="26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9932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232410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3" w:name="page4"/>
    <w:bookmarkEnd w:id="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Subject to Completion, dated August 6 , 2014</w:t>
      </w:r>
    </w:p>
    <w:p>
      <w:pPr>
        <w:spacing w:after="0" w:line="168" w:lineRule="exact"/>
        <w:rPr>
          <w:sz w:val="20"/>
          <w:szCs w:val="20"/>
          <w:color w:val="auto"/>
        </w:rPr>
      </w:pPr>
    </w:p>
    <w:p>
      <w:pPr>
        <w:jc w:val="both"/>
        <w:ind w:left="8"/>
        <w:spacing w:after="0" w:line="283" w:lineRule="auto"/>
        <w:rPr>
          <w:sz w:val="20"/>
          <w:szCs w:val="20"/>
          <w:color w:val="auto"/>
        </w:rPr>
      </w:pPr>
      <w:r>
        <w:rPr>
          <w:rFonts w:ascii="Arial" w:cs="Arial" w:eastAsia="Arial" w:hAnsi="Arial"/>
          <w:sz w:val="12"/>
          <w:szCs w:val="12"/>
          <w:b w:val="1"/>
          <w:bCs w:val="1"/>
          <w:color w:val="auto"/>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state where the offer or sale is not permitted.</w:t>
      </w:r>
    </w:p>
    <w:p>
      <w:pPr>
        <w:spacing w:after="0" w:line="12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Preliminary Prospectus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Up to 30,000,000 Shares of Common Stock</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and</w:t>
      </w:r>
    </w:p>
    <w:p>
      <w:pPr>
        <w:spacing w:after="0" w:line="16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Warrants to Purchase up to 30,000,000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217805</wp:posOffset>
            </wp:positionV>
            <wp:extent cx="1852930" cy="880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2930" cy="88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We are offering up to 30,000,000 shares of our common stock and warrants to purchase up to 30,000,000 shares of our common stock (the </w:t>
      </w:r>
      <w:r>
        <w:rPr>
          <w:rFonts w:ascii="Arial" w:cs="Arial" w:eastAsia="Arial" w:hAnsi="Arial"/>
          <w:sz w:val="11"/>
          <w:szCs w:val="11"/>
          <w:i w:val="1"/>
          <w:iCs w:val="1"/>
          <w:color w:val="auto"/>
        </w:rPr>
        <w:t>Offering</w:t>
      </w:r>
      <w:r>
        <w:rPr>
          <w:rFonts w:ascii="Arial" w:cs="Arial" w:eastAsia="Arial" w:hAnsi="Arial"/>
          <w:sz w:val="11"/>
          <w:szCs w:val="11"/>
          <w:color w:val="auto"/>
        </w:rPr>
        <w:t>). Each share of common stock we sell in the Offering will be accompanied by a warrant to purchase up to one share of common stock. Each share of common stock and warrant will be sold at a price of $___. The common stock and warrants are immediately separable but can only be purchased together in this Offering. We are not required to sell any specific dollar amount or number of shares of common stock or warrants, but we will use our best efforts to sell all of the shares of common stock and warrants being offered for sale.</w:t>
      </w:r>
    </w:p>
    <w:p>
      <w:pPr>
        <w:spacing w:after="0" w:line="12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Our securities are not listed on a national securities exchange. Our common stock is quoted for trading on the OTC Markets (</w:t>
      </w:r>
      <w:r>
        <w:rPr>
          <w:rFonts w:ascii="Arial" w:cs="Arial" w:eastAsia="Arial" w:hAnsi="Arial"/>
          <w:sz w:val="12"/>
          <w:szCs w:val="12"/>
          <w:i w:val="1"/>
          <w:iCs w:val="1"/>
          <w:color w:val="auto"/>
        </w:rPr>
        <w:t>OTCQB</w:t>
      </w:r>
      <w:r>
        <w:rPr>
          <w:rFonts w:ascii="Arial" w:cs="Arial" w:eastAsia="Arial" w:hAnsi="Arial"/>
          <w:sz w:val="12"/>
          <w:szCs w:val="12"/>
          <w:color w:val="auto"/>
        </w:rPr>
        <w:t>) under the symbol “VSTA”. We do not intend to apply for listing of the warrants on any securities exchange and we do not expect the warrants will be quoted on the OTCQB. On August 5 , 2014, the closing price for our common stock was $0.60 per share.</w:t>
      </w:r>
    </w:p>
    <w:p>
      <w:pPr>
        <w:spacing w:after="0" w:line="102"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8840" w:type="dxa"/>
            <w:vAlign w:val="bottom"/>
          </w:tcPr>
          <w:p>
            <w:pPr>
              <w:spacing w:after="0"/>
              <w:rPr>
                <w:sz w:val="16"/>
                <w:szCs w:val="16"/>
                <w:color w:val="auto"/>
              </w:rPr>
            </w:pPr>
          </w:p>
        </w:tc>
        <w:tc>
          <w:tcPr>
            <w:tcW w:w="116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color w:val="auto"/>
              </w:rPr>
              <w:t xml:space="preserve">Per share </w:t>
            </w:r>
            <w:r>
              <w:rPr>
                <w:rFonts w:ascii="Arial" w:cs="Arial" w:eastAsia="Arial" w:hAnsi="Arial"/>
                <w:sz w:val="16"/>
                <w:szCs w:val="16"/>
                <w:color w:val="auto"/>
                <w:vertAlign w:val="superscript"/>
              </w:rPr>
              <w:t>(1)</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6"/>
                <w:szCs w:val="16"/>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Offering Price</w:t>
            </w:r>
          </w:p>
        </w:tc>
        <w:tc>
          <w:tcPr>
            <w:tcW w:w="1160" w:type="dxa"/>
            <w:vAlign w:val="bottom"/>
            <w:shd w:val="clear" w:color="auto" w:fill="CCEEFF"/>
          </w:tcPr>
          <w:p>
            <w:pPr>
              <w:jc w:val="right"/>
              <w:ind w:right="1047"/>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spacing w:after="0" w:line="144" w:lineRule="exact"/>
              <w:rPr>
                <w:sz w:val="20"/>
                <w:szCs w:val="20"/>
                <w:color w:val="auto"/>
              </w:rPr>
            </w:pPr>
            <w:r>
              <w:rPr>
                <w:rFonts w:ascii="Arial" w:cs="Arial" w:eastAsia="Arial" w:hAnsi="Arial"/>
                <w:sz w:val="12"/>
                <w:szCs w:val="12"/>
                <w:color w:val="auto"/>
              </w:rPr>
              <w:t xml:space="preserve">Placement Agent’s Fee </w:t>
            </w:r>
            <w:r>
              <w:rPr>
                <w:rFonts w:ascii="Arial" w:cs="Arial" w:eastAsia="Arial" w:hAnsi="Arial"/>
                <w:sz w:val="16"/>
                <w:szCs w:val="16"/>
                <w:color w:val="auto"/>
                <w:vertAlign w:val="superscript"/>
              </w:rPr>
              <w:t>(2)</w:t>
            </w:r>
          </w:p>
        </w:tc>
        <w:tc>
          <w:tcPr>
            <w:tcW w:w="1160" w:type="dxa"/>
            <w:vAlign w:val="bottom"/>
          </w:tcPr>
          <w:p>
            <w:pPr>
              <w:jc w:val="right"/>
              <w:ind w:right="1047"/>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0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Offering Proceeds, Before Expenses</w:t>
            </w:r>
          </w:p>
        </w:tc>
        <w:tc>
          <w:tcPr>
            <w:tcW w:w="1160" w:type="dxa"/>
            <w:vAlign w:val="bottom"/>
            <w:shd w:val="clear" w:color="auto" w:fill="CCEEFF"/>
          </w:tcPr>
          <w:p>
            <w:pPr>
              <w:jc w:val="right"/>
              <w:ind w:right="1047"/>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bl>
    <w:p>
      <w:pPr>
        <w:spacing w:after="0" w:line="93" w:lineRule="exact"/>
        <w:rPr>
          <w:sz w:val="20"/>
          <w:szCs w:val="20"/>
          <w:color w:val="auto"/>
        </w:rPr>
      </w:pPr>
    </w:p>
    <w:p>
      <w:pPr>
        <w:ind w:left="748" w:hanging="748"/>
        <w:spacing w:after="0"/>
        <w:tabs>
          <w:tab w:leader="none" w:pos="748" w:val="left"/>
        </w:tabs>
        <w:numPr>
          <w:ilvl w:val="0"/>
          <w:numId w:val="2"/>
        </w:numPr>
        <w:rPr>
          <w:rFonts w:ascii="Arial" w:cs="Arial" w:eastAsia="Arial" w:hAnsi="Arial"/>
          <w:sz w:val="17"/>
          <w:szCs w:val="17"/>
          <w:color w:val="auto"/>
          <w:vertAlign w:val="superscript"/>
        </w:rPr>
      </w:pPr>
      <w:r>
        <w:rPr>
          <w:rFonts w:ascii="Arial" w:cs="Arial" w:eastAsia="Arial" w:hAnsi="Arial"/>
          <w:sz w:val="12"/>
          <w:szCs w:val="12"/>
          <w:color w:val="auto"/>
        </w:rPr>
        <w:t>Per share price represents the offering price for a share of common stock and a warrant to purchase up to one share of common stock.</w:t>
      </w:r>
    </w:p>
    <w:p>
      <w:pPr>
        <w:spacing w:after="0" w:line="1" w:lineRule="exact"/>
        <w:rPr>
          <w:rFonts w:ascii="Arial" w:cs="Arial" w:eastAsia="Arial" w:hAnsi="Arial"/>
          <w:sz w:val="17"/>
          <w:szCs w:val="17"/>
          <w:color w:val="auto"/>
          <w:vertAlign w:val="superscript"/>
        </w:rPr>
      </w:pPr>
    </w:p>
    <w:p>
      <w:pPr>
        <w:jc w:val="both"/>
        <w:ind w:left="748" w:right="760" w:hanging="748"/>
        <w:spacing w:after="0" w:line="263" w:lineRule="auto"/>
        <w:tabs>
          <w:tab w:leader="none" w:pos="748" w:val="left"/>
        </w:tabs>
        <w:numPr>
          <w:ilvl w:val="0"/>
          <w:numId w:val="2"/>
        </w:numPr>
        <w:rPr>
          <w:rFonts w:ascii="Arial" w:cs="Arial" w:eastAsia="Arial" w:hAnsi="Arial"/>
          <w:sz w:val="14"/>
          <w:szCs w:val="14"/>
          <w:color w:val="auto"/>
          <w:vertAlign w:val="superscript"/>
        </w:rPr>
      </w:pPr>
      <w:r>
        <w:rPr>
          <w:rFonts w:ascii="Arial" w:cs="Arial" w:eastAsia="Arial" w:hAnsi="Arial"/>
          <w:sz w:val="10"/>
          <w:szCs w:val="10"/>
          <w:color w:val="auto"/>
        </w:rPr>
        <w:t>We have agreed to pay to the placement agent an aggregate cash fee equal to 8. 0 % of the gross proceeds of this Offering, and a fee equal to 1% of the gross proceeds as a non-accountable expense allowance. Notwithstanding the foregoing, the placement agent will not receive any fee or commission on any cash received by the Company upon exercise of any of the warrants issued in connection with this Offering.</w:t>
      </w:r>
    </w:p>
    <w:p>
      <w:pPr>
        <w:spacing w:after="0" w:line="13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Geller Biopharm (</w:t>
      </w:r>
      <w:r>
        <w:rPr>
          <w:rFonts w:ascii="Arial" w:cs="Arial" w:eastAsia="Arial" w:hAnsi="Arial"/>
          <w:sz w:val="12"/>
          <w:szCs w:val="12"/>
          <w:i w:val="1"/>
          <w:iCs w:val="1"/>
          <w:color w:val="auto"/>
        </w:rPr>
        <w:t>Geller Biopharm</w:t>
      </w:r>
      <w:r>
        <w:rPr>
          <w:rFonts w:ascii="Arial" w:cs="Arial" w:eastAsia="Arial" w:hAnsi="Arial"/>
          <w:sz w:val="12"/>
          <w:szCs w:val="12"/>
          <w:color w:val="auto"/>
        </w:rPr>
        <w:t xml:space="preserve"> or </w:t>
      </w:r>
      <w:r>
        <w:rPr>
          <w:rFonts w:ascii="Arial" w:cs="Arial" w:eastAsia="Arial" w:hAnsi="Arial"/>
          <w:sz w:val="12"/>
          <w:szCs w:val="12"/>
          <w:i w:val="1"/>
          <w:iCs w:val="1"/>
          <w:color w:val="auto"/>
        </w:rPr>
        <w:t>Agent</w:t>
      </w:r>
      <w:r>
        <w:rPr>
          <w:rFonts w:ascii="Arial" w:cs="Arial" w:eastAsia="Arial" w:hAnsi="Arial"/>
          <w:sz w:val="12"/>
          <w:szCs w:val="12"/>
          <w:color w:val="auto"/>
        </w:rPr>
        <w:t>), a healthcare investment banking division of Financial West Group, has agreed to act as our placement agent in connection with this Offering. The Agent is not purchasing the securities offered by us, and is not required to sell any specific number or dollar amount of securities. However, Geller Biopharm will use their best efforts to arrange for the sale of the securities offered by us in this Offering. We have agreed to pay the Agent a placement fee equal to 8 .0 % of the gross proceeds of the securities sold by us in this Offering, as well as 1% of the gross proceeds as a non-accountable expense allowance. The Agent, however, will not be entitled to receive any fee or commission on any cash received by the Company upon exercise of any of the warrants issued in connection with this Offering.</w:t>
      </w:r>
    </w:p>
    <w:p>
      <w:pPr>
        <w:spacing w:after="0" w:line="12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This Offering will terminate on September 30, 2014 unless the Offering is fully subscribed before that date or we decide to terminate the Offering prior to that date. In either event, the Offering may be closed and we may conduct multiple closings without further notice to you. All costs associated with the registration will be borne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 w:name="page5"/>
    <w:bookmarkEnd w:id="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Investing in our securities involves a high degree of risk. Before deciding whether to invest in our securities, you should review carefully the risks and uncertainties described under the heading “Risk Factors” beginning on page 6 of this prospectus, and under similar headings in any amendments or supplements to this prospectus.</w:t>
      </w:r>
    </w:p>
    <w:p>
      <w:pPr>
        <w:spacing w:after="0" w:line="129" w:lineRule="exact"/>
        <w:rPr>
          <w:sz w:val="20"/>
          <w:szCs w:val="20"/>
          <w:color w:val="auto"/>
        </w:rPr>
      </w:pPr>
    </w:p>
    <w:p>
      <w:pPr>
        <w:spacing w:after="0" w:line="283"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date of this prospectus is August 6 , 2014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Sole Placement Agent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Geller Biopharm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283210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26"/>
        </w:trPr>
        <w:tc>
          <w:tcPr>
            <w:tcW w:w="4700" w:type="dxa"/>
            <w:vAlign w:val="bottom"/>
            <w:gridSpan w:val="17"/>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5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80" w:type="dxa"/>
            <w:vAlign w:val="bottom"/>
            <w:gridSpan w:val="2"/>
          </w:tcPr>
          <w:p>
            <w:pPr>
              <w:ind w:left="400"/>
              <w:spacing w:after="0"/>
              <w:rPr>
                <w:sz w:val="20"/>
                <w:szCs w:val="20"/>
                <w:color w:val="auto"/>
              </w:rPr>
            </w:pPr>
            <w:r>
              <w:rPr>
                <w:rFonts w:ascii="Arial" w:cs="Arial" w:eastAsia="Arial" w:hAnsi="Arial"/>
                <w:sz w:val="12"/>
                <w:szCs w:val="12"/>
                <w:b w:val="1"/>
                <w:bCs w:val="1"/>
                <w:color w:val="auto"/>
              </w:rPr>
              <w:t>TABLE OF CONTENTS</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7">
              <w:r>
                <w:rPr>
                  <w:rFonts w:ascii="Arial" w:cs="Arial" w:eastAsia="Arial" w:hAnsi="Arial"/>
                  <w:sz w:val="12"/>
                  <w:szCs w:val="12"/>
                  <w:color w:val="0000EE"/>
                </w:rPr>
                <w:t>Prospectus Summary</w:t>
              </w:r>
            </w:hyperlink>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80" w:type="dxa"/>
            <w:vAlign w:val="bottom"/>
            <w:tcBorders>
              <w:top w:val="single" w:sz="8" w:color="0000EE"/>
              <w:bottom w:val="single" w:sz="8" w:color="0000EE"/>
            </w:tcBorders>
            <w:gridSpan w:val="4"/>
          </w:tcPr>
          <w:p>
            <w:pPr>
              <w:spacing w:after="0" w:line="117" w:lineRule="exact"/>
              <w:rPr>
                <w:rFonts w:ascii="Arial" w:cs="Arial" w:eastAsia="Arial" w:hAnsi="Arial"/>
                <w:sz w:val="12"/>
                <w:szCs w:val="12"/>
                <w:color w:val="0000EE"/>
                <w:w w:val="83"/>
              </w:rPr>
            </w:pPr>
            <w:hyperlink w:anchor="page12">
              <w:r>
                <w:rPr>
                  <w:rFonts w:ascii="Arial" w:cs="Arial" w:eastAsia="Arial" w:hAnsi="Arial"/>
                  <w:sz w:val="12"/>
                  <w:szCs w:val="12"/>
                  <w:color w:val="0000EE"/>
                  <w:w w:val="83"/>
                </w:rPr>
                <w:t>Risk Factors</w:t>
              </w:r>
            </w:hyperlink>
          </w:p>
        </w:tc>
        <w:tc>
          <w:tcPr>
            <w:tcW w:w="400" w:type="dxa"/>
            <w:vAlign w:val="bottom"/>
            <w:tcBorders>
              <w:top w:val="single" w:sz="8" w:color="0000EE"/>
            </w:tcBorders>
            <w:gridSpan w:val="4"/>
          </w:tcPr>
          <w:p>
            <w:pPr>
              <w:spacing w:after="0"/>
              <w:rPr>
                <w:sz w:val="10"/>
                <w:szCs w:val="10"/>
                <w:color w:val="auto"/>
              </w:rPr>
            </w:pPr>
          </w:p>
        </w:tc>
        <w:tc>
          <w:tcPr>
            <w:tcW w:w="3700" w:type="dxa"/>
            <w:vAlign w:val="bottom"/>
            <w:tcBorders>
              <w:top w:val="single" w:sz="8" w:color="CCEEFF"/>
            </w:tcBorders>
            <w:gridSpan w:val="8"/>
          </w:tcPr>
          <w:p>
            <w:pPr>
              <w:spacing w:after="0"/>
              <w:rPr>
                <w:sz w:val="10"/>
                <w:szCs w:val="10"/>
                <w:color w:val="auto"/>
              </w:rPr>
            </w:pPr>
          </w:p>
        </w:tc>
        <w:tc>
          <w:tcPr>
            <w:tcW w:w="6780" w:type="dxa"/>
            <w:vAlign w:val="bottom"/>
            <w:tcBorders>
              <w:top w:val="single" w:sz="8" w:color="CCEEFF"/>
            </w:tcBorders>
            <w:gridSpan w:val="2"/>
          </w:tcPr>
          <w:p>
            <w:pPr>
              <w:jc w:val="center"/>
              <w:ind w:left="5580"/>
              <w:spacing w:after="0" w:line="117" w:lineRule="exact"/>
              <w:rPr>
                <w:sz w:val="20"/>
                <w:szCs w:val="20"/>
                <w:color w:val="auto"/>
              </w:rPr>
            </w:pPr>
            <w:r>
              <w:rPr>
                <w:rFonts w:ascii="Arial" w:cs="Arial" w:eastAsia="Arial" w:hAnsi="Arial"/>
                <w:sz w:val="12"/>
                <w:szCs w:val="12"/>
                <w:color w:val="auto"/>
                <w:w w:val="89"/>
              </w:rPr>
              <w:t>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60" w:type="dxa"/>
            <w:vAlign w:val="bottom"/>
            <w:tcBorders>
              <w:bottom w:val="single" w:sz="8" w:color="0000EE"/>
            </w:tcBorders>
            <w:gridSpan w:val="14"/>
            <w:shd w:val="clear" w:color="auto" w:fill="CCEEFF"/>
          </w:tcPr>
          <w:p>
            <w:pPr>
              <w:spacing w:after="0" w:line="117" w:lineRule="exact"/>
              <w:rPr>
                <w:rFonts w:ascii="Arial" w:cs="Arial" w:eastAsia="Arial" w:hAnsi="Arial"/>
                <w:sz w:val="12"/>
                <w:szCs w:val="12"/>
                <w:color w:val="0000EE"/>
                <w:w w:val="89"/>
              </w:rPr>
            </w:pPr>
            <w:hyperlink w:anchor="page41">
              <w:r>
                <w:rPr>
                  <w:rFonts w:ascii="Arial" w:cs="Arial" w:eastAsia="Arial" w:hAnsi="Arial"/>
                  <w:sz w:val="12"/>
                  <w:szCs w:val="12"/>
                  <w:color w:val="0000EE"/>
                  <w:w w:val="89"/>
                </w:rPr>
                <w:t>Special Note Regarding Forward-Looking Statements</w:t>
              </w:r>
            </w:hyperlink>
          </w:p>
        </w:tc>
        <w:tc>
          <w:tcPr>
            <w:tcW w:w="2120" w:type="dxa"/>
            <w:vAlign w:val="bottom"/>
            <w:tcBorders>
              <w:bottom w:val="single" w:sz="8" w:color="CCEEFF"/>
            </w:tcBorders>
            <w:gridSpan w:val="2"/>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34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Borders>
              <w:bottom w:val="single" w:sz="8" w:color="0000EE"/>
            </w:tcBorders>
            <w:gridSpan w:val="7"/>
          </w:tcPr>
          <w:p>
            <w:pPr>
              <w:spacing w:after="0" w:line="117" w:lineRule="exact"/>
              <w:rPr>
                <w:rFonts w:ascii="Arial" w:cs="Arial" w:eastAsia="Arial" w:hAnsi="Arial"/>
                <w:sz w:val="12"/>
                <w:szCs w:val="12"/>
                <w:color w:val="0000EE"/>
                <w:w w:val="83"/>
              </w:rPr>
            </w:pPr>
            <w:hyperlink w:anchor="page42">
              <w:r>
                <w:rPr>
                  <w:rFonts w:ascii="Arial" w:cs="Arial" w:eastAsia="Arial" w:hAnsi="Arial"/>
                  <w:sz w:val="12"/>
                  <w:szCs w:val="12"/>
                  <w:color w:val="0000EE"/>
                  <w:w w:val="83"/>
                </w:rPr>
                <w:t>Use of Proceeds</w:t>
              </w:r>
            </w:hyperlink>
          </w:p>
        </w:tc>
        <w:tc>
          <w:tcPr>
            <w:tcW w:w="3920" w:type="dxa"/>
            <w:vAlign w:val="bottom"/>
            <w:gridSpan w:val="9"/>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35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bottom w:val="single" w:sz="8" w:color="0000EE"/>
            </w:tcBorders>
            <w:gridSpan w:val="2"/>
            <w:shd w:val="clear" w:color="auto" w:fill="CCEEFF"/>
          </w:tcPr>
          <w:p>
            <w:pPr>
              <w:spacing w:after="0" w:line="117" w:lineRule="exact"/>
              <w:rPr>
                <w:rFonts w:ascii="Arial" w:cs="Arial" w:eastAsia="Arial" w:hAnsi="Arial"/>
                <w:sz w:val="12"/>
                <w:szCs w:val="12"/>
                <w:color w:val="0000EE"/>
                <w:w w:val="89"/>
              </w:rPr>
            </w:pPr>
            <w:hyperlink w:anchor="page43">
              <w:r>
                <w:rPr>
                  <w:rFonts w:ascii="Arial" w:cs="Arial" w:eastAsia="Arial" w:hAnsi="Arial"/>
                  <w:sz w:val="12"/>
                  <w:szCs w:val="12"/>
                  <w:color w:val="0000EE"/>
                  <w:w w:val="89"/>
                </w:rPr>
                <w:t>Dilution</w:t>
              </w:r>
            </w:hyperlink>
          </w:p>
        </w:tc>
        <w:tc>
          <w:tcPr>
            <w:tcW w:w="4300" w:type="dxa"/>
            <w:vAlign w:val="bottom"/>
            <w:tcBorders>
              <w:bottom w:val="single" w:sz="8" w:color="CCEEFF"/>
            </w:tcBorders>
            <w:gridSpan w:val="14"/>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36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45">
              <w:r>
                <w:rPr>
                  <w:rFonts w:ascii="Arial" w:cs="Arial" w:eastAsia="Arial" w:hAnsi="Arial"/>
                  <w:sz w:val="12"/>
                  <w:szCs w:val="12"/>
                  <w:color w:val="0000EE"/>
                </w:rPr>
                <w:t>Capitalization</w:t>
              </w:r>
            </w:hyperlink>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46">
              <w:r>
                <w:rPr>
                  <w:rFonts w:ascii="Arial" w:cs="Arial" w:eastAsia="Arial" w:hAnsi="Arial"/>
                  <w:sz w:val="12"/>
                  <w:szCs w:val="12"/>
                  <w:color w:val="0000EE"/>
                </w:rPr>
                <w:t>Plan of Distribution</w:t>
              </w:r>
            </w:hyperlink>
          </w:p>
        </w:tc>
        <w:tc>
          <w:tcPr>
            <w:tcW w:w="6780" w:type="dxa"/>
            <w:vAlign w:val="bottom"/>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48">
              <w:r>
                <w:rPr>
                  <w:rFonts w:ascii="Arial" w:cs="Arial" w:eastAsia="Arial" w:hAnsi="Arial"/>
                  <w:sz w:val="12"/>
                  <w:szCs w:val="12"/>
                  <w:color w:val="0000EE"/>
                </w:rPr>
                <w:t>Description of Securities</w:t>
              </w:r>
            </w:hyperlink>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80" w:type="dxa"/>
            <w:vAlign w:val="bottom"/>
            <w:tcBorders>
              <w:bottom w:val="single" w:sz="8" w:color="0000EE"/>
              <w:right w:val="single" w:sz="8" w:color="CCEEFF"/>
            </w:tcBorders>
            <w:gridSpan w:val="12"/>
            <w:shd w:val="clear" w:color="auto" w:fill="CCEEFF"/>
          </w:tcPr>
          <w:p>
            <w:pPr>
              <w:spacing w:after="0" w:line="117" w:lineRule="exact"/>
              <w:rPr>
                <w:rFonts w:ascii="Arial" w:cs="Arial" w:eastAsia="Arial" w:hAnsi="Arial"/>
                <w:sz w:val="12"/>
                <w:szCs w:val="12"/>
                <w:color w:val="0000EE"/>
                <w:w w:val="88"/>
              </w:rPr>
            </w:pPr>
            <w:hyperlink w:anchor="page52">
              <w:r>
                <w:rPr>
                  <w:rFonts w:ascii="Arial" w:cs="Arial" w:eastAsia="Arial" w:hAnsi="Arial"/>
                  <w:sz w:val="12"/>
                  <w:szCs w:val="12"/>
                  <w:color w:val="0000EE"/>
                  <w:w w:val="88"/>
                </w:rPr>
                <w:t>Shares Eligible for Future Sale</w:t>
              </w:r>
            </w:hyperlink>
          </w:p>
        </w:tc>
        <w:tc>
          <w:tcPr>
            <w:tcW w:w="3200" w:type="dxa"/>
            <w:vAlign w:val="bottom"/>
            <w:tcBorders>
              <w:bottom w:val="single" w:sz="8" w:color="CCEEFF"/>
            </w:tcBorders>
            <w:gridSpan w:val="4"/>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45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 w:type="dxa"/>
            <w:vAlign w:val="bottom"/>
            <w:tcBorders>
              <w:bottom w:val="single" w:sz="8" w:color="0000EE"/>
            </w:tcBorders>
            <w:gridSpan w:val="3"/>
          </w:tcPr>
          <w:p>
            <w:pPr>
              <w:spacing w:after="0" w:line="117" w:lineRule="exact"/>
              <w:rPr>
                <w:rFonts w:ascii="Arial" w:cs="Arial" w:eastAsia="Arial" w:hAnsi="Arial"/>
                <w:sz w:val="12"/>
                <w:szCs w:val="12"/>
                <w:color w:val="0000EE"/>
                <w:w w:val="77"/>
              </w:rPr>
            </w:pPr>
            <w:hyperlink w:anchor="page53">
              <w:r>
                <w:rPr>
                  <w:rFonts w:ascii="Arial" w:cs="Arial" w:eastAsia="Arial" w:hAnsi="Arial"/>
                  <w:sz w:val="12"/>
                  <w:szCs w:val="12"/>
                  <w:color w:val="0000EE"/>
                  <w:w w:val="77"/>
                </w:rPr>
                <w:t>Business</w:t>
              </w:r>
            </w:hyperlink>
          </w:p>
        </w:tc>
        <w:tc>
          <w:tcPr>
            <w:tcW w:w="4280" w:type="dxa"/>
            <w:vAlign w:val="bottom"/>
            <w:gridSpan w:val="13"/>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46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78">
              <w:r>
                <w:rPr>
                  <w:rFonts w:ascii="Arial" w:cs="Arial" w:eastAsia="Arial" w:hAnsi="Arial"/>
                  <w:sz w:val="12"/>
                  <w:szCs w:val="12"/>
                  <w:color w:val="0000EE"/>
                </w:rPr>
                <w:t>Market for Our Common Stock</w:t>
              </w:r>
            </w:hyperlink>
          </w:p>
        </w:tc>
        <w:tc>
          <w:tcPr>
            <w:tcW w:w="6780" w:type="dxa"/>
            <w:vAlign w:val="bottom"/>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4280" w:type="dxa"/>
            <w:vAlign w:val="bottom"/>
            <w:tcBorders>
              <w:bottom w:val="single" w:sz="8" w:color="0000EE"/>
            </w:tcBorders>
            <w:gridSpan w:val="15"/>
          </w:tcPr>
          <w:p>
            <w:pPr>
              <w:spacing w:after="0" w:line="117" w:lineRule="exact"/>
              <w:rPr>
                <w:rFonts w:ascii="Arial" w:cs="Arial" w:eastAsia="Arial" w:hAnsi="Arial"/>
                <w:sz w:val="12"/>
                <w:szCs w:val="12"/>
                <w:color w:val="0000EE"/>
                <w:w w:val="90"/>
              </w:rPr>
            </w:pPr>
            <w:hyperlink w:anchor="page79">
              <w:r>
                <w:rPr>
                  <w:rFonts w:ascii="Arial" w:cs="Arial" w:eastAsia="Arial" w:hAnsi="Arial"/>
                  <w:sz w:val="12"/>
                  <w:szCs w:val="12"/>
                  <w:color w:val="0000EE"/>
                  <w:w w:val="90"/>
                </w:rPr>
                <w:t>Management’s Discussion and Analysis of Financial Condition and Results of Operations</w:t>
              </w:r>
            </w:hyperlink>
          </w:p>
        </w:tc>
        <w:tc>
          <w:tcPr>
            <w:tcW w:w="400" w:type="dxa"/>
            <w:vAlign w:val="bottom"/>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72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0" w:type="dxa"/>
            <w:vAlign w:val="bottom"/>
            <w:tcBorders>
              <w:bottom w:val="single" w:sz="8" w:color="0000EE"/>
              <w:right w:val="single" w:sz="8" w:color="CCEEFF"/>
            </w:tcBorders>
            <w:gridSpan w:val="5"/>
            <w:shd w:val="clear" w:color="auto" w:fill="CCEEFF"/>
          </w:tcPr>
          <w:p>
            <w:pPr>
              <w:spacing w:after="0" w:line="117" w:lineRule="exact"/>
              <w:rPr>
                <w:rFonts w:ascii="Arial" w:cs="Arial" w:eastAsia="Arial" w:hAnsi="Arial"/>
                <w:sz w:val="12"/>
                <w:szCs w:val="12"/>
                <w:color w:val="0000EE"/>
                <w:w w:val="85"/>
              </w:rPr>
            </w:pPr>
            <w:hyperlink w:anchor="page90">
              <w:r>
                <w:rPr>
                  <w:rFonts w:ascii="Arial" w:cs="Arial" w:eastAsia="Arial" w:hAnsi="Arial"/>
                  <w:sz w:val="12"/>
                  <w:szCs w:val="12"/>
                  <w:color w:val="0000EE"/>
                  <w:w w:val="85"/>
                </w:rPr>
                <w:t>Management</w:t>
              </w:r>
            </w:hyperlink>
          </w:p>
        </w:tc>
        <w:tc>
          <w:tcPr>
            <w:tcW w:w="4040" w:type="dxa"/>
            <w:vAlign w:val="bottom"/>
            <w:tcBorders>
              <w:bottom w:val="single" w:sz="8" w:color="CCEEFF"/>
            </w:tcBorders>
            <w:gridSpan w:val="11"/>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83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110">
              <w:r>
                <w:rPr>
                  <w:rFonts w:ascii="Arial" w:cs="Arial" w:eastAsia="Arial" w:hAnsi="Arial"/>
                  <w:sz w:val="12"/>
                  <w:szCs w:val="12"/>
                  <w:color w:val="0000EE"/>
                </w:rPr>
                <w:t>Related Party Transactions</w:t>
              </w:r>
            </w:hyperlink>
          </w:p>
        </w:tc>
        <w:tc>
          <w:tcPr>
            <w:tcW w:w="6780" w:type="dxa"/>
            <w:vAlign w:val="bottom"/>
            <w:gridSpan w:val="2"/>
          </w:tcPr>
          <w:p>
            <w:pPr>
              <w:jc w:val="center"/>
              <w:ind w:left="5580"/>
              <w:spacing w:after="0" w:line="117" w:lineRule="exact"/>
              <w:rPr>
                <w:sz w:val="20"/>
                <w:szCs w:val="20"/>
                <w:color w:val="auto"/>
              </w:rPr>
            </w:pPr>
            <w:r>
              <w:rPr>
                <w:rFonts w:ascii="Arial" w:cs="Arial" w:eastAsia="Arial" w:hAnsi="Arial"/>
                <w:sz w:val="12"/>
                <w:szCs w:val="12"/>
                <w:color w:val="auto"/>
                <w:w w:val="89"/>
              </w:rPr>
              <w:t>103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60" w:type="dxa"/>
            <w:vAlign w:val="bottom"/>
            <w:tcBorders>
              <w:top w:val="single" w:sz="8" w:color="0000EE"/>
            </w:tcBorders>
            <w:gridSpan w:val="10"/>
            <w:shd w:val="clear" w:color="auto" w:fill="CCEEFF"/>
          </w:tcPr>
          <w:p>
            <w:pPr>
              <w:spacing w:after="0" w:line="117" w:lineRule="exact"/>
              <w:rPr>
                <w:rFonts w:ascii="Arial" w:cs="Arial" w:eastAsia="Arial" w:hAnsi="Arial"/>
                <w:sz w:val="12"/>
                <w:szCs w:val="12"/>
                <w:color w:val="0000EE"/>
              </w:rPr>
            </w:pPr>
            <w:hyperlink w:anchor="page111">
              <w:r>
                <w:rPr>
                  <w:rFonts w:ascii="Arial" w:cs="Arial" w:eastAsia="Arial" w:hAnsi="Arial"/>
                  <w:sz w:val="12"/>
                  <w:szCs w:val="12"/>
                  <w:color w:val="0000EE"/>
                </w:rPr>
                <w:t>Legal Matters</w:t>
              </w:r>
            </w:hyperlink>
          </w:p>
        </w:tc>
        <w:tc>
          <w:tcPr>
            <w:tcW w:w="3420" w:type="dxa"/>
            <w:vAlign w:val="bottom"/>
            <w:gridSpan w:val="6"/>
            <w:shd w:val="clear" w:color="auto" w:fill="CCEEFF"/>
          </w:tcPr>
          <w:p>
            <w:pPr>
              <w:spacing w:after="0"/>
              <w:rPr>
                <w:sz w:val="10"/>
                <w:szCs w:val="10"/>
                <w:color w:val="auto"/>
              </w:rPr>
            </w:pPr>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Borders>
              <w:top w:val="single" w:sz="8" w:color="0000EE"/>
              <w:bottom w:val="single" w:sz="8" w:color="0000EE"/>
            </w:tcBorders>
          </w:tcPr>
          <w:p>
            <w:pPr>
              <w:spacing w:after="0" w:line="117" w:lineRule="exact"/>
              <w:rPr>
                <w:rFonts w:ascii="Arial" w:cs="Arial" w:eastAsia="Arial" w:hAnsi="Arial"/>
                <w:sz w:val="12"/>
                <w:szCs w:val="12"/>
                <w:color w:val="0000EE"/>
                <w:w w:val="78"/>
              </w:rPr>
            </w:pPr>
            <w:hyperlink w:anchor="page111">
              <w:r>
                <w:rPr>
                  <w:rFonts w:ascii="Arial" w:cs="Arial" w:eastAsia="Arial" w:hAnsi="Arial"/>
                  <w:sz w:val="12"/>
                  <w:szCs w:val="12"/>
                  <w:color w:val="0000EE"/>
                  <w:w w:val="78"/>
                </w:rPr>
                <w:t>Experts</w:t>
              </w:r>
            </w:hyperlink>
          </w:p>
        </w:tc>
        <w:tc>
          <w:tcPr>
            <w:tcW w:w="300" w:type="dxa"/>
            <w:vAlign w:val="bottom"/>
            <w:tcBorders>
              <w:top w:val="single" w:sz="8" w:color="0000EE"/>
            </w:tcBorders>
            <w:gridSpan w:val="4"/>
          </w:tcPr>
          <w:p>
            <w:pPr>
              <w:spacing w:after="0"/>
              <w:rPr>
                <w:sz w:val="10"/>
                <w:szCs w:val="10"/>
                <w:color w:val="auto"/>
              </w:rPr>
            </w:pPr>
          </w:p>
        </w:tc>
        <w:tc>
          <w:tcPr>
            <w:tcW w:w="4040" w:type="dxa"/>
            <w:vAlign w:val="bottom"/>
            <w:tcBorders>
              <w:top w:val="single" w:sz="8" w:color="CCEEFF"/>
            </w:tcBorders>
            <w:gridSpan w:val="11"/>
          </w:tcPr>
          <w:p>
            <w:pPr>
              <w:spacing w:after="0"/>
              <w:rPr>
                <w:sz w:val="10"/>
                <w:szCs w:val="10"/>
                <w:color w:val="auto"/>
              </w:rPr>
            </w:pPr>
          </w:p>
        </w:tc>
        <w:tc>
          <w:tcPr>
            <w:tcW w:w="6780" w:type="dxa"/>
            <w:vAlign w:val="bottom"/>
            <w:tcBorders>
              <w:top w:val="single" w:sz="8" w:color="CCEEFF"/>
            </w:tcBorders>
            <w:gridSpan w:val="2"/>
          </w:tcPr>
          <w:p>
            <w:pPr>
              <w:jc w:val="center"/>
              <w:ind w:left="5580"/>
              <w:spacing w:after="0" w:line="117" w:lineRule="exact"/>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111">
              <w:r>
                <w:rPr>
                  <w:rFonts w:ascii="Arial" w:cs="Arial" w:eastAsia="Arial" w:hAnsi="Arial"/>
                  <w:sz w:val="12"/>
                  <w:szCs w:val="12"/>
                  <w:color w:val="0000EE"/>
                </w:rPr>
                <w:t>Where You Can Find More Information</w:t>
              </w:r>
            </w:hyperlink>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80" w:type="dxa"/>
            <w:vAlign w:val="bottom"/>
            <w:tcBorders>
              <w:top w:val="single" w:sz="8" w:color="0000EE"/>
            </w:tcBorders>
            <w:gridSpan w:val="13"/>
          </w:tcPr>
          <w:p>
            <w:pPr>
              <w:spacing w:after="0" w:line="117" w:lineRule="exact"/>
              <w:rPr>
                <w:rFonts w:ascii="Arial" w:cs="Arial" w:eastAsia="Arial" w:hAnsi="Arial"/>
                <w:sz w:val="12"/>
                <w:szCs w:val="12"/>
                <w:color w:val="0000EE"/>
              </w:rPr>
            </w:pPr>
            <w:hyperlink w:anchor="page112">
              <w:r>
                <w:rPr>
                  <w:rFonts w:ascii="Arial" w:cs="Arial" w:eastAsia="Arial" w:hAnsi="Arial"/>
                  <w:sz w:val="12"/>
                  <w:szCs w:val="12"/>
                  <w:color w:val="0000EE"/>
                </w:rPr>
                <w:t>Index to Financial Statements</w:t>
              </w:r>
            </w:hyperlink>
          </w:p>
        </w:tc>
        <w:tc>
          <w:tcPr>
            <w:tcW w:w="2800" w:type="dxa"/>
            <w:vAlign w:val="bottom"/>
            <w:tcBorders>
              <w:top w:val="single" w:sz="8" w:color="CCEEFF"/>
            </w:tcBorders>
            <w:gridSpan w:val="3"/>
          </w:tcPr>
          <w:p>
            <w:pPr>
              <w:spacing w:after="0"/>
              <w:rPr>
                <w:sz w:val="10"/>
                <w:szCs w:val="10"/>
                <w:color w:val="auto"/>
              </w:rPr>
            </w:pPr>
          </w:p>
        </w:tc>
        <w:tc>
          <w:tcPr>
            <w:tcW w:w="56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ind w:left="480"/>
              <w:spacing w:after="0" w:line="117" w:lineRule="exact"/>
              <w:rPr>
                <w:sz w:val="20"/>
                <w:szCs w:val="20"/>
                <w:color w:val="auto"/>
              </w:rPr>
            </w:pPr>
            <w:r>
              <w:rPr>
                <w:rFonts w:ascii="Arial" w:cs="Arial" w:eastAsia="Arial" w:hAnsi="Arial"/>
                <w:sz w:val="12"/>
                <w:szCs w:val="12"/>
                <w:color w:val="auto"/>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ABOUT THIS PROSPECTUS</w:t>
      </w:r>
    </w:p>
    <w:p>
      <w:pPr>
        <w:spacing w:after="0" w:line="17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You should rely only on the information contained in this prospectus. We have not authorized anyone to provide you with additional information or information different from that contained in this prospectus. We are offering to sell, and seeking offers to buy, shares of our common stock and warrants only in jurisdictions where offers and sales are permitted. The information contained in this prospectus is accurate only as of the date of this prospectus, regardless of the time of delivery of this prospectus or any sale of our common stock and warrants.</w:t>
      </w:r>
    </w:p>
    <w:p>
      <w:pPr>
        <w:spacing w:after="0" w:line="141"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 xml:space="preserve">We anticipate affecting a reverse split of our authorized, and issued and outstanding shares of common stock prior to consummation of the Offering at a ratio of one-for-twenty (the </w:t>
      </w:r>
      <w:r>
        <w:rPr>
          <w:rFonts w:ascii="Arial" w:cs="Arial" w:eastAsia="Arial" w:hAnsi="Arial"/>
          <w:sz w:val="12"/>
          <w:szCs w:val="12"/>
          <w:i w:val="1"/>
          <w:iCs w:val="1"/>
          <w:color w:val="auto"/>
        </w:rPr>
        <w:t>Stock Consolidation</w:t>
      </w:r>
      <w:r>
        <w:rPr>
          <w:rFonts w:ascii="Arial" w:cs="Arial" w:eastAsia="Arial" w:hAnsi="Arial"/>
          <w:sz w:val="12"/>
          <w:szCs w:val="12"/>
          <w:color w:val="auto"/>
        </w:rPr>
        <w:t>), pending review and acceptance of the Stock Consolidation from the Financial Industry Regulatory Authority (</w:t>
      </w:r>
      <w:r>
        <w:rPr>
          <w:rFonts w:ascii="Arial" w:cs="Arial" w:eastAsia="Arial" w:hAnsi="Arial"/>
          <w:sz w:val="12"/>
          <w:szCs w:val="12"/>
          <w:i w:val="1"/>
          <w:iCs w:val="1"/>
          <w:color w:val="auto"/>
        </w:rPr>
        <w:t>FINRA</w:t>
      </w:r>
      <w:r>
        <w:rPr>
          <w:rFonts w:ascii="Arial" w:cs="Arial" w:eastAsia="Arial" w:hAnsi="Arial"/>
          <w:sz w:val="12"/>
          <w:szCs w:val="12"/>
          <w:color w:val="auto"/>
        </w:rPr>
        <w:t>). Each reference to shares of common stock in this prospectus is pre-Stock Consolidation, and does not reflect the one-for-twenty adjustment that will occur as a result of the Stock Consolidation. See also “</w:t>
      </w:r>
      <w:r>
        <w:rPr>
          <w:rFonts w:ascii="Arial" w:cs="Arial" w:eastAsia="Arial" w:hAnsi="Arial"/>
          <w:sz w:val="12"/>
          <w:szCs w:val="12"/>
          <w:i w:val="1"/>
          <w:iCs w:val="1"/>
          <w:color w:val="auto"/>
        </w:rPr>
        <w:t>Risk Factors</w:t>
      </w:r>
      <w:r>
        <w:rPr>
          <w:rFonts w:ascii="Arial" w:cs="Arial" w:eastAsia="Arial" w:hAnsi="Arial"/>
          <w:sz w:val="12"/>
          <w:szCs w:val="12"/>
          <w:color w:val="auto"/>
        </w:rPr>
        <w:t>” beginning on page 6.</w:t>
      </w:r>
    </w:p>
    <w:p>
      <w:pPr>
        <w:spacing w:after="0" w:line="141"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Unless the context otherwise requires, the words “</w:t>
      </w:r>
      <w:r>
        <w:rPr>
          <w:rFonts w:ascii="Arial" w:cs="Arial" w:eastAsia="Arial" w:hAnsi="Arial"/>
          <w:sz w:val="12"/>
          <w:szCs w:val="12"/>
          <w:i w:val="1"/>
          <w:iCs w:val="1"/>
          <w:color w:val="auto"/>
        </w:rPr>
        <w:t>VistaGen Therapeutics, Inc.</w:t>
      </w:r>
      <w:r>
        <w:rPr>
          <w:rFonts w:ascii="Arial" w:cs="Arial" w:eastAsia="Arial" w:hAnsi="Arial"/>
          <w:sz w:val="12"/>
          <w:szCs w:val="12"/>
          <w:color w:val="auto"/>
        </w:rPr>
        <w:t>” “</w:t>
      </w:r>
      <w:r>
        <w:rPr>
          <w:rFonts w:ascii="Arial" w:cs="Arial" w:eastAsia="Arial" w:hAnsi="Arial"/>
          <w:sz w:val="12"/>
          <w:szCs w:val="12"/>
          <w:i w:val="1"/>
          <w:iCs w:val="1"/>
          <w:color w:val="auto"/>
        </w:rPr>
        <w:t>VistaGen</w:t>
      </w:r>
      <w:r>
        <w:rPr>
          <w:rFonts w:ascii="Arial" w:cs="Arial" w:eastAsia="Arial" w:hAnsi="Arial"/>
          <w:sz w:val="12"/>
          <w:szCs w:val="12"/>
          <w:color w:val="auto"/>
        </w:rPr>
        <w:t>,” “</w:t>
      </w:r>
      <w:r>
        <w:rPr>
          <w:rFonts w:ascii="Arial" w:cs="Arial" w:eastAsia="Arial" w:hAnsi="Arial"/>
          <w:sz w:val="12"/>
          <w:szCs w:val="12"/>
          <w:i w:val="1"/>
          <w:iCs w:val="1"/>
          <w:color w:val="auto"/>
        </w:rPr>
        <w:t>we</w:t>
      </w:r>
      <w:r>
        <w:rPr>
          <w:rFonts w:ascii="Arial" w:cs="Arial" w:eastAsia="Arial" w:hAnsi="Arial"/>
          <w:sz w:val="12"/>
          <w:szCs w:val="12"/>
          <w:color w:val="auto"/>
        </w:rPr>
        <w:t>,” “</w:t>
      </w:r>
      <w:r>
        <w:rPr>
          <w:rFonts w:ascii="Arial" w:cs="Arial" w:eastAsia="Arial" w:hAnsi="Arial"/>
          <w:sz w:val="12"/>
          <w:szCs w:val="12"/>
          <w:i w:val="1"/>
          <w:iCs w:val="1"/>
          <w:color w:val="auto"/>
        </w:rPr>
        <w:t>the Company</w:t>
      </w:r>
      <w:r>
        <w:rPr>
          <w:rFonts w:ascii="Arial" w:cs="Arial" w:eastAsia="Arial" w:hAnsi="Arial"/>
          <w:sz w:val="12"/>
          <w:szCs w:val="12"/>
          <w:color w:val="auto"/>
        </w:rPr>
        <w:t>,” “</w:t>
      </w:r>
      <w:r>
        <w:rPr>
          <w:rFonts w:ascii="Arial" w:cs="Arial" w:eastAsia="Arial" w:hAnsi="Arial"/>
          <w:sz w:val="12"/>
          <w:szCs w:val="12"/>
          <w:i w:val="1"/>
          <w:iCs w:val="1"/>
          <w:color w:val="auto"/>
        </w:rPr>
        <w:t>us</w:t>
      </w:r>
      <w:r>
        <w:rPr>
          <w:rFonts w:ascii="Arial" w:cs="Arial" w:eastAsia="Arial" w:hAnsi="Arial"/>
          <w:sz w:val="12"/>
          <w:szCs w:val="12"/>
          <w:color w:val="auto"/>
        </w:rPr>
        <w:t>” and “</w:t>
      </w:r>
      <w:r>
        <w:rPr>
          <w:rFonts w:ascii="Arial" w:cs="Arial" w:eastAsia="Arial" w:hAnsi="Arial"/>
          <w:sz w:val="12"/>
          <w:szCs w:val="12"/>
          <w:i w:val="1"/>
          <w:iCs w:val="1"/>
          <w:color w:val="auto"/>
        </w:rPr>
        <w:t>our</w:t>
      </w:r>
      <w:r>
        <w:rPr>
          <w:rFonts w:ascii="Arial" w:cs="Arial" w:eastAsia="Arial" w:hAnsi="Arial"/>
          <w:sz w:val="12"/>
          <w:szCs w:val="12"/>
          <w:color w:val="auto"/>
        </w:rPr>
        <w:t>” refer to VistaGen Therapeutics, Inc., a Nevada corporation. “</w:t>
      </w:r>
      <w:r>
        <w:rPr>
          <w:rFonts w:ascii="Arial" w:cs="Arial" w:eastAsia="Arial" w:hAnsi="Arial"/>
          <w:sz w:val="12"/>
          <w:szCs w:val="12"/>
          <w:i w:val="1"/>
          <w:iCs w:val="1"/>
          <w:color w:val="auto"/>
        </w:rPr>
        <w:t>VistaGen California</w:t>
      </w:r>
      <w:r>
        <w:rPr>
          <w:rFonts w:ascii="Arial" w:cs="Arial" w:eastAsia="Arial" w:hAnsi="Arial"/>
          <w:sz w:val="12"/>
          <w:szCs w:val="12"/>
          <w:color w:val="auto"/>
        </w:rPr>
        <w:t>” refers to VistaGen Therapeutics, Inc., a California corporation and our wholly owned subsidiary.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6" w:name="page7"/>
    <w:bookmarkEnd w:id="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PROSPECTUS SUMMARY</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i w:val="1"/>
          <w:iCs w:val="1"/>
          <w:color w:val="auto"/>
        </w:rPr>
        <w:t>This summary highlights selected information appearing elsewhere in this prospectus and does not contain all the information you should consider before investing in our common stock and warrants. You should carefully read this prospectus in its entirety before investing in our common stock and warrants, including the section entitled “Risk Factors” and our financial statements and related notes included elsewhere in this prospectus.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are a stem cell company headquartered in South San Francisco, California, focused on drug discovery, drug rescue and regenerative medicine. We believe </w:t>
      </w:r>
      <w:r>
        <w:rPr>
          <w:rFonts w:ascii="Arial" w:cs="Arial" w:eastAsia="Arial" w:hAnsi="Arial"/>
          <w:sz w:val="11"/>
          <w:szCs w:val="11"/>
          <w:i w:val="1"/>
          <w:iCs w:val="1"/>
          <w:color w:val="auto"/>
        </w:rPr>
        <w:t>better cells lead to better medicines</w:t>
      </w:r>
      <w:r>
        <w:rPr>
          <w:rFonts w:ascii="Arial" w:cs="Arial" w:eastAsia="Arial" w:hAnsi="Arial"/>
          <w:sz w:val="11"/>
          <w:szCs w:val="11"/>
          <w:color w:val="auto"/>
        </w:rPr>
        <w:t xml:space="preserve">™ and that the key to making better cells is precisely controlling the differentiation of human pluripotent stem cells, which are the building blocks of all cells of the human body. Our stem cell technology platform, which we refer to as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is based on a combination of proprietary and exclusively licensed technologies for controlling the differentiation of human pluripotent stem cells and producing the multiple types of mature, non-transformed, functional, adult human cells that we use, or plan to use, to reproduce complex human biology and disease and assess, </w:t>
      </w:r>
      <w:r>
        <w:rPr>
          <w:rFonts w:ascii="Arial" w:cs="Arial" w:eastAsia="Arial" w:hAnsi="Arial"/>
          <w:sz w:val="11"/>
          <w:szCs w:val="11"/>
          <w:i w:val="1"/>
          <w:iCs w:val="1"/>
          <w:color w:val="auto"/>
        </w:rPr>
        <w:t>in vitro</w:t>
      </w:r>
      <w:r>
        <w:rPr>
          <w:rFonts w:ascii="Arial" w:cs="Arial" w:eastAsia="Arial" w:hAnsi="Arial"/>
          <w:sz w:val="11"/>
          <w:szCs w:val="11"/>
          <w:color w:val="auto"/>
        </w:rPr>
        <w:t>, the potential therapeutic benefits and safety risks of new drug candidates.</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used our stem cell-derived human cardiomyocytes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to design and develop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our novel,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 for predicting potential cardiotoxicity of new drug candidates, including drug rescue candidates.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Our stem cell-derived hepatocytes (</w:t>
      </w:r>
      <w:r>
        <w:rPr>
          <w:rFonts w:ascii="Arial" w:cs="Arial" w:eastAsia="Arial" w:hAnsi="Arial"/>
          <w:sz w:val="11"/>
          <w:szCs w:val="11"/>
          <w:i w:val="1"/>
          <w:iCs w:val="1"/>
          <w:color w:val="auto"/>
        </w:rPr>
        <w:t>VSTA-heps™</w:t>
      </w:r>
      <w:r>
        <w:rPr>
          <w:rFonts w:ascii="Arial" w:cs="Arial" w:eastAsia="Arial" w:hAnsi="Arial"/>
          <w:sz w:val="10"/>
          <w:szCs w:val="10"/>
          <w:i w:val="1"/>
          <w:iCs w:val="1"/>
          <w:color w:val="auto"/>
        </w:rPr>
        <w:t>)</w:t>
      </w:r>
      <w:r>
        <w:rPr>
          <w:rFonts w:ascii="Arial" w:cs="Arial" w:eastAsia="Arial" w:hAnsi="Arial"/>
          <w:sz w:val="11"/>
          <w:szCs w:val="11"/>
          <w:color w:val="auto"/>
        </w:rPr>
        <w:t xml:space="preserve">, highly-functional, non-transformed, mature human hepatocytes,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novel, customized bioassay system for predicting potential liver toxicity of new drug candidates, including potential drug metabolism issues and adverse drug-drug interactions. We believe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have more functionally useful life-span in culture than primary (cadaver) hepatocytes used in FDA-required drug metabolism studies and overcome numerous problems related to commercially-available primary hepatocytes currently used in FDA-required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hepatocyte assays for drug metabolism, such as limited supply, unknown health status of the donor and genetic differences. We believe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anchored by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offers a new paradigm for evaluating and predicting potential heart and liver toxicity of new drug candidates, including drug rescue candidates, early in development, long before costly, high risk human clinical trials.</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believe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new, safer variants of still-promising new drug candidates previously discovered, optimized and tested for efficacy by pharmaceutical companies and others but terminated before FDA approval due to unexpected heart toxicity or liver toxicity. We refer to these still-promising new drug candidates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Our drug rescue strategy involves leveraging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attempt to significantly reduce the toxicity that caused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to be terminated, and bring new, safer versions of them back into development as promising proprietary new drug candidates. We refer to the new, safer versions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are focused on producing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anticipate that each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we optimize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for safety and efficacy will be suitable as a new drug development program, either internally or under a revenue-generating out-license arrangement with a pharmaceutical or biotechnology company. We have identified and screened using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assays multiple </w:t>
      </w:r>
      <w:r>
        <w:rPr>
          <w:rFonts w:ascii="Arial" w:cs="Arial" w:eastAsia="Arial" w:hAnsi="Arial"/>
          <w:sz w:val="11"/>
          <w:szCs w:val="11"/>
          <w:i w:val="1"/>
          <w:iCs w:val="1"/>
          <w:color w:val="auto"/>
        </w:rPr>
        <w:t>Drug Rescue</w:t>
      </w:r>
      <w:r>
        <w:rPr>
          <w:rFonts w:ascii="Arial" w:cs="Arial" w:eastAsia="Arial" w:hAnsi="Arial"/>
          <w:sz w:val="11"/>
          <w:szCs w:val="11"/>
          <w:color w:val="auto"/>
        </w:rPr>
        <w:t xml:space="preserve"> </w:t>
      </w:r>
      <w:r>
        <w:rPr>
          <w:rFonts w:ascii="Arial" w:cs="Arial" w:eastAsia="Arial" w:hAnsi="Arial"/>
          <w:sz w:val="11"/>
          <w:szCs w:val="11"/>
          <w:i w:val="1"/>
          <w:iCs w:val="1"/>
          <w:color w:val="auto"/>
        </w:rPr>
        <w:t>Candidates</w:t>
      </w:r>
      <w:r>
        <w:rPr>
          <w:rFonts w:ascii="Arial" w:cs="Arial" w:eastAsia="Arial" w:hAnsi="Arial"/>
          <w:sz w:val="11"/>
          <w:szCs w:val="11"/>
          <w:color w:val="auto"/>
        </w:rPr>
        <w:t>. Together with our preexisting</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 validation data, we believe the results of our assessments demonstrate that</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 can correctly distinguish varying levels of cardiotoxicity between new drug candidates,</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including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are now prepared to launch multiple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drug rescue programs with proceeds from this Offering.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 w:name="page8"/>
    <w:bookmarkEnd w:id="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Our business is subject to substantial risk. Please carefully consider the “</w:t>
      </w:r>
      <w:r>
        <w:rPr>
          <w:rFonts w:ascii="Arial" w:cs="Arial" w:eastAsia="Arial" w:hAnsi="Arial"/>
          <w:sz w:val="11"/>
          <w:szCs w:val="11"/>
          <w:i w:val="1"/>
          <w:iCs w:val="1"/>
          <w:color w:val="auto"/>
        </w:rPr>
        <w:t>Risk Factors</w:t>
      </w:r>
      <w:r>
        <w:rPr>
          <w:rFonts w:ascii="Arial" w:cs="Arial" w:eastAsia="Arial" w:hAnsi="Arial"/>
          <w:sz w:val="11"/>
          <w:szCs w:val="11"/>
          <w:color w:val="auto"/>
        </w:rPr>
        <w:t>” beginning on page 6 of this prospectus for a discussion of the factors you should carefully consider before deciding to purchase the securities offered by this prospectus. Additional risks and uncertainties not presently known to us or that we currently deem immaterial may also impair our business operations. You should be able to bear a complete loss of your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VistaGen Therapeutics, Inc. (formerly Excaliber Enterprises, Ltd.),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2"/>
          <w:szCs w:val="12"/>
          <w:i w:val="1"/>
          <w:iCs w:val="1"/>
          <w:color w:val="auto"/>
        </w:rPr>
        <w:t>www.vistagen.com</w:t>
      </w:r>
      <w:r>
        <w:rPr>
          <w:rFonts w:ascii="Arial" w:cs="Arial" w:eastAsia="Arial" w:hAnsi="Arial"/>
          <w:sz w:val="12"/>
          <w:szCs w:val="12"/>
          <w:color w:val="auto"/>
        </w:rPr>
        <w:t>. The information contained on our website is not part of this prospectus. We have included our website address as a factual reference and do not intend it to be an active link to our website.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 w:name="page9"/>
    <w:bookmarkEnd w:id="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color w:val="auto"/>
        </w:rPr>
        <w:t>Securities offered</w:t>
      </w:r>
    </w:p>
    <w:p>
      <w:pPr>
        <w:spacing w:after="0" w:line="294" w:lineRule="exact"/>
        <w:rPr>
          <w:sz w:val="20"/>
          <w:szCs w:val="20"/>
          <w:color w:val="auto"/>
        </w:rPr>
      </w:pPr>
    </w:p>
    <w:p>
      <w:pPr>
        <w:jc w:val="both"/>
        <w:ind w:right="300"/>
        <w:spacing w:after="0" w:line="514" w:lineRule="auto"/>
        <w:rPr>
          <w:sz w:val="20"/>
          <w:szCs w:val="20"/>
          <w:color w:val="auto"/>
        </w:rPr>
      </w:pPr>
      <w:r>
        <w:rPr>
          <w:rFonts w:ascii="Arial" w:cs="Arial" w:eastAsia="Arial" w:hAnsi="Arial"/>
          <w:sz w:val="12"/>
          <w:szCs w:val="12"/>
          <w:color w:val="auto"/>
        </w:rPr>
        <w:t>Common stock outstanding prior to Offering Common stock outstanding after the Offering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color w:val="auto"/>
        </w:rPr>
        <w:t>Stock consolidation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Dividend policy</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OTCQB symbol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Risk factors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auto"/>
        </w:rPr>
        <w:t>THE OFFERING</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Up to 30,000,000 shares of common stock.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Warrants to purchase up to 30,000,000 shares of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25,506,877 shares (as of July 1, 2014).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55,506,877 shares (assuming no exercise of any of the warrants offered hereby).</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We estimate that we will receive up to approximately $ 13.5 million in net proceeds from the sale of common stock in this Offering based on a price of $____ per share of</w:t>
      </w:r>
    </w:p>
    <w:p>
      <w:pPr>
        <w:spacing w:after="0" w:line="2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common stock, assuming that the maximum Offering amount is sold, and after deducting the Agent ’s commission, non-accountable expense allowance and estimated Offering expenses payable by us. However, this is a best efforts offering, with no minimum, and there is no assurance that we will receive significant proceeds or enough proceeds to execute our business plan.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currently intend to use the net proceeds from the sale of the shares of common stock and warrants in this Offering for research and development, working capital needs, capital expenditures, extinguishment of indebtedness, and other general corporate purposes. See “</w:t>
      </w:r>
      <w:r>
        <w:rPr>
          <w:rFonts w:ascii="Arial" w:cs="Arial" w:eastAsia="Arial" w:hAnsi="Arial"/>
          <w:sz w:val="12"/>
          <w:szCs w:val="12"/>
          <w:i w:val="1"/>
          <w:iCs w:val="1"/>
          <w:color w:val="auto"/>
        </w:rPr>
        <w:t>Use of Proceeds</w:t>
      </w:r>
      <w:r>
        <w:rPr>
          <w:rFonts w:ascii="Arial" w:cs="Arial" w:eastAsia="Arial" w:hAnsi="Arial"/>
          <w:sz w:val="12"/>
          <w:szCs w:val="12"/>
          <w:color w:val="auto"/>
        </w:rPr>
        <w:t>” for additional information regarding the intended use of proceeds from the Offering, including information regarding the potential exchange or conversion of certain indebtedness into equity securities in the event we receive a minimum of $10.0 million in gross proceeds.</w:t>
      </w:r>
    </w:p>
    <w:p>
      <w:pPr>
        <w:spacing w:after="0" w:line="12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We intend to affect a reverse split of our authorized and issued and outstanding shares of common stock prior to consummation of the Offering at a ratio of one-for-twenty (the </w:t>
      </w:r>
      <w:r>
        <w:rPr>
          <w:rFonts w:ascii="Arial" w:cs="Arial" w:eastAsia="Arial" w:hAnsi="Arial"/>
          <w:sz w:val="11"/>
          <w:szCs w:val="11"/>
          <w:i w:val="1"/>
          <w:iCs w:val="1"/>
          <w:color w:val="auto"/>
        </w:rPr>
        <w:t>Stock Consolidation</w:t>
      </w:r>
      <w:r>
        <w:rPr>
          <w:rFonts w:ascii="Arial" w:cs="Arial" w:eastAsia="Arial" w:hAnsi="Arial"/>
          <w:sz w:val="11"/>
          <w:szCs w:val="11"/>
          <w:color w:val="auto"/>
        </w:rPr>
        <w:t>), pending review and acceptance of the Stock Consolidation from the Financial Industry Regulatory Authority (</w:t>
      </w:r>
      <w:r>
        <w:rPr>
          <w:rFonts w:ascii="Arial" w:cs="Arial" w:eastAsia="Arial" w:hAnsi="Arial"/>
          <w:sz w:val="11"/>
          <w:szCs w:val="11"/>
          <w:i w:val="1"/>
          <w:iCs w:val="1"/>
          <w:color w:val="auto"/>
        </w:rPr>
        <w:t>FINRA</w:t>
      </w:r>
      <w:r>
        <w:rPr>
          <w:rFonts w:ascii="Arial" w:cs="Arial" w:eastAsia="Arial" w:hAnsi="Arial"/>
          <w:sz w:val="11"/>
          <w:szCs w:val="11"/>
          <w:color w:val="auto"/>
        </w:rPr>
        <w:t>). Each reference to shares of common stock in this prospectus is pre-Stock Consolidation, and does not reflect the one-for-twenty adjustment anticipated as a result of the Stock Consolidation.</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never declared or paid and do not anticipate declaring or paying any cash dividends on our common stock in the near future. You should read the “</w:t>
      </w:r>
      <w:r>
        <w:rPr>
          <w:rFonts w:ascii="Arial" w:cs="Arial" w:eastAsia="Arial" w:hAnsi="Arial"/>
          <w:sz w:val="12"/>
          <w:szCs w:val="12"/>
          <w:i w:val="1"/>
          <w:iCs w:val="1"/>
          <w:color w:val="auto"/>
        </w:rPr>
        <w:t>Dividend</w:t>
      </w:r>
      <w:r>
        <w:rPr>
          <w:rFonts w:ascii="Arial" w:cs="Arial" w:eastAsia="Arial" w:hAnsi="Arial"/>
          <w:sz w:val="12"/>
          <w:szCs w:val="12"/>
          <w:color w:val="auto"/>
        </w:rPr>
        <w:t xml:space="preserve"> </w:t>
      </w:r>
      <w:r>
        <w:rPr>
          <w:rFonts w:ascii="Arial" w:cs="Arial" w:eastAsia="Arial" w:hAnsi="Arial"/>
          <w:sz w:val="12"/>
          <w:szCs w:val="12"/>
          <w:i w:val="1"/>
          <w:iCs w:val="1"/>
          <w:color w:val="auto"/>
        </w:rPr>
        <w:t>Policy</w:t>
      </w:r>
      <w:r>
        <w:rPr>
          <w:rFonts w:ascii="Arial" w:cs="Arial" w:eastAsia="Arial" w:hAnsi="Arial"/>
          <w:sz w:val="12"/>
          <w:szCs w:val="12"/>
          <w:color w:val="auto"/>
        </w:rPr>
        <w:t>” section of this prospectus for more information on future declarations and payments of dividends.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VSTA. There is no established trading market for the warrants and we do not expect a market to develop.</w:t>
      </w:r>
    </w:p>
    <w:p>
      <w:pPr>
        <w:spacing w:after="0" w:line="150" w:lineRule="exact"/>
        <w:rPr>
          <w:sz w:val="20"/>
          <w:szCs w:val="20"/>
          <w:color w:val="auto"/>
        </w:rPr>
      </w:pPr>
    </w:p>
    <w:p>
      <w:pPr>
        <w:jc w:val="center"/>
        <w:ind w:right="1120"/>
        <w:spacing w:after="0"/>
        <w:rPr>
          <w:sz w:val="20"/>
          <w:szCs w:val="20"/>
          <w:color w:val="auto"/>
        </w:rPr>
      </w:pPr>
      <w:r>
        <w:rPr>
          <w:rFonts w:ascii="Arial" w:cs="Arial" w:eastAsia="Arial" w:hAnsi="Arial"/>
          <w:sz w:val="10"/>
          <w:szCs w:val="10"/>
          <w:color w:val="auto"/>
        </w:rPr>
        <w:t>See “</w:t>
      </w:r>
      <w:r>
        <w:rPr>
          <w:rFonts w:ascii="Arial" w:cs="Arial" w:eastAsia="Arial" w:hAnsi="Arial"/>
          <w:sz w:val="10"/>
          <w:szCs w:val="10"/>
          <w:i w:val="1"/>
          <w:iCs w:val="1"/>
          <w:color w:val="auto"/>
        </w:rPr>
        <w:t>Risk Factors</w:t>
      </w:r>
      <w:r>
        <w:rPr>
          <w:rFonts w:ascii="Arial" w:cs="Arial" w:eastAsia="Arial" w:hAnsi="Arial"/>
          <w:sz w:val="10"/>
          <w:szCs w:val="10"/>
          <w:color w:val="auto"/>
        </w:rPr>
        <w:t>” beginning on page 6 of this prospectus for a discussion of factors you should carefully consider before investing in our securities.</w:t>
      </w:r>
    </w:p>
    <w:p>
      <w:pPr>
        <w:spacing w:after="0" w:line="290" w:lineRule="exact"/>
        <w:rPr>
          <w:sz w:val="20"/>
          <w:szCs w:val="20"/>
          <w:color w:val="auto"/>
        </w:rPr>
      </w:pPr>
    </w:p>
    <w:p>
      <w:pPr>
        <w:ind w:left="246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2480" w:space="720"/>
            <w:col w:w="8280"/>
          </w:cols>
          <w:pgMar w:left="220" w:top="134" w:right="199" w:bottom="1440" w:gutter="0" w:footer="0" w:header="0"/>
        </w:sectPr>
      </w:pPr>
    </w:p>
    <w:bookmarkStart w:id="9" w:name="page10"/>
    <w:bookmarkEnd w:id="9"/>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The number of shares of common stock to be outstanding after this Offering is based on 25,506,877 shares outstanding as of July 1, 2014, and does </w:t>
      </w:r>
      <w:r>
        <w:rPr>
          <w:rFonts w:ascii="Arial" w:cs="Arial" w:eastAsia="Arial" w:hAnsi="Arial"/>
          <w:sz w:val="12"/>
          <w:szCs w:val="12"/>
          <w:u w:val="single" w:color="auto"/>
          <w:color w:val="auto"/>
        </w:rPr>
        <w:t>not</w:t>
      </w:r>
      <w:r>
        <w:rPr>
          <w:rFonts w:ascii="Arial" w:cs="Arial" w:eastAsia="Arial" w:hAnsi="Arial"/>
          <w:sz w:val="12"/>
          <w:szCs w:val="12"/>
          <w:color w:val="auto"/>
        </w:rPr>
        <w:t xml:space="preserve"> include, as of that date:</w:t>
      </w:r>
    </w:p>
    <w:p>
      <w:pPr>
        <w:spacing w:after="0" w:line="168" w:lineRule="exact"/>
        <w:rPr>
          <w:sz w:val="20"/>
          <w:szCs w:val="20"/>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up to 30,000,000 shares of common stock issuable upon the exercise of the warrants being offered in this Offering;</w:t>
      </w:r>
    </w:p>
    <w:p>
      <w:pPr>
        <w:spacing w:after="0" w:line="150"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1"/>
          <w:szCs w:val="11"/>
          <w:color w:val="auto"/>
        </w:rPr>
      </w:pPr>
      <w:r>
        <w:rPr>
          <w:rFonts w:ascii="Arial" w:cs="Arial" w:eastAsia="Arial" w:hAnsi="Arial"/>
          <w:sz w:val="11"/>
          <w:szCs w:val="11"/>
          <w:color w:val="auto"/>
        </w:rPr>
        <w:t>4,227,357 shares of common stock issuable upon the exercise of outstanding options under our 1999 Stock Incentive Plan and 2008 Stock Incentive Plan, of which approximately 3.73 million were exercisable as of July 1, 2014;</w:t>
      </w:r>
    </w:p>
    <w:p>
      <w:pPr>
        <w:spacing w:after="0" w:line="179" w:lineRule="exact"/>
        <w:rPr>
          <w:rFonts w:ascii="Arial" w:cs="Arial" w:eastAsia="Arial" w:hAnsi="Arial"/>
          <w:sz w:val="11"/>
          <w:szCs w:val="11"/>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735,200 shares of common stock reserved for issuance in connection with future grants under our 2008 Stock Incentive Plan;</w:t>
      </w:r>
    </w:p>
    <w:p>
      <w:pPr>
        <w:spacing w:after="0" w:line="150"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18,981,490 shares of common stock that have been reserved for issuance upon exercise of outstanding warrants, which have exercise prices ranging from $0.50 per share to $2.63 per share;</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15,000,000 shares of common stock reserved for issuance upon the exchange of Series A Preferred Stock (</w:t>
      </w:r>
      <w:r>
        <w:rPr>
          <w:rFonts w:ascii="Arial" w:cs="Arial" w:eastAsia="Arial" w:hAnsi="Arial"/>
          <w:sz w:val="12"/>
          <w:szCs w:val="12"/>
          <w:i w:val="1"/>
          <w:iCs w:val="1"/>
          <w:color w:val="auto"/>
        </w:rPr>
        <w:t>Series A Preferred</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7,500,000 shares of common stock reserved for issuance upon the exercise of warrants issuable upon the exchange of Series A Preferred; and</w:t>
      </w:r>
    </w:p>
    <w:p>
      <w:pPr>
        <w:spacing w:after="0" w:line="150" w:lineRule="exact"/>
        <w:rPr>
          <w:rFonts w:ascii="Arial" w:cs="Arial" w:eastAsia="Arial" w:hAnsi="Arial"/>
          <w:sz w:val="12"/>
          <w:szCs w:val="12"/>
          <w:color w:val="auto"/>
        </w:rPr>
      </w:pPr>
    </w:p>
    <w:p>
      <w:pPr>
        <w:jc w:val="both"/>
        <w:ind w:left="328" w:hanging="328"/>
        <w:spacing w:after="0" w:line="263" w:lineRule="auto"/>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shares of common stock reserved for issuance upon the exchange of newly created Series B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which Series B Preferred will be issued upon automatic conversion of approximately $4.1 million of outstanding senior secured convertible promissory notes and related accrued interest upon consummation of the Offering, assuming gross proceeds from the Offering of at least $10.0 million. See “</w:t>
      </w:r>
      <w:r>
        <w:rPr>
          <w:rFonts w:ascii="Arial" w:cs="Arial" w:eastAsia="Arial" w:hAnsi="Arial"/>
          <w:sz w:val="12"/>
          <w:szCs w:val="12"/>
          <w:i w:val="1"/>
          <w:iCs w:val="1"/>
          <w:color w:val="auto"/>
        </w:rPr>
        <w:t>Description of</w:t>
      </w:r>
      <w:r>
        <w:rPr>
          <w:rFonts w:ascii="Arial" w:cs="Arial" w:eastAsia="Arial" w:hAnsi="Arial"/>
          <w:sz w:val="12"/>
          <w:szCs w:val="12"/>
          <w:color w:val="auto"/>
        </w:rPr>
        <w:t xml:space="preserve"> </w:t>
      </w:r>
      <w:r>
        <w:rPr>
          <w:rFonts w:ascii="Arial" w:cs="Arial" w:eastAsia="Arial" w:hAnsi="Arial"/>
          <w:sz w:val="12"/>
          <w:szCs w:val="12"/>
          <w:i w:val="1"/>
          <w:iCs w:val="1"/>
          <w:color w:val="auto"/>
        </w:rPr>
        <w:t>Securities – Series B Preferred Stock</w:t>
      </w:r>
      <w:r>
        <w:rPr>
          <w:rFonts w:ascii="Arial" w:cs="Arial" w:eastAsia="Arial" w:hAnsi="Arial"/>
          <w:sz w:val="12"/>
          <w:szCs w:val="12"/>
          <w:color w:val="auto"/>
        </w:rPr>
        <w:t>” for a description of the Series B Preferred.</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Platinum Notes</w:t>
      </w:r>
    </w:p>
    <w:p>
      <w:pPr>
        <w:spacing w:after="0" w:line="172"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1"/>
          <w:szCs w:val="11"/>
          <w:color w:val="auto"/>
        </w:rPr>
        <w:t>We have issued certain senior secured convertible promissory notes to Platinum Long Term Growth VII, LLC (</w:t>
      </w:r>
      <w:r>
        <w:rPr>
          <w:rFonts w:ascii="Arial" w:cs="Arial" w:eastAsia="Arial" w:hAnsi="Arial"/>
          <w:sz w:val="11"/>
          <w:szCs w:val="11"/>
          <w:i w:val="1"/>
          <w:iCs w:val="1"/>
          <w:color w:val="auto"/>
        </w:rPr>
        <w:t>Platinum</w:t>
      </w:r>
      <w:r>
        <w:rPr>
          <w:rFonts w:ascii="Arial" w:cs="Arial" w:eastAsia="Arial" w:hAnsi="Arial"/>
          <w:sz w:val="11"/>
          <w:szCs w:val="11"/>
          <w:color w:val="auto"/>
        </w:rPr>
        <w:t>) in the aggregate principal amount of $3,522,600 (</w:t>
      </w:r>
      <w:r>
        <w:rPr>
          <w:rFonts w:ascii="Arial" w:cs="Arial" w:eastAsia="Arial" w:hAnsi="Arial"/>
          <w:sz w:val="11"/>
          <w:szCs w:val="11"/>
          <w:i w:val="1"/>
          <w:iCs w:val="1"/>
          <w:color w:val="auto"/>
        </w:rPr>
        <w:t>Platinum Notes</w:t>
      </w:r>
      <w:r>
        <w:rPr>
          <w:rFonts w:ascii="Arial" w:cs="Arial" w:eastAsia="Arial" w:hAnsi="Arial"/>
          <w:sz w:val="11"/>
          <w:szCs w:val="11"/>
          <w:color w:val="auto"/>
        </w:rPr>
        <w:t>). Platinum and the Company have agreed to convert the Platinum Notes, including all accrued interest thereon, totaling approximately $4.1 million at July 1, 2014, into shares of newly created Series B Preferred upon consummation of the Offering, assuming the Offering results in gross cash proceeds to us of at least $10.0 million. See “</w:t>
      </w:r>
      <w:r>
        <w:rPr>
          <w:rFonts w:ascii="Arial" w:cs="Arial" w:eastAsia="Arial" w:hAnsi="Arial"/>
          <w:sz w:val="11"/>
          <w:szCs w:val="11"/>
          <w:i w:val="1"/>
          <w:iCs w:val="1"/>
          <w:color w:val="auto"/>
        </w:rPr>
        <w:t>Description of Securities – Series B Preferred Stock</w:t>
      </w:r>
      <w:r>
        <w:rPr>
          <w:rFonts w:ascii="Arial" w:cs="Arial" w:eastAsia="Arial" w:hAnsi="Arial"/>
          <w:sz w:val="11"/>
          <w:szCs w:val="11"/>
          <w:color w:val="auto"/>
        </w:rPr>
        <w:t>”. Upon conversion of the Platinum Notes, the security agreement executed by the parties securing all obligations under the terms of the Platinum Notes will be terminated, and be of no further force and effect. In addition, upon consummation of the Offering, assuming the Offering results in gross proceeds to us of at least $10.0 million, in addition to certain other changes, the exercise price of certain warrants issued to Platinum will be fixed at the price per share of common stock sold in the Offering.</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 w:name="page11"/>
    <w:bookmarkEnd w:id="1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SUMMARY FINANCIAL DATA</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following table presents summary financial data for the periods indicated. The summary statements of operations data for the years ended March 31, 2014 and 2013 and the balance sheet data as of March 31, 2014 and 2013 have been derived from our audited financial statements and notes thereto, which are included elsewhere in this prospectus. Our historical results are not necessarily indicative of the results that may be expected in the future, and our interim results are not necessarily indicative of the results to be expected for the full fiscal year. You should read this information together with our financial statements and related notes, “</w:t>
      </w:r>
      <w:r>
        <w:rPr>
          <w:rFonts w:ascii="Arial" w:cs="Arial" w:eastAsia="Arial" w:hAnsi="Arial"/>
          <w:sz w:val="12"/>
          <w:szCs w:val="12"/>
          <w:i w:val="1"/>
          <w:iCs w:val="1"/>
          <w:color w:val="auto"/>
        </w:rPr>
        <w:t>Management’s Discussion and Analysis of Financial Condition</w:t>
      </w:r>
      <w:r>
        <w:rPr>
          <w:rFonts w:ascii="Arial" w:cs="Arial" w:eastAsia="Arial" w:hAnsi="Arial"/>
          <w:sz w:val="12"/>
          <w:szCs w:val="12"/>
          <w:color w:val="auto"/>
        </w:rPr>
        <w:t xml:space="preserve"> </w:t>
      </w:r>
      <w:r>
        <w:rPr>
          <w:rFonts w:ascii="Arial" w:cs="Arial" w:eastAsia="Arial" w:hAnsi="Arial"/>
          <w:sz w:val="12"/>
          <w:szCs w:val="12"/>
          <w:i w:val="1"/>
          <w:iCs w:val="1"/>
          <w:color w:val="auto"/>
        </w:rPr>
        <w:t>and Results of Operations</w:t>
      </w:r>
      <w:r>
        <w:rPr>
          <w:rFonts w:ascii="Arial" w:cs="Arial" w:eastAsia="Arial" w:hAnsi="Arial"/>
          <w:sz w:val="12"/>
          <w:szCs w:val="12"/>
          <w:color w:val="auto"/>
        </w:rPr>
        <w:t>,” “</w:t>
      </w:r>
      <w:r>
        <w:rPr>
          <w:rFonts w:ascii="Arial" w:cs="Arial" w:eastAsia="Arial" w:hAnsi="Arial"/>
          <w:sz w:val="12"/>
          <w:szCs w:val="12"/>
          <w:i w:val="1"/>
          <w:iCs w:val="1"/>
          <w:color w:val="auto"/>
        </w:rPr>
        <w:t>Use of Proceeds</w:t>
      </w:r>
      <w:r>
        <w:rPr>
          <w:rFonts w:ascii="Arial" w:cs="Arial" w:eastAsia="Arial" w:hAnsi="Arial"/>
          <w:sz w:val="12"/>
          <w:szCs w:val="12"/>
          <w:color w:val="auto"/>
        </w:rPr>
        <w:t>” and “</w:t>
      </w:r>
      <w:r>
        <w:rPr>
          <w:rFonts w:ascii="Arial" w:cs="Arial" w:eastAsia="Arial" w:hAnsi="Arial"/>
          <w:sz w:val="12"/>
          <w:szCs w:val="12"/>
          <w:i w:val="1"/>
          <w:iCs w:val="1"/>
          <w:color w:val="auto"/>
        </w:rPr>
        <w:t>Capitalization</w:t>
      </w:r>
      <w:r>
        <w:rPr>
          <w:rFonts w:ascii="Arial" w:cs="Arial" w:eastAsia="Arial" w:hAnsi="Arial"/>
          <w:sz w:val="12"/>
          <w:szCs w:val="12"/>
          <w:color w:val="auto"/>
        </w:rPr>
        <w:t>” included elsewhere in this prospectus.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60" w:type="dxa"/>
            <w:vAlign w:val="bottom"/>
            <w:gridSpan w:val="2"/>
          </w:tcPr>
          <w:p>
            <w:pPr>
              <w:spacing w:after="0"/>
              <w:rPr>
                <w:sz w:val="20"/>
                <w:szCs w:val="20"/>
                <w:color w:val="auto"/>
              </w:rPr>
            </w:pPr>
            <w:r>
              <w:rPr>
                <w:rFonts w:ascii="Arial" w:cs="Arial" w:eastAsia="Arial" w:hAnsi="Arial"/>
                <w:sz w:val="12"/>
                <w:szCs w:val="12"/>
                <w:b w:val="1"/>
                <w:bCs w:val="1"/>
                <w:color w:val="auto"/>
              </w:rPr>
              <w:t>(Dollars in thousands, except share and per share data)</w:t>
            </w:r>
          </w:p>
        </w:tc>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Fiscal Year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Grant revenue</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Total revenues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42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2,481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Total operating expenses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5,029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(5,029)</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Other expenses, net:</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Change in warrant liabilities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3,567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on early extinguishment of debt</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Other income</w:t>
            </w:r>
          </w:p>
        </w:tc>
        <w:tc>
          <w:tcPr>
            <w:tcW w:w="4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Income taxes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42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45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(0.14)</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45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(0.19)</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5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Diluted net loss attributable to common stockholders per common share</w:t>
            </w:r>
          </w:p>
        </w:tc>
        <w:tc>
          <w:tcPr>
            <w:tcW w:w="4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21,973,149</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4540" w:type="dxa"/>
            <w:vAlign w:val="bottom"/>
            <w:tcBorders>
              <w:top w:val="single" w:sz="8" w:color="CCEEFF"/>
            </w:tcBorders>
          </w:tcPr>
          <w:p>
            <w:pPr>
              <w:spacing w:after="0"/>
              <w:rPr>
                <w:sz w:val="24"/>
                <w:szCs w:val="24"/>
                <w:color w:val="auto"/>
              </w:rPr>
            </w:pPr>
          </w:p>
        </w:tc>
        <w:tc>
          <w:tcPr>
            <w:tcW w:w="4280" w:type="dxa"/>
            <w:vAlign w:val="bottom"/>
            <w:tcBorders>
              <w:top w:val="single" w:sz="8" w:color="CCEEFF"/>
            </w:tcBorders>
          </w:tcPr>
          <w:p>
            <w:pPr>
              <w:jc w:val="right"/>
              <w:ind w:right="2980"/>
              <w:spacing w:after="0"/>
              <w:rPr>
                <w:sz w:val="20"/>
                <w:szCs w:val="20"/>
                <w:color w:val="auto"/>
              </w:rPr>
            </w:pPr>
            <w:r>
              <w:rPr>
                <w:rFonts w:ascii="Arial" w:cs="Arial" w:eastAsia="Arial" w:hAnsi="Arial"/>
                <w:sz w:val="12"/>
                <w:szCs w:val="12"/>
                <w:color w:val="auto"/>
              </w:rPr>
              <w:t>-5-</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40" w:type="dxa"/>
            <w:vAlign w:val="bottom"/>
            <w:tcBorders>
              <w:bottom w:val="single" w:sz="8" w:color="808080"/>
            </w:tcBorders>
          </w:tcPr>
          <w:p>
            <w:pPr>
              <w:spacing w:after="0"/>
              <w:rPr>
                <w:sz w:val="6"/>
                <w:szCs w:val="6"/>
                <w:color w:val="auto"/>
              </w:rPr>
            </w:pPr>
          </w:p>
        </w:tc>
        <w:tc>
          <w:tcPr>
            <w:tcW w:w="42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 w:name="page12"/>
    <w:bookmarkEnd w:id="11"/>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Our Business and Strategy</w:t>
      </w:r>
    </w:p>
    <w:p>
      <w:pPr>
        <w:spacing w:after="0" w:line="172"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b w:val="1"/>
          <w:bCs w:val="1"/>
          <w:i w:val="1"/>
          <w:iCs w:val="1"/>
          <w:color w:val="auto"/>
        </w:rPr>
        <w:t>We are a development stage biotechnology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We are a development stage biotechnology company.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41" w:lineRule="exact"/>
        <w:rPr>
          <w:sz w:val="20"/>
          <w:szCs w:val="20"/>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produce product candidates;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develop and obtain required regulatory approvals for commercialization of products we produce;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maintain, leverage and expand our intellectual property portfolio;</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establish and maintain sales, distribution and marketing capabilities;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gain market acceptance for our products;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obtain adequate capital resources and manage our spending as costs and expenses increase due to research, production, development, regulatory approval and commercialization of product candidates.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b w:val="1"/>
          <w:bCs w:val="1"/>
          <w:i w:val="1"/>
          <w:iCs w:val="1"/>
          <w:color w:val="auto"/>
        </w:rPr>
        <w:t>Our future success is highly dependent upon our ability to produce product candidates, including Drug Rescue Variants, using stem cell technology, human cells derived from stem cells, our proprietary human cell-based bioassay systems and medicinal chemistry, and we cannot provide any assurance that we will successfully produce Drug Rescue Variants or other product candidates, or that, if produced, any of our Drug Rescue Variants or other product candidates will be developed and commercialized.</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Research programs designed to identify and produce product candidates, including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require substantial technical, financial and human resources, whether or not any product candidates are ultimately identified and produced. In particular, our drug rescue programs may initially show promise in identifying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yet fail to yield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suitable for preclinical, clinical development or commercialization for many reasons, including the following:</w:t>
      </w:r>
    </w:p>
    <w:p>
      <w:pPr>
        <w:spacing w:after="0" w:line="141" w:lineRule="exact"/>
        <w:rPr>
          <w:sz w:val="20"/>
          <w:szCs w:val="20"/>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our research methodology may not be successful in identifying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competitors may develop alternatives that render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on further study, be shown to have harmful side effects or other characteristics that indicate it is unlikely to be effective or otherwise does not meet applicable regulatory criteria;</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w:t>
      </w:r>
      <w:r>
        <w:rPr>
          <w:rFonts w:ascii="Arial" w:cs="Arial" w:eastAsia="Arial" w:hAnsi="Arial"/>
          <w:sz w:val="12"/>
          <w:szCs w:val="12"/>
          <w:color w:val="auto"/>
        </w:rPr>
        <w:t>t may not be capable of being produced in commercial quantities at an acceptable cost, or at all; 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not be accepted as safe and effective by regulatory authorities, patients, the medical community or third-party payors.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2" w:name="page13"/>
    <w:bookmarkEnd w:id="1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In addition, we do not have a sales or marketing infrastructure, and we, including our executive officers, do not have any significant sales, marketing or distribution experience. We will seek to collaborate with others to develop and commercialize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future products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 candidates or may be unable to do so on terms that are favorable to us, if any are developed.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47"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b w:val="1"/>
          <w:bCs w:val="1"/>
          <w:i w:val="1"/>
          <w:iCs w:val="1"/>
          <w:color w:val="auto"/>
        </w:rPr>
        <w:t>We have limited operating history with respect to drug development, including our anticipated focus on the identification and assessment of potential Drug Rescue Candidates and no operating history with respect to the production of Drug Rescue Variants, and we may never be able to produce a Drug Rescue Variant.</w:t>
      </w:r>
    </w:p>
    <w:p>
      <w:pPr>
        <w:spacing w:after="0" w:line="133"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If we are unable to identify suitable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for our drug rescue programs, including AV-101, or produce suitable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 There are a number of factors, in addition to the utility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that may impact our ability to identify and assess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produce, develop or out-license and commercialize </w:t>
      </w:r>
      <w:r>
        <w:rPr>
          <w:rFonts w:ascii="Arial" w:cs="Arial" w:eastAsia="Arial" w:hAnsi="Arial"/>
          <w:sz w:val="12"/>
          <w:szCs w:val="12"/>
          <w:i w:val="1"/>
          <w:iCs w:val="1"/>
          <w:color w:val="auto"/>
        </w:rPr>
        <w:t>Drug Rescue Variants</w:t>
      </w:r>
      <w:r>
        <w:rPr>
          <w:rFonts w:ascii="Arial" w:cs="Arial" w:eastAsia="Arial" w:hAnsi="Arial"/>
          <w:sz w:val="12"/>
          <w:szCs w:val="12"/>
          <w:color w:val="auto"/>
        </w:rPr>
        <w:t>, independently or with strategic partners, including:</w:t>
      </w:r>
    </w:p>
    <w:p>
      <w:pPr>
        <w:spacing w:after="0" w:line="143" w:lineRule="exact"/>
        <w:rPr>
          <w:sz w:val="20"/>
          <w:szCs w:val="20"/>
          <w:color w:val="auto"/>
        </w:rPr>
      </w:pPr>
    </w:p>
    <w:p>
      <w:pPr>
        <w:ind w:left="428" w:hanging="428"/>
        <w:spacing w:after="0"/>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our ability to 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in the public domain, obtain sufficient quantities of them, and assess them using our bioassay systems;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if we seek to rescue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that are not available to us in the public domain, the extent to which third parties may be willing to out-license or sell certain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to us on commercially reasonable terms;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6"/>
        </w:numPr>
        <w:rPr>
          <w:rFonts w:ascii="Arial" w:cs="Arial" w:eastAsia="Arial" w:hAnsi="Arial"/>
          <w:sz w:val="11"/>
          <w:szCs w:val="11"/>
          <w:color w:val="auto"/>
        </w:rPr>
      </w:pPr>
      <w:r>
        <w:rPr>
          <w:rFonts w:ascii="Arial" w:cs="Arial" w:eastAsia="Arial" w:hAnsi="Arial"/>
          <w:sz w:val="11"/>
          <w:szCs w:val="11"/>
          <w:color w:val="auto"/>
        </w:rPr>
        <w:t xml:space="preserve">our medicinal chemistry collaborator’s ability to design and produce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based on the novel biology and structure-function insight we provide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w:t>
      </w:r>
    </w:p>
    <w:p>
      <w:pPr>
        <w:spacing w:after="0" w:line="179" w:lineRule="exact"/>
        <w:rPr>
          <w:rFonts w:ascii="Arial" w:cs="Arial" w:eastAsia="Arial" w:hAnsi="Arial"/>
          <w:sz w:val="11"/>
          <w:szCs w:val="11"/>
          <w:color w:val="auto"/>
        </w:rPr>
      </w:pPr>
    </w:p>
    <w:p>
      <w:pPr>
        <w:ind w:left="428" w:hanging="428"/>
        <w:spacing w:after="0" w:line="276" w:lineRule="auto"/>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financial resources available to us to develop and commercialize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internally, or, if we out-license them to strategic partners, the resources such partners choose to dedicate to development and commercialization of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they license from us.</w:t>
      </w:r>
    </w:p>
    <w:p>
      <w:pPr>
        <w:spacing w:after="0" w:line="133"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 xml:space="preserve">Even if we do produce a </w:t>
      </w:r>
      <w:r>
        <w:rPr>
          <w:rFonts w:ascii="Arial" w:cs="Arial" w:eastAsia="Arial" w:hAnsi="Arial"/>
          <w:sz w:val="11"/>
          <w:szCs w:val="11"/>
          <w:i w:val="1"/>
          <w:iCs w:val="1"/>
          <w:color w:val="auto"/>
        </w:rPr>
        <w:t>Drug Rescue Variant</w:t>
      </w:r>
      <w:r>
        <w:rPr>
          <w:rFonts w:ascii="Arial" w:cs="Arial" w:eastAsia="Arial" w:hAnsi="Arial"/>
          <w:sz w:val="11"/>
          <w:szCs w:val="11"/>
          <w:color w:val="auto"/>
        </w:rPr>
        <w:t>, we can give no assurance that we will be able to develop and commercialize it as a marketable drug, on our own or in a strategic collaboration. Before we generate any revenues from product sales, we must produce additional product candidates through drug rescue and we or our potential strategic collaborator must complete preclinical and clinical development of one or more of our product candidates, conduct human subject research,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3" w:name="page14"/>
    <w:bookmarkEnd w:id="1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Our 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internal studies have not been subjected external peer review or validation.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Our internal studies conducted to correlate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results with reported clinical results of reference compounds, and our ability to use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to predict the cardiac effects, both toxic and nontoxic, of </w:t>
      </w:r>
      <w:r>
        <w:rPr>
          <w:rFonts w:ascii="Arial" w:cs="Arial" w:eastAsia="Arial" w:hAnsi="Arial"/>
          <w:sz w:val="11"/>
          <w:szCs w:val="11"/>
          <w:i w:val="1"/>
          <w:iCs w:val="1"/>
          <w:color w:val="auto"/>
        </w:rPr>
        <w:t>Drug Rescue</w:t>
      </w:r>
      <w:r>
        <w:rPr>
          <w:rFonts w:ascii="Arial" w:cs="Arial" w:eastAsia="Arial" w:hAnsi="Arial"/>
          <w:sz w:val="11"/>
          <w:szCs w:val="11"/>
          <w:color w:val="auto"/>
        </w:rPr>
        <w:t xml:space="preserve"> </w:t>
      </w:r>
      <w:r>
        <w:rPr>
          <w:rFonts w:ascii="Arial" w:cs="Arial" w:eastAsia="Arial" w:hAnsi="Arial"/>
          <w:sz w:val="11"/>
          <w:szCs w:val="11"/>
          <w:i w:val="1"/>
          <w:iCs w:val="1"/>
          <w:color w:val="auto"/>
        </w:rPr>
        <w:t>Candidates</w:t>
      </w:r>
      <w:r>
        <w:rPr>
          <w:rFonts w:ascii="Arial" w:cs="Arial" w:eastAsia="Arial" w:hAnsi="Arial"/>
          <w:sz w:val="11"/>
          <w:szCs w:val="11"/>
          <w:color w:val="auto"/>
        </w:rPr>
        <w:t>, have not been subjected to external peer review or validation. It is possible, therefore, that the results we have obtained from our internal validation studies may not be replicable by external peer reviewers. We are currently</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focused on identifying and assessing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available in the public domain. However, should we seek to license or acquire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from third-parties, and such third-parties cannot replicate our results or do not have confidence in the capabilities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it may be difficult for us to in-license or acquire from them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which might be of interest to us in the future. In addition, such third-parties may conclude that their current screening models are better than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and that granting a license to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we seek from them is not warranted.</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If CardioSafe </w:t>
      </w:r>
      <w:r>
        <w:rPr>
          <w:rFonts w:ascii="Arial" w:cs="Arial" w:eastAsia="Arial" w:hAnsi="Arial"/>
          <w:sz w:val="11"/>
          <w:szCs w:val="11"/>
          <w:b w:val="1"/>
          <w:bCs w:val="1"/>
          <w:color w:val="auto"/>
        </w:rPr>
        <w:t>3D</w:t>
      </w:r>
      <w:r>
        <w:rPr>
          <w:rFonts w:ascii="Arial" w:cs="Arial" w:eastAsia="Arial" w:hAnsi="Arial"/>
          <w:sz w:val="11"/>
          <w:szCs w:val="11"/>
          <w:b w:val="1"/>
          <w:bCs w:val="1"/>
          <w:i w:val="1"/>
          <w:iCs w:val="1"/>
          <w:color w:val="auto"/>
        </w:rPr>
        <w:t xml:space="preserve"> fails to predict accurately and efficiently the cardiac effects, both toxic and nontoxic, of Drug Rescue Candidates and Drug Rescue Variants, then our drug rescue business will be adversely affected.</w:t>
      </w:r>
    </w:p>
    <w:p>
      <w:pPr>
        <w:spacing w:after="0" w:line="18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Our success is highly dependent on our ability to 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identify and predict, accurately and efficiently, the potential toxic and nontoxic cardiac effects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not capable of providing physiologically relevant and clinically predictive information regarding human cardiac biology, our drug rescue business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We have not yet fully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for potential drug rescue applications, and we may never do so.</w:t>
      </w:r>
    </w:p>
    <w:p>
      <w:pPr>
        <w:spacing w:after="0" w:line="172"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 xml:space="preserve">We have developed proprietary protocols for controlling the differentiation of human pluripotent stem cells to produce functional, mature, adult liver cells. However, we have not yet fully validated our ability to use the human liver cells we produce for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predict important biological effects, both toxic and nontoxic, of reference drugs,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drug discovery, drug rescue and regenerative medicine.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and, if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may not be meaningfully more predictive of the behavior of human cells than existing methods.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The success of our drug rescue business is highly dependent, in the first instance, upon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in the second instance, if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when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will be more efficient or accurate at predicting the heart or liver safety of new drug candidates than the testing models currently used. If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invest in producing Drug Rescue Variants for which there proves to be no demand.</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To generate revenue from our drug rescue activities, we must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demand within the healthcare marketplace, and, if we intend to out-license a particular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for development and commercialization prior to market approval, then also among pharmaceutical companies and other potential strategic collaborators. However, we may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no or limited demand in the healthcare market and/or among pharmaceutical companies and others. If we misinterpret market conditions, underestimate development costs and/or seek to rescue the wrong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we may fail to generate sufficient revenue or other value, on our own or in collaboration with others, to justify our investments, and our drug rescue business may be adversely affected.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 w:name="page15"/>
    <w:bookmarkEnd w:id="1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Our human pluripotent stem cell technology is new and technically complex, and the time and resources necessary to develop new cell types and customized bioassay systems are difficult to predict in advance. We intend to devote significant personnel and financial resources to research and development activities designed to expand, in the case of drug rescue, and explore, in the case of drug discovery and regenerative medicine, potential applications of our </w:t>
      </w:r>
      <w:r>
        <w:rPr>
          <w:rFonts w:ascii="Arial" w:cs="Arial" w:eastAsia="Arial" w:hAnsi="Arial"/>
          <w:sz w:val="11"/>
          <w:szCs w:val="11"/>
          <w:i w:val="1"/>
          <w:iCs w:val="1"/>
          <w:color w:val="auto"/>
        </w:rPr>
        <w:t>Human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Clinical Trials in a Test Tube </w:t>
      </w:r>
      <w:r>
        <w:rPr>
          <w:rFonts w:ascii="Arial" w:cs="Arial" w:eastAsia="Arial" w:hAnsi="Arial"/>
          <w:sz w:val="11"/>
          <w:szCs w:val="11"/>
          <w:color w:val="auto"/>
        </w:rPr>
        <w:t>platform. In particular, we are planning to conduct development programs related to producing and using functional, mature adult liver cells to validate</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as a novel bioassay system for drug rescue,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as well as exploratory nonclinical regenerative medicine programs involving blood, bone, cartilage, heart, liver and insulin-producing pancreatic beta-islet cells. Although we and our collaborators have developed proprietary protocols for the production of multiple differentiated cell types, we may encounter difficulties in differentiating particular cell types, even when following these proprietary protocols. These difficulties may result in delays in production of certain cells, assessment of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t>
      </w:r>
      <w:r>
        <w:rPr>
          <w:rFonts w:ascii="Arial" w:cs="Arial" w:eastAsia="Arial" w:hAnsi="Arial"/>
          <w:sz w:val="11"/>
          <w:szCs w:val="11"/>
          <w:i w:val="1"/>
          <w:iCs w:val="1"/>
          <w:color w:val="auto"/>
        </w:rPr>
        <w:t>Drug Rescue Variants</w:t>
      </w:r>
      <w:r>
        <w:rPr>
          <w:rFonts w:ascii="Arial" w:cs="Arial" w:eastAsia="Arial" w:hAnsi="Arial"/>
          <w:sz w:val="11"/>
          <w:szCs w:val="11"/>
          <w:color w:val="auto"/>
        </w:rPr>
        <w:t>,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liver and pancreatic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liver and insulin-producing pancreatic beta-islet cells could have a substantial and material adverse effect on our potential drug discovery, drug rescue and regenerative medicine business opportunities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keep up with rapid technological changes in our field, we will be unable to operate profitably.</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are engaged in activities in the life sciences field, which is characterized by rapid technological changes, frequent new product introductions, changing needs and preferences, emerging competition, and evolving industry standards. If we fail to anticipate or respond adequately to technological developments, our business, revenue, financial condition and operating results could suffer materially. Although we believe we are the first stem cell technology company focused primarily on drug rescue, there can be no assurance that others are not also working toward or involved in such objectives, and we anticipate that we will face increased competition in the future as competitors develop or access new or improved bioassay systems and explore and enter the drug rescue market with new technologies. Competitors may have significantly greater financial, manufacturing, sales and marketing resources and may be able to respond more quickly and than we can to new opportunities. In light of these advantages, even if our technology is effective in producing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potential development partners might prefer new drug candidates available from others or develop their own new drug candidates in lieu of licensing or purchasing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We may not be able to compete effectively against these organizations. Our failure to compete effectively could materially and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substantial competition, which may result in others discovering, developing or commercializing product candidates before, or more successfully, than we do.</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Our future success depends on our ability to demonstrate and maintain a competitive advantage with respect to the design,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competitors may succeed in developing product candidates for the same indications we are pursuing before we do, obtaining regulatory approval for competing products or gaining acceptance of their products within the same markets that we are targeting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either on our own or in collaboration with a strategic partner, we are not "first to market" with one of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competitive position could be compromised because it may be more difficult for us or our partner to obtain marketing approval for our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 successfully market it as a second competitor. We expect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commercialize, either internally or in collaboration with others, will compete with products from other companies in the biotechnology and pharmaceutical industries.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 w:name="page16"/>
    <w:bookmarkEnd w:id="15"/>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1"/>
          <w:szCs w:val="11"/>
          <w:color w:val="auto"/>
        </w:rPr>
        <w:t>Many of our competitors have substantially greater research and development and commercial infrastructures and financial, technical and personnel resources than we have. We will not be able to compete successfully unless we:</w:t>
      </w:r>
    </w:p>
    <w:p>
      <w:pPr>
        <w:spacing w:after="0" w:line="180" w:lineRule="exact"/>
        <w:rPr>
          <w:sz w:val="20"/>
          <w:szCs w:val="20"/>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design, develop, produce and commercialize, either on our own or with collaborators,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are superior to other products in development or in the market;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attract qualified scientific, medical, sales and marketing and commercial personnel or collaborators;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obtain patent and/or other proprietary protection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obtain, either on our own or in collaboration with strategic partners, required regulatory approvals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Established competitors may invest heavily to quickly discover and develop novel compounds that could make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Other companies, academic institutions, government agencies and other public and private research organizations are conducting research, seeking patent protection and establishing collaborative arrangements for research, development and marketing of assays similar to ours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produce. These companies and institutions also compete with us in recruiting and retaining qualified scientific and management personnel, obtaining collaborators and licensees, as well as in acquiring technologies complementary to our programs.</w:t>
      </w:r>
    </w:p>
    <w:p>
      <w:pPr>
        <w:spacing w:after="0" w:line="141"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 xml:space="preserve">As a result of the foregoing, our competitors may develop more effective or more affordable products, or achieve earlier patent protection or product commercialization than we will. Most significantly, competitive products may render any technologies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develop obsolete, which would negatively impact our business and ability to sustain operations.</w:t>
      </w:r>
    </w:p>
    <w:p>
      <w:pPr>
        <w:spacing w:after="0" w:line="133"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With respect to drug rescue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not otherwise available to us in the public domain, the licensing and acquisition of proprietary small molecule compounds, even compounds that have failed in development due to heart or liver safety concerns, is a highly competitive area, and a number of more established companies may also pursue strategies to license, acquire, rescue and develop small molecule compounds that we may consider to be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Rescue Candidates</w:t>
      </w:r>
      <w:r>
        <w:rPr>
          <w:rFonts w:ascii="Arial" w:cs="Arial" w:eastAsia="Arial" w:hAnsi="Arial"/>
          <w:sz w:val="12"/>
          <w:szCs w:val="12"/>
          <w:color w:val="auto"/>
        </w:rPr>
        <w:t>. These established companies have a competitive advantage over us due to their size, cash resources and greater clinical development and commercialization capabilities. In addition, companies that perceive us to be a</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competitor may be unwilling to sell or license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rights to us. We have limited experience in negotiating licenses to drug candidates and there can be no assurances that we will be able to acquire or obtain licenses to </w:t>
      </w:r>
      <w:r>
        <w:rPr>
          <w:rFonts w:ascii="Arial" w:cs="Arial" w:eastAsia="Arial" w:hAnsi="Arial"/>
          <w:sz w:val="12"/>
          <w:szCs w:val="12"/>
          <w:i w:val="1"/>
          <w:iCs w:val="1"/>
          <w:color w:val="auto"/>
        </w:rPr>
        <w:t xml:space="preserve">Drug Rescue Candidates </w:t>
      </w:r>
      <w:r>
        <w:rPr>
          <w:rFonts w:ascii="Arial" w:cs="Arial" w:eastAsia="Arial" w:hAnsi="Arial"/>
          <w:sz w:val="12"/>
          <w:szCs w:val="12"/>
          <w:color w:val="auto"/>
        </w:rPr>
        <w:t>in the future, on commercially reasonable terms, if at all, should we elect to pursue such third-party licenses. If we are unable to acquire or obtain licenses to</w:t>
      </w:r>
      <w:r>
        <w:rPr>
          <w:rFonts w:ascii="Arial" w:cs="Arial" w:eastAsia="Arial" w:hAnsi="Arial"/>
          <w:sz w:val="12"/>
          <w:szCs w:val="12"/>
          <w:i w:val="1"/>
          <w:iCs w:val="1"/>
          <w:color w:val="auto"/>
        </w:rPr>
        <w:t xml:space="preserve"> Drug Rescue Candidates </w:t>
      </w:r>
      <w:r>
        <w:rPr>
          <w:rFonts w:ascii="Arial" w:cs="Arial" w:eastAsia="Arial" w:hAnsi="Arial"/>
          <w:sz w:val="12"/>
          <w:szCs w:val="12"/>
          <w:color w:val="auto"/>
        </w:rPr>
        <w:t>we seek, our business may be</w:t>
      </w:r>
      <w:r>
        <w:rPr>
          <w:rFonts w:ascii="Arial" w:cs="Arial" w:eastAsia="Arial" w:hAnsi="Arial"/>
          <w:sz w:val="12"/>
          <w:szCs w:val="12"/>
          <w:i w:val="1"/>
          <w:iCs w:val="1"/>
          <w:color w:val="auto"/>
        </w:rPr>
        <w:t xml:space="preserve"> </w:t>
      </w:r>
      <w:r>
        <w:rPr>
          <w:rFonts w:ascii="Arial" w:cs="Arial" w:eastAsia="Arial" w:hAnsi="Arial"/>
          <w:sz w:val="12"/>
          <w:szCs w:val="12"/>
          <w:color w:val="auto"/>
        </w:rPr>
        <w:t>adversely affected.</w:t>
      </w:r>
    </w:p>
    <w:p>
      <w:pPr>
        <w:spacing w:after="0" w:line="14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33"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Some of our most important ongoing and planned research and development programs involve the use of human cells derived from our controlled differentiation of human embryonic stem cells (</w:t>
      </w:r>
      <w:r>
        <w:rPr>
          <w:rFonts w:ascii="Arial" w:cs="Arial" w:eastAsia="Arial" w:hAnsi="Arial"/>
          <w:sz w:val="12"/>
          <w:szCs w:val="12"/>
          <w:i w:val="1"/>
          <w:iCs w:val="1"/>
          <w:color w:val="auto"/>
        </w:rPr>
        <w:t>hESC</w:t>
      </w:r>
      <w:r>
        <w:rPr>
          <w:rFonts w:ascii="Arial" w:cs="Arial" w:eastAsia="Arial" w:hAnsi="Arial"/>
          <w:sz w:val="12"/>
          <w:szCs w:val="12"/>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2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6" w:name="page17"/>
    <w:bookmarkEnd w:id="1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2"/>
          <w:szCs w:val="12"/>
          <w:i w:val="1"/>
          <w:iCs w:val="1"/>
          <w:color w:val="auto"/>
        </w:rPr>
        <w:t>(iPSC</w:t>
      </w:r>
      <w:r>
        <w:rPr>
          <w:rFonts w:ascii="Arial" w:cs="Arial" w:eastAsia="Arial" w:hAnsi="Arial"/>
          <w:sz w:val="12"/>
          <w:szCs w:val="12"/>
          <w:color w:val="auto"/>
        </w:rPr>
        <w:t>s), or our plans to pursue exploratory nonclinical regenerative medicine studies involving human cells derived from iPSCs, because their derivation does not involve the use of embryonic tissues.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Human Clinical Trials in a Test Tube platform could be harmed.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use both hESCs and iPSCs for drug rescue purposes. However, we anticipate that our future exploratory research and development focused on potential regenerative medicine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this would negatively affect our ability to explore expansion of our platform, including, in particular, where it would be preferable to use iPSCs to reproduce rather than approximate the effects of certain specific genetic variations.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attract and retain senior management and key scientific personnel, we may be unable to successfully produce, develop trials and commercialize our Drug Rescue Variants.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Our success depends in part on our continued ability to attract, retain and motivate highly qualified management and scientific and technical personnel. We are highly dependent upon our senior management, as well as other employees, consultants and scientific collaborators. As of the date of this prospectus, we have ten full-time employees, which may make us more reliant on our individual employees than companies with a greater number of employees. The loss of services of any of these individuals could delay or prevent the successful development of potential expansions and applications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and our production and assessment of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or disrupt our administrative functions.</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activities. We may not be able to attract and retain quality personnel on acceptable terms.</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we rely on consultants and advisors, including scientific and clinical advisors, to assist us in designing our research and development strategy, including our drug rescue strategy. Our consultants and advisors may be employed by employers other than us and may have commitments under consulting or advisory contracts with other entities that may limit their availability to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difficulties in managing our growth and expanding our operations successfully.</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As we seek to advance our proposed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programs,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develop and validate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 w:name="page18"/>
    <w:bookmarkEnd w:id="1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If product liability lawsuits are brought against us, we may incur substantial liabilities and may be required to limit commercialization of our product candidates.</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If we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regenerative medicine products, either on our own or in collaboration with others, we will face an inherent risk of product liability as a result of the required clinical testing of such product candidates, and will face an even greater risk if we or our collaborators commercialize any such products. For example, we may be sued if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regenerative medicine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7" w:lineRule="exact"/>
        <w:rPr>
          <w:sz w:val="20"/>
          <w:szCs w:val="20"/>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decreased demand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products that we may develop;</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injury to our reputation;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costs to defend the related litigation;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product recalls, withdrawals or labeling, marketing or promotional restrictions;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inability to commercialize our product candidates;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a decline in our stock price.</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8" w:name="page19"/>
    <w:bookmarkEnd w:id="1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To the extent we enter into licensing or collaboration agreements to develop and commercialize our product candidates, including Drug Rescue Variants, our dependence on such relationships may adversely affect our business.</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may enter into strategic partnerships in the future, including collaborations with other biotechnology or pharmaceutical companies, to enhance and accelerate the development and commercialization of our product candidates. Our strategy to produce, develop and commercialize our product candidates, including any </w:t>
      </w:r>
      <w:r>
        <w:rPr>
          <w:rFonts w:ascii="Arial" w:cs="Arial" w:eastAsia="Arial" w:hAnsi="Arial"/>
          <w:sz w:val="11"/>
          <w:szCs w:val="11"/>
          <w:i w:val="1"/>
          <w:iCs w:val="1"/>
          <w:color w:val="auto"/>
        </w:rPr>
        <w:t>Drug Rescue Variants</w:t>
      </w:r>
      <w:r>
        <w:rPr>
          <w:rFonts w:ascii="Arial" w:cs="Arial" w:eastAsia="Arial" w:hAnsi="Arial"/>
          <w:sz w:val="11"/>
          <w:szCs w:val="11"/>
          <w:color w:val="auto"/>
        </w:rPr>
        <w:t>, may depend on our ability to enter into such agreements with third-party collaborators. We face significant competition in seeking appropriate strategic partners. Supporting diligence activities conducted by potential collaborators and negotiating the financial and other terms of a collaboration agreement are long and complex processes with uncertain results. Moreover, we may not be successful in our efforts to establish a strategic partnership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entering into one or more strategic collaboration agreements with third-parties, such collaborations may involve greater uncertainty for us, as we may have less control over certain aspects of our collaborative programs than we do over our proprietary internal development and commercialization programs. We may determine that continuing a collaborative arrangement under the terms provided is not in our best interest, and we may terminate the collaboration. Our collaborators could also delay or terminate their agreements, and our products subject to collaborative arrangements may never be successfully commercialized.</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Further, our future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revenues. In addition, we could have disputes with our future collaborators, such as the interpretation of terms in our agreements. Any such disagreements could lead to delays in the development or commercialization of potential products or could result in time-consuming and expensive litigation or arbitration, which may not be resolved in our favor.</w:t>
      </w:r>
    </w:p>
    <w:p>
      <w:pPr>
        <w:spacing w:after="0" w:line="143"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Even with respect to certain other products that we intend to commercialize ourselves, we may enter into agreements with collaborators to share in the burden of conducting preclinical studies,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future collaborative arrangements may not be successful.</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We cannot provide any assurance that our future collaborations will not terminate development before achievement of revenue-generating milestones or market approval, that our future collaborative arrangements will result in successful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or that we will derive any revenues from such future arrangements.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and our collaborators’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Healthcare providers, physicians and third-party payors in the United States and elsewhere will play a primary role in the recommendation and prescription of any product candidates for which we may obtain marketing approval. Our or our future collaborator’s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they obtain marketing approval. Restrictions under applicable federal, state and foreign healthcare laws and regulations include the following: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9" w:name="page20"/>
    <w:bookmarkEnd w:id="19"/>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line="323" w:lineRule="auto"/>
        <w:tabs>
          <w:tab w:leader="none" w:pos="428"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09" w:lineRule="exact"/>
        <w:rPr>
          <w:rFonts w:ascii="Arial" w:cs="Arial" w:eastAsia="Arial" w:hAnsi="Arial"/>
          <w:sz w:val="11"/>
          <w:szCs w:val="11"/>
          <w:color w:val="auto"/>
        </w:rPr>
      </w:pPr>
    </w:p>
    <w:p>
      <w:pPr>
        <w:ind w:left="428" w:hanging="428"/>
        <w:spacing w:after="0" w:line="323" w:lineRule="auto"/>
        <w:tabs>
          <w:tab w:leader="none" w:pos="428"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109" w:lineRule="exact"/>
        <w:rPr>
          <w:rFonts w:ascii="Arial" w:cs="Arial" w:eastAsia="Arial" w:hAnsi="Arial"/>
          <w:sz w:val="11"/>
          <w:szCs w:val="11"/>
          <w:color w:val="auto"/>
        </w:rPr>
      </w:pPr>
    </w:p>
    <w:p>
      <w:pPr>
        <w:jc w:val="both"/>
        <w:ind w:left="428" w:hanging="428"/>
        <w:spacing w:after="0" w:line="259"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w:t>
      </w:r>
      <w:r>
        <w:rPr>
          <w:rFonts w:ascii="Arial" w:cs="Arial" w:eastAsia="Arial" w:hAnsi="Arial"/>
          <w:sz w:val="12"/>
          <w:szCs w:val="12"/>
          <w:i w:val="1"/>
          <w:iCs w:val="1"/>
          <w:color w:val="auto"/>
        </w:rPr>
        <w:t>HIPAA</w:t>
      </w:r>
      <w:r>
        <w:rPr>
          <w:rFonts w:ascii="Arial" w:cs="Arial" w:eastAsia="Arial" w:hAnsi="Arial"/>
          <w:sz w:val="12"/>
          <w:szCs w:val="12"/>
          <w:color w:val="auto"/>
        </w:rPr>
        <w:t>), as amended by the Health Information Technology for Economic and Clinical Health Act (</w:t>
      </w:r>
      <w:r>
        <w:rPr>
          <w:rFonts w:ascii="Arial" w:cs="Arial" w:eastAsia="Arial" w:hAnsi="Arial"/>
          <w:sz w:val="12"/>
          <w:szCs w:val="12"/>
          <w:i w:val="1"/>
          <w:iCs w:val="1"/>
          <w:color w:val="auto"/>
        </w:rPr>
        <w:t>HITECH</w:t>
      </w:r>
      <w:r>
        <w:rPr>
          <w:rFonts w:ascii="Arial" w:cs="Arial" w:eastAsia="Arial" w:hAnsi="Arial"/>
          <w:sz w:val="12"/>
          <w:szCs w:val="12"/>
          <w:color w:val="auto"/>
        </w:rPr>
        <w:t>),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4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32" w:lineRule="exact"/>
        <w:rPr>
          <w:rFonts w:ascii="Arial" w:cs="Arial" w:eastAsia="Arial" w:hAnsi="Arial"/>
          <w:sz w:val="12"/>
          <w:szCs w:val="12"/>
          <w:color w:val="auto"/>
        </w:rPr>
      </w:pPr>
    </w:p>
    <w:p>
      <w:pPr>
        <w:jc w:val="both"/>
        <w:ind w:left="428" w:hanging="428"/>
        <w:spacing w:after="0" w:line="298" w:lineRule="auto"/>
        <w:tabs>
          <w:tab w:leader="none" w:pos="428" w:val="left"/>
        </w:tabs>
        <w:numPr>
          <w:ilvl w:val="0"/>
          <w:numId w:val="9"/>
        </w:numPr>
        <w:rPr>
          <w:rFonts w:ascii="Arial" w:cs="Arial" w:eastAsia="Arial" w:hAnsi="Arial"/>
          <w:sz w:val="11"/>
          <w:szCs w:val="11"/>
          <w:color w:val="auto"/>
        </w:rPr>
      </w:pPr>
      <w:r>
        <w:rPr>
          <w:rFonts w:ascii="Arial" w:cs="Arial" w:eastAsia="Arial" w:hAnsi="Arial"/>
          <w:sz w:val="11"/>
          <w:szCs w:val="11"/>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23" w:lineRule="exact"/>
        <w:rPr>
          <w:rFonts w:ascii="Arial" w:cs="Arial" w:eastAsia="Arial" w:hAnsi="Arial"/>
          <w:sz w:val="11"/>
          <w:szCs w:val="11"/>
          <w:color w:val="auto"/>
        </w:rPr>
      </w:pPr>
    </w:p>
    <w:p>
      <w:pPr>
        <w:ind w:left="428" w:hanging="428"/>
        <w:spacing w:after="0"/>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analogous anti-kickback, fraud and abuse and healthcare laws and regulations in foreign countries.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Efforts to ensure that our and our future collaborators’ business arrangements with third parties will comply with applicable healthcare laws and regulations will involve substantial costs. It is possible that governmental authorities will conclude that our or their business practices may not comply with current or future statutes, regulations or case law involving applicable fraud and abuse or other healthcare laws and regulations. If our or their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or our collaborators expect to do business are found to be not in compliance with applicable laws, they may be subject to criminal, civil or administrative sanctions, including exclusions from government funded healthcare programs.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0" w:name="page21"/>
    <w:bookmarkEnd w:id="2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33"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social and ethical concerns surrounding the use of iPSCs, biological materials and genetic information could impair our operations.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1" w:name="page22"/>
    <w:bookmarkEnd w:id="2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Our human cells and human cell-based bioassay systems, including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are not currently sold, for research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cells we derive from human pluripotent stem cells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intend to rely on third-party contract manufacturers to produce our product candidate supplies and to produce commercial supplies of any approved product candidates we develop on our own. Any failure by a third-party manufacturer to produce for us supplies of product candidates we elect to develop on our own may delay or impair our ability to initiate or complete clinical trials, commercialize our product candidates, or continue to sell any products we commercialize.</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do not currently own or operate any manufacturing facilities, and we lack sufficient internal staff to produce product candidate supplies ourselves. As a result, we have worked with, and plan to continue to work with, third-party contract manufacturers to produce sufficient quantities of our product candidates for future preclinical and clinical testing and commercialization, if needed. If we are unable to arrange for such a third-party manufacturing source, or fail to do so on commercially reasonable terms or on a timely basis, we or our potential strategic partner may not be able to successfully produce, develop, and market our product candidates or may be delayed in doing so.</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Reliance on third-party manufacturers entails risks to which we or our potential collaborators would not be subject if we or they manufactured product candidates ourselves or themselves,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the possibility of termination or nonrenewal of the agreement by the third party, based on its own business priorities, at a time that is costly or damaging to us, or misappropriation of proprietary formulas or protocols. We will be, and our potential strategic partners may be, dependent, on the ability of these third-party manufacturers to produce adequate supplies of drug product to support development programs and future commercialization of our product candidates. In addition, the FDA and other regulatory authorities require that all product candidates be manufactured according to cGMP and similar foreign standards. Any failure by our or our collaborators’ third-party manufacturers to comply with cGMP or failure to scale up manufacturing processes, including any failure to deliver sufficient quantities of product candidates in a timely manner, could lead to a delay in, or failure to obtain, regulatory approval for trial initiation or marketing of any product candidates we may produce, including </w:t>
      </w:r>
      <w:r>
        <w:rPr>
          <w:rFonts w:ascii="Arial" w:cs="Arial" w:eastAsia="Arial" w:hAnsi="Arial"/>
          <w:sz w:val="11"/>
          <w:szCs w:val="11"/>
          <w:i w:val="1"/>
          <w:iCs w:val="1"/>
          <w:color w:val="auto"/>
        </w:rPr>
        <w:t>Drug Rescue Variants</w:t>
      </w:r>
      <w:r>
        <w:rPr>
          <w:rFonts w:ascii="Arial" w:cs="Arial" w:eastAsia="Arial" w:hAnsi="Arial"/>
          <w:sz w:val="11"/>
          <w:szCs w:val="11"/>
          <w:color w:val="auto"/>
        </w:rPr>
        <w:t>. In addition, such failure could be the basis for action by the FDA to withdraw approvals for product candidates previously granted and for other regulatory action, including recall or seizure, fines, imposition of operating restrictions, total or partial suspension of production or injunctions.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2" w:name="page23"/>
    <w:bookmarkEnd w:id="2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We will, and our potential strategic partners may, rely on contract manufacturers to purchase from third-party suppliers the materials necessary to produce our product candidates for required studies. There may be a small number of suppliers for certain capital equipment and materials that we or our collaborators use to manufacture our product candidates. Such suppliers may not sell these materials to our manufacturers at the times we or they need them or on commercially reasonable terms. We will not have any control over the process or timing of the acquisition of these materials by our manufacturers. Although we and our collaborators generally will not begin a required study unless we or they believe a sufficient supply of a product candidate exists to complete the study, any significant delay in the supply of a product candidate or the material components thereof for an ongoing study due to the need to replace a third-party manufacturer could considerably delay completion of the studies, product testing and potential regulatory approval. If we or our manufacturers are unable to purchase these materials after regulatory approval has been obtained for our product candidates, the commercial launch of our product candidates could be delayed or there could be a shortage in supply, which would impair our ability to generate revenues from the sale of our product candidates.</w:t>
      </w:r>
    </w:p>
    <w:p>
      <w:pPr>
        <w:spacing w:after="0" w:line="132"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In addition, we or our potential strategic partner may need to optimize the manufacturing processes for a particular drug substance and/or drug product so that certain product candidates may be produced in sufficient quantities of adequate quality, and at an acceptable cost, to support required development activities and commercialization. Contract manufacturers may not be able to adequately demonstrate that an optimized product candidate is comparable to a previously manufactured product candidate which could cause significant delays and increased costs to our or our collaborators’ development programs. Our manufacturers may not be able to manufacture our product candidates at a cost or in quantities or in a timely manner necessary to develop and commercialize them. If we successfully commercialize any of our drugs, we may be required to establish or access large-scale commercial manufacturing capabilities. In addition, assuming that our drug development pipeline increases and matures, we will have a greater need for clinical trial and commercial manufacturing capacity. To meet our projected needs for commercial manufacturing, third party manufactures with whom we work will need to increase their scale of production or we will need to secure alternate suppliers.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Production, Development, and Regulatory Approval of Product Candidates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Even if we are able to begin clinical trails for a Drug Rescue Variant, we may encounter considerable delays and/or expend considerable resources without producing a marketable product capable of generating revenue.</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We may never generate revenues from sales of 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any other product because of a variety of risks inherent in our business, including the following:</w:t>
      </w:r>
    </w:p>
    <w:p>
      <w:pPr>
        <w:spacing w:after="0" w:line="168" w:lineRule="exact"/>
        <w:rPr>
          <w:sz w:val="20"/>
          <w:szCs w:val="20"/>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clinical trials may not demonstrate the safety and efficacy of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completion of nonclinical or clinical trials may be delayed, or costs of nonclinical or clinical trials may exceed anticipated amounts;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we may not be able to obtain regulatory approval of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 or we may experience delays in obtaining any such approval;</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we may not be able to manufacture, or have manufactured for us,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economically, timely and on a commercial scale;</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we and any licensees of ours may not be able to successfully market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 xml:space="preserve">physicians may not prescribe our products, or patients or third party payors may not accept our </w:t>
      </w:r>
      <w:r>
        <w:rPr>
          <w:rFonts w:ascii="Arial" w:cs="Arial" w:eastAsia="Arial" w:hAnsi="Arial"/>
          <w:sz w:val="11"/>
          <w:szCs w:val="11"/>
          <w:i w:val="1"/>
          <w:iCs w:val="1"/>
          <w:color w:val="auto"/>
        </w:rPr>
        <w:t>Drug Rescue Variants</w:t>
      </w:r>
      <w:r>
        <w:rPr>
          <w:rFonts w:ascii="Arial" w:cs="Arial" w:eastAsia="Arial" w:hAnsi="Arial"/>
          <w:sz w:val="11"/>
          <w:szCs w:val="11"/>
          <w:color w:val="auto"/>
        </w:rPr>
        <w:t>, other drug candidates, biological candidates or regenerative medicine product candidates;</w:t>
      </w:r>
    </w:p>
    <w:p>
      <w:pPr>
        <w:spacing w:after="0" w:line="179" w:lineRule="exact"/>
        <w:rPr>
          <w:rFonts w:ascii="Arial" w:cs="Arial" w:eastAsia="Arial" w:hAnsi="Arial"/>
          <w:sz w:val="11"/>
          <w:szCs w:val="11"/>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others may have proprietary rights which prevent us from marketing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competitors may sell similar, superior or lower-cost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309245</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3" w:name="page24"/>
    <w:bookmarkEnd w:id="2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In the event we are able to begin a clinical trial of a </w:t>
      </w:r>
      <w:r>
        <w:rPr>
          <w:rFonts w:ascii="Arial" w:cs="Arial" w:eastAsia="Arial" w:hAnsi="Arial"/>
          <w:sz w:val="12"/>
          <w:szCs w:val="12"/>
          <w:i w:val="1"/>
          <w:iCs w:val="1"/>
          <w:color w:val="auto"/>
        </w:rPr>
        <w:t>Drug Rescue Variant</w:t>
      </w:r>
      <w:r>
        <w:rPr>
          <w:rFonts w:ascii="Arial" w:cs="Arial" w:eastAsia="Arial" w:hAnsi="Arial"/>
          <w:sz w:val="12"/>
          <w:szCs w:val="12"/>
          <w:color w:val="auto"/>
        </w:rPr>
        <w:t>, our or our collaborator’s future clinical trials may be delayed or halted for many reasons, including:</w:t>
      </w:r>
    </w:p>
    <w:p>
      <w:pPr>
        <w:spacing w:after="0" w:line="168" w:lineRule="exact"/>
        <w:rPr>
          <w:sz w:val="20"/>
          <w:szCs w:val="20"/>
          <w:color w:val="auto"/>
        </w:rPr>
      </w:pPr>
    </w:p>
    <w:p>
      <w:pPr>
        <w:ind w:left="428" w:right="20" w:hanging="428"/>
        <w:spacing w:after="0" w:line="276" w:lineRule="auto"/>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delays or failure reaching agreement on acceptable terms with prospective contract manufacturing organizations (</w:t>
      </w:r>
      <w:r>
        <w:rPr>
          <w:rFonts w:ascii="Arial" w:cs="Arial" w:eastAsia="Arial" w:hAnsi="Arial"/>
          <w:sz w:val="12"/>
          <w:szCs w:val="12"/>
          <w:i w:val="1"/>
          <w:iCs w:val="1"/>
          <w:color w:val="auto"/>
        </w:rPr>
        <w:t>CMO</w:t>
      </w:r>
      <w:r>
        <w:rPr>
          <w:rFonts w:ascii="Arial" w:cs="Arial" w:eastAsia="Arial" w:hAnsi="Arial"/>
          <w:sz w:val="12"/>
          <w:szCs w:val="12"/>
          <w:color w:val="auto"/>
        </w:rPr>
        <w:t>s), contract research organizations (</w:t>
      </w:r>
      <w:r>
        <w:rPr>
          <w:rFonts w:ascii="Arial" w:cs="Arial" w:eastAsia="Arial" w:hAnsi="Arial"/>
          <w:sz w:val="12"/>
          <w:szCs w:val="12"/>
          <w:i w:val="1"/>
          <w:iCs w:val="1"/>
          <w:color w:val="auto"/>
        </w:rPr>
        <w:t>CRO</w:t>
      </w:r>
      <w:r>
        <w:rPr>
          <w:rFonts w:ascii="Arial" w:cs="Arial" w:eastAsia="Arial" w:hAnsi="Arial"/>
          <w:sz w:val="12"/>
          <w:szCs w:val="12"/>
          <w:color w:val="auto"/>
        </w:rPr>
        <w:t>s), and clinical trial sites, the terms of which can be subject to extensive negotiation and may vary significantly among different CROs and trial sites;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failure of third-party contractors, such as CROs and CMOs, or investigators to comply with regulatory requirements or otherwise meet their contractual obligations in a timely manner;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delays or failure in obtaining the necessary approvals from regulators or institutional review boards (IRBs) in order to commence a clinical trial at a prospective trial site;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inability to manufacture, or obtain from third parties, a supply of drug product sufficient to complete preclinical studies and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FDA requiring alterations to study designs, preclinical strategy or manufacturing plans;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delays in patient enrollment, and variability in the number and types of patients available for clinical trials, or high drop-out rates of patients;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clinical trial sites deviating from trial protocols or dropping out of a trial and/or the inability to add new clinical trial sites;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difficulty in maintaining contact with patients after treatment, resulting in incomplete data;</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poor effectiveness of our product candidates during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safety issues, including serious adverse events associated with our product candidates and patients' exposure to unacceptable health risks;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receipt by a competitor of marketing approval for a product targeting an indication that one of our product candidates targets, such that we are not "first to market" with our product candidate;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governmental or regulatory delays and changes in regulatory requirements, policy and guidelines; 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varying interpretations of data by the FDA and similar foreign regulatory agencies.</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or our collaborator could also encounter delays if a clinical trial is suspended or terminated by us, our collaborator, the IRBs of the institutions in which a trial is being conducted, by the Data Safety Monitoring Board (</w:t>
      </w:r>
      <w:r>
        <w:rPr>
          <w:rFonts w:ascii="Arial" w:cs="Arial" w:eastAsia="Arial" w:hAnsi="Arial"/>
          <w:sz w:val="12"/>
          <w:szCs w:val="12"/>
          <w:i w:val="1"/>
          <w:iCs w:val="1"/>
          <w:color w:val="auto"/>
        </w:rPr>
        <w:t>DSMB</w:t>
      </w:r>
      <w:r>
        <w:rPr>
          <w:rFonts w:ascii="Arial" w:cs="Arial" w:eastAsia="Arial" w:hAnsi="Arial"/>
          <w:sz w:val="12"/>
          <w:szCs w:val="12"/>
          <w:color w:val="auto"/>
        </w:rPr>
        <w:t>) for a trial, or by the FDA or other regulatory authorities. Such authorities may suspend or terminate a clinical trial due to a number of factors, including failure to conduct the clinical trial in accordance with regulatory requirements or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Moreover, if we or our collaborators are able to complete a clinical trial of a product candidate, the results of such trial may not be adequate to support marketing approval. For any such trial, if the FDA disagrees with the choice of primary endpoint or the results for the primary endpoint are not robust or significant relative to control, are subject to confounding factors, or are not adequately supported by other study endpoints, including overall survival or complete response rate, the FDA may refuse to approve a BLA or NDA. The FDA may require additional clinical trials as a condition for approving our product candidates.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4" w:name="page25"/>
    <w:bookmarkEnd w:id="2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If we or our collaborator experience delays in the completion of, or termination of, any clinical trial of our product candidates, the commercial prospects of our product candidates will be harmed, and our ability to commence product sales and generate product revenues from any of our product candidates will be delayed. In addition, any delays in completing our clinical trials will increase our costs and slow our product candidate development and approval process. Delays in completing clinical trials could also allow our competitors to obtain marketing approval before we do or shorten the patent protection period during which we may have the exclusive right to commercialize our product candidates.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earlier clinical trials may not be predictive of the results of later-stage clinical trials.</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results of preclinical studies and early clinical trials of product candidates may not be predictive of the results of later-stage clinical trials.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as well as any future strategic partner, will need to receive regulatory approval for any new drug candidate, including each Drug Rescue Variant, biological candidate or regenerative medicine product before it may be marketed and distributed, and such regulatory approval may never occur.</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Our future success depends heavily on our ability to use stem cell technology, human cells derived from stem cells, proprietary human cell-based bioassay systems, especially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medicinal chemistry to produce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Variants </w:t>
      </w:r>
      <w:r>
        <w:rPr>
          <w:rFonts w:ascii="Arial" w:cs="Arial" w:eastAsia="Arial" w:hAnsi="Arial"/>
          <w:sz w:val="11"/>
          <w:szCs w:val="11"/>
          <w:color w:val="auto"/>
        </w:rPr>
        <w:t>and, develop, obtain regulatory approval for, and commercialize lead</w:t>
      </w:r>
      <w:r>
        <w:rPr>
          <w:rFonts w:ascii="Arial" w:cs="Arial" w:eastAsia="Arial" w:hAnsi="Arial"/>
          <w:sz w:val="11"/>
          <w:szCs w:val="11"/>
          <w:i w:val="1"/>
          <w:iCs w:val="1"/>
          <w:color w:val="auto"/>
        </w:rPr>
        <w:t xml:space="preserve"> Drug Rescue Variants</w:t>
      </w:r>
      <w:r>
        <w:rPr>
          <w:rFonts w:ascii="Arial" w:cs="Arial" w:eastAsia="Arial" w:hAnsi="Arial"/>
          <w:sz w:val="11"/>
          <w:szCs w:val="11"/>
          <w:color w:val="auto"/>
        </w:rPr>
        <w:t>, on our own or in strategic collaborations. We have not previously submitted a new drug application or NDA, to the FDA, or</w:t>
      </w:r>
      <w:r>
        <w:rPr>
          <w:rFonts w:ascii="Arial" w:cs="Arial" w:eastAsia="Arial" w:hAnsi="Arial"/>
          <w:sz w:val="11"/>
          <w:szCs w:val="11"/>
          <w:i w:val="1"/>
          <w:iCs w:val="1"/>
          <w:color w:val="auto"/>
        </w:rPr>
        <w:t xml:space="preserve"> </w:t>
      </w:r>
      <w:r>
        <w:rPr>
          <w:rFonts w:ascii="Arial" w:cs="Arial" w:eastAsia="Arial" w:hAnsi="Arial"/>
          <w:sz w:val="11"/>
          <w:szCs w:val="11"/>
          <w:color w:val="auto"/>
        </w:rPr>
        <w:t>similar drug approval filings to comparable foreign authorities, for any product candidate.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3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Regulatory approval will require, among numerous other things, completing carefully controlled and well-designed clinical trials demonstrating the safety and efficacy of each new product candidate. This process is lengthy, expensive and uncertain. If we encounter delays in the regulatory approval process beyond our control, we may not be able to develop product candidates, raise capital, expand our business or continue our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5" w:name="page26"/>
    <w:bookmarkEnd w:id="25"/>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If we, or our potential strategic partners, experience delays in the enrollment of patients in clinical trials involving our product candidates, our receipt of necessary regulatory approvals could be delayed or prevented.</w:t>
      </w:r>
    </w:p>
    <w:p>
      <w:pPr>
        <w:spacing w:after="0" w:line="180"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We or our potential strategic partners may not be able to initiate or continue clinical trials for our product candidates if we or they are unable to locate and enroll a sufficient number of eligible patients to participate in these trials as required by the FDA or other regulatory authorities. 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or our collaborators may be investigating. If we or they fail to enroll and maintain the number of patients for which the clinical trial was designed, the statistical power of that clinical trial may be reduced, which would make it harder to demonstrate that the product candidate being tested is safe and effective. Additionally, enrollment delays in clinical trials may result in increased development costs for our product candidates, which would cause the value of our common stock to decline and limit our ability to obtain additional financing. Our inability to enroll a sufficient number of patients for any of our current or future clinical trials would result in significant delays or may require us to abandon one or more clinical trials, and, therefore, product candidates, altogether.</w:t>
      </w:r>
    </w:p>
    <w:p>
      <w:pPr>
        <w:spacing w:after="0" w:line="13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b w:val="1"/>
          <w:bCs w:val="1"/>
          <w:i w:val="1"/>
          <w:iCs w:val="1"/>
          <w:color w:val="auto"/>
        </w:rPr>
        <w:t>Even if we receive regulatory approval for any of our Drug Rescue Variants or other product candidates, we and/or our potential strategic partners will be subject to ongoing FDA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1"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 xml:space="preserve">Any regulatory approvals that we or our potential strategic partners receive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all of which could adversely affect the product’s commercial potential and our revenues. In addition, if the FDA approves any of our product candidates, the manufacturing processes, testing, packaging, labeling, storage, distribution, field alert or biological product deviation reporting, adverse event reporting, advertising, promotion and recordkeeping for the product will be subject to extensive and ongoing regulatory requirements. These requirements include submissions of safety and other post-marketing information and reports, as well as continued compliance with cGMP for commercial manufacturing and good clinical practices, or GCP,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49" w:lineRule="exact"/>
        <w:rPr>
          <w:sz w:val="20"/>
          <w:szCs w:val="20"/>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withdrawal of the product from the market, or voluntary or mandatory product recalls;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warning letters or holds on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refusal by the FDA to approve pending applications or supplements to approved applications filed by us or our strategic partners, or suspension or revocation of product license approvals;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injunctions, fines or the imposition of other civil or criminal penalties.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6" w:name="page27"/>
    <w:bookmarkEnd w:id="2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Position and Capital Requirements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incurred significant net losses since inception and anticipate that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incurred significant net losses in each fiscal year since our inception in 1998, including net losses of $3.0 million and $12.9 million during the fiscal years ending March 31, 2014 and 2013, respectively. As of March 31, 2014, we had an accumulated deficit of $70.6 million. We do not know whether or when we will become profitable. To date, although we have generated approximately $16.4 million in revenues, we have not commercialized any products or generated any revenues from product sales. Our losses have resulted principally from costs incurred in our research and development programs and from general and administrative expenses. We anticipate that our operating losses will substantially increase over the next several years as we execute our plan to expand our drug rescue, stem cell technology research and development, drug development and potential commercialization activities. Additionally, we expect that our general and administrative expenses will increase in the event we achieve our goal of obtaining a listing on a national securities exchange. The net losses we incur may fluctuate from quarter to quarter.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we do not successfully develop, out-license, sell or obtain regulatory approval for our future product candidates and effectively manufacture, market and sell, or collaborate to accomplish such activities, any product candidates that are approved, we may never generate revenues from product sales, and even if we do generate product sales revenues, we may never achieve or sustain profitability on a quarterly or annual basis. Our failure to become and remain profitable would depress the market price of our common stock and could impair our ability to raise capital, expand our business, diversify our product offerings or continue our operations. A decline in the market price of our common stock also could cause you to lose all or a part of your investment.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As of July 1, 2014, we had outstanding indebtedness in the aggregate principal amount of approximately $11.3 million, including approximately $9.0 million that may be converted into, exchanged for, or is payable with, our equity securities. Unless we are able to convert such indebtedness into our equity securities, according to existing agreements or otherwise restructure such indebtedness, we may be unable to pay up to approximately $4.2 million of such indebtedness when due in the next twelve months following consummation of this Offering.</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At July 1, 2014, we had outstanding indebtedness in the aggregate principal amount of approximately $11.3 million, including approximately $9.0 million of promissory notes that may be converted into or exchanged for our equity securities following the consummation of this Offering, or extinguished upon the exercise of warrants to purchase shares of our common stock associated with certain of such indebtedness. Up to approximately $4.2 million of our outstanding indebtedness is due or will become due from time to time during the next 12 months, to the extent it is not otherwise (i) restructured or (ii) converted into our equity securities following the consummation of this Offering, or otherwise in accordance with certain agreements evidencing, or related to, such indebtedness. No assurances can be given that such conversions, exchanges or extinguishment of indebtedness will occur within the next twelve months following consummation of this Offering, or at all. In the event our indebtedness is not restructured or exchanged or converted into our equity securities, we cannot assure you that we will generate sufficient revenue to repay this indebtedness in full when due. Unless we are able to restructure the terms of such indebtedness, we may be required to raise additional capital through debt and/or equity financing to continue our operations. No assurances can be given that any such financing will be available to us on favorable terms, if at all. Our inability to obtain debt or equity financing in a timely manner and in amounts sufficient to fund our operations, if necessary, would have an immediate and substantial adverse impact on our business, financial condition or results of operations.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7" w:name="page28"/>
    <w:bookmarkEnd w:id="2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Our independent auditors have expressed substantial doubt about our ability to continue as a going concern.</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Our consolidated financial statements for the year ended March 31, 2014 included in this prospectus have been prepared assuming we will continue to operate as a going concern. However, due to our ongoing operating losses and our accumulated deficit, there is doubt about our ability to continue as a going concern. Because we continue to experience net operating losses, our ability to continue as a going concern is subject to our ability to generate a profit and/or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129"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w:t>
      </w:r>
    </w:p>
    <w:p>
      <w:pPr>
        <w:spacing w:after="0" w:line="133"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 xml:space="preserve">Since our inception, most of our resources have been dedicated to research and development of the drug rescue capabilities of our human pluripotent stem cell technology. In particular, we have expended substantial resources developing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 we will continue to expend substantial resources for the foreseeable future developing</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w:t>
      </w:r>
      <w:r>
        <w:rPr>
          <w:rFonts w:ascii="Arial" w:cs="Arial" w:eastAsia="Arial" w:hAnsi="Arial"/>
          <w:sz w:val="11"/>
          <w:szCs w:val="11"/>
          <w:i w:val="1"/>
          <w:iCs w:val="1"/>
          <w:color w:val="auto"/>
        </w:rPr>
        <w:t xml:space="preserve"> Drug Rescue Variants</w:t>
      </w:r>
      <w:r>
        <w:rPr>
          <w:rFonts w:ascii="Arial" w:cs="Arial" w:eastAsia="Arial" w:hAnsi="Arial"/>
          <w:sz w:val="11"/>
          <w:szCs w:val="11"/>
          <w:color w:val="auto"/>
        </w:rPr>
        <w:t>. These expenditures will include costs associated with</w:t>
      </w:r>
      <w:r>
        <w:rPr>
          <w:rFonts w:ascii="Arial" w:cs="Arial" w:eastAsia="Arial" w:hAnsi="Arial"/>
          <w:sz w:val="11"/>
          <w:szCs w:val="11"/>
          <w:i w:val="1"/>
          <w:iCs w:val="1"/>
          <w:color w:val="auto"/>
        </w:rPr>
        <w:t xml:space="preserve"> </w:t>
      </w:r>
      <w:r>
        <w:rPr>
          <w:rFonts w:ascii="Arial" w:cs="Arial" w:eastAsia="Arial" w:hAnsi="Arial"/>
          <w:sz w:val="11"/>
          <w:szCs w:val="11"/>
          <w:color w:val="auto"/>
        </w:rPr>
        <w:t>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 Furthermore, we expect to incur additional costs associated with operating as a public company.</w:t>
      </w:r>
    </w:p>
    <w:p>
      <w:pPr>
        <w:spacing w:after="0" w:line="127"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1"/>
          <w:szCs w:val="11"/>
          <w:color w:val="auto"/>
        </w:rPr>
        <w:t xml:space="preserve">We have no current source of revenue to sustain our present activities, and we do not expect to generate revenue until, and unless, we out-license a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and/or AV-101 to a third party,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and may seek additional capital in the event there exists favorable market conditions or strategic considerations even if we believe we have sufficient funds for our current or future operating plans.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future capital requirements depend on many factors, including:</w:t>
      </w:r>
    </w:p>
    <w:p>
      <w:pPr>
        <w:spacing w:after="0" w:line="168" w:lineRule="exact"/>
        <w:rPr>
          <w:sz w:val="20"/>
          <w:szCs w:val="20"/>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the number and characteristics of the product candidates we pursue, including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our product candidates, and conducting preclinical and clinical studies;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timing of, and the costs involved in, obtaining regulatory approvals for our product candidates;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 of commercialization activities if any of our product candidates are approved for sale, including marketing, sales and distribution costs;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 of manufacturing our product candidates and any products we successfully commercialize;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establish and maintain strategic partnerships, licensing or other arrangements and the financial terms of such agreements;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8" w:name="page29"/>
    <w:bookmarkEnd w:id="2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market acceptance of our products;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effect of competing technological and market developments;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obtain government funding for our programs;</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timing, receipt and amount of potential future licensee fees, milestone payments, and sales of, or royalties on, our future products, if any;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although we currently have no commitments or agreements relating to any of these types of transactions.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Additional funds may not be available when we need them, on terms that are acceptable to us, or at all. If adequate funds are not available to us on a timely basis, we may be required to delay, limit, reduce or terminate drug rescue programs, preclinical studies, clinical trials or other research and development activities for one or more of our product candidates, or cease or reduce our operating activities and/or sell or license to third parties some or all of our intellectual property, any of which could harm our operating results.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Raising additional capital will cause substantial dilution to our existing stockholders and may restrict our operations or require us to relinquish rights to our technologies or product candidates.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To the extent that we raise additional capital through the sale of equity or convertible debt securities, the ownership interests of existing stockholders will be diluted, and the terms of the new capital may include liquidation or other preferences that adversely affect existing stockholder rights. Debt financing, if available, may involve agreements that include covenants limiting or restricting our ability to take certain actions, such as incurring debt, making capital expenditures or declaring dividends. If we raise additional funds through strategic partnerships and alliances and licensing arrangements with third parties, we may have to relinquish valuable rights to our technologies or product candidates, or grant licenses on terms that are not favorable to us. If we are unable to raise additional funds through equity or debt financing when needed, we may be required to delay, limit, reduce or terminate our product development or commercialization efforts or grant rights to develop and market product candidates that we would otherwise prefer to develop and market ourselves.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Some of our programs have been partially supported by government grants, which may not be available to us in the future.</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9" w:name="page30"/>
    <w:bookmarkEnd w:id="2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net operating losses to offset future taxable income is subject to certain limitations.</w:t>
      </w:r>
    </w:p>
    <w:p>
      <w:pPr>
        <w:spacing w:after="0" w:line="168"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If we do not generate sufficient taxable income we may not be able to use a material portion, or any portion, of our existing net operating losses (</w:t>
      </w:r>
      <w:r>
        <w:rPr>
          <w:rFonts w:ascii="Arial" w:cs="Arial" w:eastAsia="Arial" w:hAnsi="Arial"/>
          <w:sz w:val="10"/>
          <w:szCs w:val="10"/>
          <w:i w:val="1"/>
          <w:iCs w:val="1"/>
          <w:color w:val="auto"/>
        </w:rPr>
        <w:t>NOL</w:t>
      </w:r>
      <w:r>
        <w:rPr>
          <w:rFonts w:ascii="Arial" w:cs="Arial" w:eastAsia="Arial" w:hAnsi="Arial"/>
          <w:sz w:val="10"/>
          <w:szCs w:val="10"/>
          <w:color w:val="auto"/>
        </w:rPr>
        <w:t>s). Furthermore, our existing NOLs may be subject to limitations under Section 382 of the Internal Revenue Code of 1986, as amended, which in general provides that a corporation that undergoes an “ownership change” is limited in its ability to utilize its pre- change NOLs to offset future taxable income. Our existing NOLs are subject to limitations arising from previous ownership changes, and if we undergo an ownership change, in connection with a future equity-based financing, series of equity-based financings or otherwise, our ability to utilize NOLs could be further limited by Section 382 of the Internal Revenue Code. Future changes in our stock ownership, some of which are outside of our control, could result in an ownership change under Section 382 of the Internal Revenue Code.</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utilize certain technologies that are licensed to us, including key aspects of our Human Clinical Trials in a Test Tube platform. If the licensors terminate the licenses or fail to maintain or enforce the underlying patents, our competitive position and market share will be harmed, and our business could be adversely affected.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currently use certain licensed technologies to produce cells that are material to our research and development programs, including our drug rescue programs, and we may enter into additional license agreements in the future. Our rights to use such licensed technologies are subject to the negotiation of, continuation of and compliance with the terms of the applicable licenses, including payment of any royalties and diligence, insurance, indemnification and other obligations. If a licensor believes that we have failed to meet our obligations under a license agreement for non-payment of license fees, non-reimbursement of patent expenses, or otherwise,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license rights are further subject to the validity of the owner’s intellectual property rights. As such, we are dependent on our licensors to defend the viability of these patents and patent applications.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Legal action could be initiated by or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 In some cases, we do not control the prosecution, maintenance or filing of the patents to which we hold licenses, or the enforcement of these patents against third parties.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Certain of our license agreements are subject to termination by the licensor in specific circumstances, including non-payment of license fees, royalties and patent-related expenses. Any such termination of these licenses could prevent us from producing cells for our research and development programs and future commercial activities, including selling or marketing products. Because of the complexity of our human pluripotent stem cell technology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or other amounts due under the license or were otherwise not in compliance with the terms of the license, the licensor might attempt to revoke the license. If our license rights were restricted or ultimately lost, our ability to continue our business based on the affected technology would be severely adversely affected.</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may engage in discussions regarding possible commercial, licensing and cross-licensing agreements with third parties from time to time.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we may be limited or prevented from producing and selling our existing products and developing new products. One or more of the parties involved in such discussions could resort to litigation to protect or enforce its patents and proprietary rights or to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0" w:name="page31"/>
    <w:bookmarkEnd w:id="3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Variants we may generate or develop in connection with any such third-party licenses.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If, instead of identifying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based on information available to us in the public domain, we seek to in-license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generate and develop. If we are unable to obtain ownership or substantial economic participation rights over intellectual property related to Drug Rescue Variants we generate, our business may be adversely affected.</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ability to protect our intellectual property and proprietary technology through patents and other means is uncertain, and we could be unsuccessful in obtaining adequate patent protection for one or more of our product candidates.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commercial success will depend in part on our ability to protect our intellectual property and proprietary technologies. We rely on patents, where appropriate and available, as well as a combination of copyright, trade secret and trademark laws, license agreements and nondisclosure, confidentiality and other contractual restrictions to protect our proprietary technology. However, these legal means afford only limited protection and may not adequately protect our rights or permit us to gain or keep any competitive advantage. Pending patent applications of ours or our licensors may not issue as patents or may not issue in a form that will be sufficient to protect our proprietary technology and gain or maintain our competitive advantage. Any patents we have obtained or may obtain in the future, or the rights we have licensed,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products that avoid infringement of these patents or technologies.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w:t>
      </w:r>
    </w:p>
    <w:p>
      <w:pPr>
        <w:spacing w:after="0" w:line="14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patent positions of companies in the life sciences industry can be highly uncertain and involve complex legal and factual questions for which important legal principles remain unresolved. A number of life sciences, biopharmaceutical and other companies, universities and research institutions have filed patent applications or have been issued patents relating to stem cells, use of stem cells and other modified cells to treat disease, disorder or injury, and other technologies potentially relevant to or required by our existing and planned products. We cannot be certain that patents we have filed or may file in the future will be issued or granted, or that issued or granted patents will not later be found to be invalid and/or unenforceable. The standards applied by the United States Patent and Trademark Office (</w:t>
      </w:r>
      <w:r>
        <w:rPr>
          <w:rFonts w:ascii="Arial" w:cs="Arial" w:eastAsia="Arial" w:hAnsi="Arial"/>
          <w:sz w:val="11"/>
          <w:szCs w:val="11"/>
          <w:i w:val="1"/>
          <w:iCs w:val="1"/>
          <w:color w:val="auto"/>
        </w:rPr>
        <w:t>US PTO</w:t>
      </w:r>
      <w:r>
        <w:rPr>
          <w:rFonts w:ascii="Arial" w:cs="Arial" w:eastAsia="Arial" w:hAnsi="Arial"/>
          <w:sz w:val="11"/>
          <w:szCs w:val="11"/>
          <w:color w:val="auto"/>
        </w:rPr>
        <w:t>)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or future patent applications. As such, we do not know the degree of future protection that we will have on certain of our proprietary products and technology.</w:t>
      </w:r>
    </w:p>
    <w:p>
      <w:pPr>
        <w:spacing w:after="0" w:line="13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patents and patent applications may not be sufficient to protect our products, product candidates and technologies from commercial competition. Our inability to obtain adequate patent protection for our product candidates or platform technology could adversely affect our business.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1" w:name="page32"/>
    <w:bookmarkEnd w:id="3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Where several parties seek U.S. patent protection for the same technology, the US 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If more groups become engaged in scientific research related to hESCs, the number of patent filings by such groups and therefore the risk of our patents or applications being drawn into interference proceedings may increase. The interference process can also be used to challenge a patent that has been issued to another party.</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Outside of the U.S., certain jurisdictions, such as Europe, Japan, New Zealand and Australia, permit oppositions to be filed against the granting of patents. Because we may seek to develop and commercialize our product candidates internationally, securing both proprietary protection and freedom to operate outside of the U.S. is important to our business. In addition,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hESCs. However, this broad interpretation is being challenged through the European Patent Office appeals system. As a result, we do not yet know whether or to what extent we will be able to obtain European patent protection for our proprietary hESC-based technology and systems.</w:t>
      </w:r>
    </w:p>
    <w:p>
      <w:pPr>
        <w:spacing w:after="0" w:line="144"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Successful challenges to our patents through interference, opposition or re-examination proceedings could result in a loss of patent rights in the relevant jurisdiction(s). As more groups become engaged in scientific research and product development areas of hESCs,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Issued patents covering one or more of our product candidates or technologies could be found invalid or unenforceable if challenged in court.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If we were to initiate legal proceedings against a third party to enforce a patent covering one of our product candidates or technologies,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PTO, or made a misleading statement, during prosecution. The outcome following legal assertions of invalidity and unenforceability during patent litigation is unpredictable. With respect to the patent validity, we cannot be certain, for example, that there is no invalidating prior art, of which we and the patent examiner were unaware during prosecution. If a defendant were to prevail on a legal assertion of invalidity and/or unenforceability, we would lose at least part, and perhaps all, of the patent protection on one or more of our products or certain aspects of our platform technology,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Such a loss of patent protection could have a material adverse impact on our business.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2" w:name="page33"/>
    <w:bookmarkEnd w:id="3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Claims that any of our product candidates, including our Human Clinical Trials in a Test Tube, or, if commercialized, the sale or use of our products infringe the patent rights of third parties could result in costly litigation or could require substantial time and money to resolve, even if litigation is avoided.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cannot guarantee that our product candidates, the use of our product candidates, or our platform technology, do not or will not infringe third party patents. Third parties might allege that we are infringing their patent rights or that we have misappropriated their trade secrets. Such third parties might resort to litigation against us. The basis of such litigation could be existing patents or patents that issue in the future. Our failure to successfully defend against any claims that our product candidates or platform technology infringe the rights of third parties could also adversely affect our business. Failure to obtain any required licenses could restrict our ability to commercialize our products in certain territories or subject us to patent infringement litigation, which could result in us having to cease commercialization of our products and subject us to money damages in such territories.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It is also possible that we may fail to identify relevant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avoid or settle potential claims with respect to any patent rights of third parties, we may choose or be required to seek a license from a third party and be required to pay license fees or royalties or both. These licenses may not be available on acceptable terms, or at all.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Defending against claims of patent infringement or misappropriation of trade secrets could be costly and time consuming, regardless of the outcome.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business.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Intellectual property litigation may lead to unfavorable publicity that harms our reputation, and could result in unfavorable outcomes that could limit our research and development activities and/or our ability to commercialize certain products.</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Moreover, if third parties successfully assert intellectual property rights against us, we might be barred from using certain aspects of our platform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of patent infringement or misappropriation of trade secrets,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patent owner to continue our research and development programs or to market our product(s). It is possible that the necessary license will not be available to us on commercially acceptable terms, or at all. This could limit our research and development activities, our ability to commercialize certain products, or both.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3" w:name="page34"/>
    <w:bookmarkEnd w:id="3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internal research programs, conduct clinical trials, continue to in-license needed technology, or enter into strategic partnerships that would help us bring our product candidates to market.</w:t>
      </w:r>
    </w:p>
    <w:p>
      <w:pPr>
        <w:spacing w:after="0" w:line="14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 addition, any future patent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Confidentiality agreements with employees and third parties may not prevent unauthorized disclosure of trade secrets and other proprietary information.</w:t>
      </w:r>
    </w:p>
    <w:p>
      <w:pPr>
        <w:spacing w:after="0" w:line="168"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In addition to patents, we rely on trade secrets, technical know-how, and proprietary information concerning our business strategy in order to protect our competitive position in the field of stem cell research and product candidate development. In the course of our research and development activities and other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upon joining the Company. We take steps to protect our proprietary information, and our confidentiality agreements are carefully drafted to protect our proprietary interests. These confidentiality agreements may not effectively prevent disclosure of our technical know-how and proprietary information and may not provide an adequate remedy in the event of unauthorized disclosure of such technical know-how and proprietary information. In addition, others may independently discover trade secrets and proprietary information, and in such cases we would not be able to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Trade secrets are difficult to protect. Although we use reasonable efforts to protect our trade secrets, our employees, consultants, contractors, or outside scientific collaborators might intentionally or inadvertently disclose our trade secret information to competitors.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w:t>
      </w:r>
    </w:p>
    <w:p>
      <w:pPr>
        <w:spacing w:after="0" w:line="141"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Our research and development strategic partners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 to our competitive advantage.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examples are illustrative:</w:t>
      </w:r>
    </w:p>
    <w:p>
      <w:pPr>
        <w:spacing w:after="0" w:line="159" w:lineRule="exact"/>
        <w:rPr>
          <w:sz w:val="20"/>
          <w:szCs w:val="20"/>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Others may be able to make compounds that are the same as or similar to our product candidates but that are not covered by the claims of the patents that we may own or have exclusively licensed;</w:t>
      </w:r>
    </w:p>
    <w:p>
      <w:pPr>
        <w:spacing w:after="0" w:line="200" w:lineRule="exact"/>
        <w:rPr>
          <w:rFonts w:ascii="Arial" w:cs="Arial" w:eastAsia="Arial" w:hAnsi="Arial"/>
          <w:sz w:val="12"/>
          <w:szCs w:val="12"/>
          <w:color w:val="auto"/>
        </w:rPr>
      </w:pPr>
    </w:p>
    <w:p>
      <w:pPr>
        <w:spacing w:after="0" w:line="229" w:lineRule="exact"/>
        <w:rPr>
          <w:rFonts w:ascii="Arial" w:cs="Arial" w:eastAsia="Arial" w:hAnsi="Arial"/>
          <w:sz w:val="12"/>
          <w:szCs w:val="12"/>
          <w:color w:val="auto"/>
        </w:rPr>
      </w:pPr>
    </w:p>
    <w:p>
      <w:pPr>
        <w:ind w:left="5648"/>
        <w:spacing w:after="0"/>
        <w:rPr>
          <w:rFonts w:ascii="Arial" w:cs="Arial" w:eastAsia="Arial" w:hAnsi="Arial"/>
          <w:sz w:val="12"/>
          <w:szCs w:val="12"/>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4" w:name="page35"/>
    <w:bookmarkEnd w:id="3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tabs>
          <w:tab w:leader="none" w:pos="428" w:val="left"/>
        </w:tabs>
        <w:numPr>
          <w:ilvl w:val="0"/>
          <w:numId w:val="16"/>
        </w:numPr>
        <w:rPr>
          <w:rFonts w:ascii="Arial" w:cs="Arial" w:eastAsia="Arial" w:hAnsi="Arial"/>
          <w:sz w:val="11"/>
          <w:szCs w:val="11"/>
          <w:color w:val="auto"/>
        </w:rPr>
      </w:pPr>
      <w:r>
        <w:rPr>
          <w:rFonts w:ascii="Arial" w:cs="Arial" w:eastAsia="Arial" w:hAnsi="Arial"/>
          <w:sz w:val="11"/>
          <w:szCs w:val="11"/>
          <w:color w:val="auto"/>
        </w:rPr>
        <w:t>We or our licensors or any future strategic partners might not have been the first to make the inventions covered by the issued patent or pending patent application that we may own or have exclusively licensed;</w:t>
      </w:r>
    </w:p>
    <w:p>
      <w:pPr>
        <w:spacing w:after="0" w:line="179" w:lineRule="exact"/>
        <w:rPr>
          <w:rFonts w:ascii="Arial" w:cs="Arial" w:eastAsia="Arial" w:hAnsi="Arial"/>
          <w:sz w:val="11"/>
          <w:szCs w:val="11"/>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or our licensors or any future strategic partners might not have been the first to file patent applications covering certain of our inventions;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intellectual property rights;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Others may be able to develop technologies around some of our issued patents without infringing such patents;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It is possible that our pending patent applications will not lead to issued patents;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Changes in U.S. patent law could diminish the value of patents in general, thereby impairing our ability to protect our products.</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As is the case with other development stage biotechnology companies, our success is heavily dependent on intellectual property, particularly patents. Obtaining and enforcing patents in the biotechnology and pharmaceutical industries involve both technological and legal complexity. Therefore, obtaining and enforcing patents is costly, time-consuming and inherently uncertain. In addition, Congress has passed patent reform legislation which provides new limitations on attaining, maintaining and enforcing intellectual property. Further,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If we are not able to obtain and enforce patent protection or other commercial protection for AV-101, the value of AV-101 will be harmed.</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Commercial protection of AV-101, our small molecule drug candidate for neuropathic pain and other neurological conditions is important to our business. Our success related to AV-101 will depend in part on our or a potential collaborator’s ability to obtain and enforce potential patents and maintain our trade secrets and secure New Drug Product Exclusivity provided by the FDA under section 505(c)(3)(E) and 505(j)(5)(F) of the Federal Food, Drug, and Cosmetic Act.</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Additional patents may not be granted, and potential U.S. patents, if issued, might not provide us with commercial benefit or might be infringed upon, invalidated or circumvented by others. The principle U.S. method of use patent and its foreign counterparts for AV-101 have expired. Although we have recently filed three new U.S. patent applications relating to AV-101, we or others with whom we may collaborate for the development and commercialization of AV-101 may choose not to seek, or may be unable to obtain, patent protection in a country that could potentially be an important market for AV-101.</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5" w:name="page36"/>
    <w:bookmarkEnd w:id="3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subject to damages resulting from claims that we or our future employees have wrongfully used or disclosed alleged trade secrets of our employees’ former employers.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Our ability to execute on our business plan will depend on the talents and efforts of highly skilled individuals with specialized training in the field of stem cell research and bioassay development, as well as medicinal chemistry and in vitro drug candidate screening and nonclinical and clinical development. Our future success depends on our ability to identify, hire and retain these highly skilled personnel during our development stage. We may hire additional highly skilled scientific and technical employees, including employees who may have been previously employed at biopharmaceutical companies, including our competitors or potential competitors, and who may have executed invention assignments, nondisclosure agreements and/or non-competition agreements in connection with such previous employment. As to such future employees, we may become subject to claims that we, or these future employees,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Offering</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Purchasers in this Offering will experience immediate and substantial dilution in the book value of their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If we successfully sell all securities registered by this Offering and investors exercise all warrants included in this Offering, new investors will contribute approximately _____% of the total amount of equity capital raised by us through the</w:t>
      </w:r>
    </w:p>
    <w:p>
      <w:pPr>
        <w:spacing w:after="0" w:line="2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date of this Offering, and will own approximately 70% of the outstanding shares. In addition, we may have issued options, warrants or other derivative securities to acquire common stock at prices below the public offering price. To the extent outstanding options, warrants or other derivative securities are ultimately exercised or converted, or if we issue restricted stock to our employees under our equity incentive plans,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2"/>
          <w:szCs w:val="12"/>
          <w:i w:val="1"/>
          <w:iCs w:val="1"/>
          <w:color w:val="auto"/>
        </w:rPr>
        <w:t>Dilution</w:t>
      </w:r>
      <w:r>
        <w:rPr>
          <w:rFonts w:ascii="Arial" w:cs="Arial" w:eastAsia="Arial" w:hAnsi="Arial"/>
          <w:sz w:val="12"/>
          <w:szCs w:val="12"/>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allocation of net proceeds of the offering set forth in the “</w:t>
      </w:r>
      <w:r>
        <w:rPr>
          <w:rFonts w:ascii="Arial" w:cs="Arial" w:eastAsia="Arial" w:hAnsi="Arial"/>
          <w:sz w:val="12"/>
          <w:szCs w:val="12"/>
          <w:i w:val="1"/>
          <w:iCs w:val="1"/>
          <w:color w:val="auto"/>
        </w:rPr>
        <w:t>Use of Proceeds</w:t>
      </w:r>
      <w:r>
        <w:rPr>
          <w:rFonts w:ascii="Arial" w:cs="Arial" w:eastAsia="Arial" w:hAnsi="Arial"/>
          <w:sz w:val="12"/>
          <w:szCs w:val="12"/>
          <w:color w:val="auto"/>
        </w:rPr>
        <w:t>” section of this prospectus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in this prospectus entitled “</w:t>
      </w:r>
      <w:r>
        <w:rPr>
          <w:rFonts w:ascii="Arial" w:cs="Arial" w:eastAsia="Arial" w:hAnsi="Arial"/>
          <w:sz w:val="12"/>
          <w:szCs w:val="12"/>
          <w:i w:val="1"/>
          <w:iCs w:val="1"/>
          <w:color w:val="auto"/>
        </w:rPr>
        <w:t>Use of Proceeds</w:t>
      </w:r>
      <w:r>
        <w:rPr>
          <w:rFonts w:ascii="Arial" w:cs="Arial" w:eastAsia="Arial" w:hAnsi="Arial"/>
          <w:sz w:val="12"/>
          <w:szCs w:val="12"/>
          <w:color w:val="auto"/>
        </w:rPr>
        <w:t>”. You may not have an opportunity to evaluate the economic, financial or other information on which we base our decisions on how to use our proceeds. As a result, you and other stockholders may not agree with our decisions. See “</w:t>
      </w:r>
      <w:r>
        <w:rPr>
          <w:rFonts w:ascii="Arial" w:cs="Arial" w:eastAsia="Arial" w:hAnsi="Arial"/>
          <w:sz w:val="12"/>
          <w:szCs w:val="12"/>
          <w:i w:val="1"/>
          <w:iCs w:val="1"/>
          <w:color w:val="auto"/>
        </w:rPr>
        <w:t>Use of Proceeds</w:t>
      </w:r>
      <w:r>
        <w:rPr>
          <w:rFonts w:ascii="Arial" w:cs="Arial" w:eastAsia="Arial" w:hAnsi="Arial"/>
          <w:sz w:val="12"/>
          <w:szCs w:val="12"/>
          <w:color w:val="auto"/>
        </w:rPr>
        <w:t>” for additional information.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6" w:name="page37"/>
    <w:bookmarkEnd w:id="3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The number of shares of issued and outstanding common stock represents approximately 30% of our fully diluted shares of common stock. Additional issuances of shares of common stock upon conversion and/or exercise of convertible promissory notes, preferred stock, options to purchase common stock and warrants to purchase common stock will cause substantial dilution to existing stockholders.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At July 1, 2014, we had 25.5 million shares of common stock issued and outstanding. Up to an additional 61.0 million shares may be issued upon conversion of our Series A Preferred and all outstanding convertible promissory notes, and upon exercise of all outstanding options and warrants to purchase our common stock, which amount includes all reserves, resulting in a total of up to 86.5 million shares that may be issued and outstanding, assuming conversion of all outstanding convertible promissory notes, and exercise of all outstanding option and warrants to purchase our common stock. The issuance of any and all of the 61.0 million shares issuable upon exercise or conversion of our outstanding convertible securities will cause substantial dilution to existing stockholders and may depress the market price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will experience future dilution as a result of future equity offerings, including in the event we consummate a financing involving the sale of our common stock to Autilion AG.</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may in the future offer additional shares of our common stock or other securities convertible into or exchangeable for our common stock, including up to 72.0 million shares of common stock to Autilion AG (</w:t>
      </w:r>
      <w:r>
        <w:rPr>
          <w:rFonts w:ascii="Arial" w:cs="Arial" w:eastAsia="Arial" w:hAnsi="Arial"/>
          <w:sz w:val="11"/>
          <w:szCs w:val="11"/>
          <w:i w:val="1"/>
          <w:iCs w:val="1"/>
          <w:color w:val="auto"/>
        </w:rPr>
        <w:t>Autilion</w:t>
      </w:r>
      <w:r>
        <w:rPr>
          <w:rFonts w:ascii="Arial" w:cs="Arial" w:eastAsia="Arial" w:hAnsi="Arial"/>
          <w:sz w:val="11"/>
          <w:szCs w:val="11"/>
          <w:color w:val="auto"/>
        </w:rPr>
        <w:t>) under the terms of an existing Securities Purchase Agreement by and between the Company and Autilion (</w:t>
      </w:r>
      <w:r>
        <w:rPr>
          <w:rFonts w:ascii="Arial" w:cs="Arial" w:eastAsia="Arial" w:hAnsi="Arial"/>
          <w:sz w:val="11"/>
          <w:szCs w:val="11"/>
          <w:i w:val="1"/>
          <w:iCs w:val="1"/>
          <w:color w:val="auto"/>
        </w:rPr>
        <w:t>Autilion Financing</w:t>
      </w:r>
      <w:r>
        <w:rPr>
          <w:rFonts w:ascii="Arial" w:cs="Arial" w:eastAsia="Arial" w:hAnsi="Arial"/>
          <w:sz w:val="11"/>
          <w:szCs w:val="11"/>
          <w:color w:val="auto"/>
        </w:rPr>
        <w:t>). While Autilion is in default under the Securities Purchase Agreement, we have not formally terminated the Agreement. Although no assurances can be given that Autilion will consummate the Autilion Financing, in the event we elect to close, or in the event we sell shares of common stock or other securities convertible into shares of our common stock in the future, additional and substantial dilution will occur. In addition, investors purchasing shares or other securities in the future could have rights superior to investors in the Offering.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may be additional issuances of shares of preferred stock in the future.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Following approval by our stockholders in October 2011, our Articles of Incorporation permit us to issue up to 10.0 million shares of preferred stock and our board of directors has authorized the issuance of 500,000 shares of Series A Preferred, all of which shares are currently outstanding. In addition, our board of directors has authorized the creation of a new series of preferred stock, to be designated Series B Convertible Preferred Stock, for issuance promptly following consummation of the Offering upon conversion of the Platinum Notes.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for our shares may decline following the implementation of our Stock Consolidation.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will affect a reverse split of our authorized, and issued and outstanding shares of common stock prior to consummation of the Offering at a ratio of one-for-twenty (the </w:t>
      </w:r>
      <w:r>
        <w:rPr>
          <w:rFonts w:ascii="Arial" w:cs="Arial" w:eastAsia="Arial" w:hAnsi="Arial"/>
          <w:sz w:val="12"/>
          <w:szCs w:val="12"/>
          <w:i w:val="1"/>
          <w:iCs w:val="1"/>
          <w:color w:val="auto"/>
        </w:rPr>
        <w:t>Stock Consolidation</w:t>
      </w:r>
      <w:r>
        <w:rPr>
          <w:rFonts w:ascii="Arial" w:cs="Arial" w:eastAsia="Arial" w:hAnsi="Arial"/>
          <w:sz w:val="12"/>
          <w:szCs w:val="12"/>
          <w:color w:val="auto"/>
        </w:rPr>
        <w:t>), pending review and acceptance of the Stock Consolidation from the Financial Industry Regulatory Authority (</w:t>
      </w:r>
      <w:r>
        <w:rPr>
          <w:rFonts w:ascii="Arial" w:cs="Arial" w:eastAsia="Arial" w:hAnsi="Arial"/>
          <w:sz w:val="12"/>
          <w:szCs w:val="12"/>
          <w:i w:val="1"/>
          <w:iCs w:val="1"/>
          <w:color w:val="auto"/>
        </w:rPr>
        <w:t>FINRA</w:t>
      </w:r>
      <w:r>
        <w:rPr>
          <w:rFonts w:ascii="Arial" w:cs="Arial" w:eastAsia="Arial" w:hAnsi="Arial"/>
          <w:sz w:val="12"/>
          <w:szCs w:val="12"/>
          <w:color w:val="auto"/>
        </w:rPr>
        <w:t>). No assurances can be given that the Stock Consolidation will have a long-term positive effect on the market price of our common stock. The market price of our common stock is based on factors that may be unrelated to the number of shares outstanding. These factors include our performance, general economic and market conditions and other factors, many of which are beyond our control. The market price for our post-split shares may not rise or remain constant in proportion to the reduction in the number of pre-split shares outstanding before the Stock Consolidation. Accordingly, the total market capitalization of our common stock after the Stock Consolidation may be lower than the total market capitalization before the Stock Consolidation.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7" w:name="page38"/>
    <w:bookmarkEnd w:id="3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33"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Since we became a publicly traded company in May 2011, there has been a limited public market for shares of our common stock on the OTCQB Markets (</w:t>
      </w:r>
      <w:r>
        <w:rPr>
          <w:rFonts w:ascii="Arial" w:cs="Arial" w:eastAsia="Arial" w:hAnsi="Arial"/>
          <w:sz w:val="12"/>
          <w:szCs w:val="12"/>
          <w:i w:val="1"/>
          <w:iCs w:val="1"/>
          <w:color w:val="auto"/>
        </w:rPr>
        <w:t>OTCQB</w:t>
      </w:r>
      <w:r>
        <w:rPr>
          <w:rFonts w:ascii="Arial" w:cs="Arial" w:eastAsia="Arial" w:hAnsi="Arial"/>
          <w:sz w:val="12"/>
          <w:szCs w:val="12"/>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OTCQB, another over-the-counter quotation system, or in the “pink sheets.” In those venues,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44"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We and the placement agent determined the Offering price of our common stock through negotiation. This price does not necessarily reflect the price at which investors in the market will be willing to buy and sell our shares following this Offering. If an active trading market does not develop, you may have difficulty selling any of the shares of our common stock that you buy. In addition, the trading price of our common stock may be highly volatile and could be subject to wide fluctuations in response to various factors, some of which are beyond our control. These factors include:</w:t>
      </w:r>
    </w:p>
    <w:p>
      <w:pPr>
        <w:spacing w:after="0" w:line="127" w:lineRule="exact"/>
        <w:rPr>
          <w:sz w:val="20"/>
          <w:szCs w:val="20"/>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actual or anticipated quarterly variation in our results of operations or the results of our competitors;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announcements by us or our competitors of new commercial products, significant contracts, commercial relationships or capital commitments;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financial projections we may provide to the public, any changes to those projections, or our failure to meet those projections;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issuance of new or changed securities analysts’ reports or recommendations for our stock;</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developments or disputes concerning our intellectual property or other proprietary rights;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commencement of, or our involvement in, litigation;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market conditions in the biopharmaceutical and life sciences sectors;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failure to complete significant sales;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changes in legislation and government regulation;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public concern regarding the safety, efficacy or other aspects of our products;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entering into, changing or terminating collaborative relationships;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shares of our common stock or other securities eligible for future sale;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major change to the composition of our board of directors or management;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general economic conditions and slow or negative growth of our markets.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8" w:name="page39"/>
    <w:bookmarkEnd w:id="3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stock market in general, and small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3"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limited public market for shares of our common stock on the OTCQB. Future sales of substantial amounts of shares of our common stock, including up to 72 million shares of common stock to Autilion and shares otherwise issued or issuable upon the exchange or conversion of our preferred stock, conversion of convertible promissory notes and exercise of outstanding options and warrants for common stock, in the public market, or the possibility of these issuances and sales occurring, could cause the prevailing market price for our common stock to fall or impair our ability to raise equity capital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Certain of our current institutional stockholders and their respective affiliates beneficially own approximately 46% of our outstanding capital stock, as beneficial ownership is defined by SEC rules and regulations. Accordingly, these stockholders may continue to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such stockholders, refer to “Principal Stockholders” elsewhere in this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stock price and trading volume could decline.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trading market for our common stock may depend in part on the research and reports that securities or industry analysts publish about us and our business. Securities and industry analysts do not currently, and may never, publish research on our company. If no or too few securities or industry analysts commence coverage of our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In the event we obtain analyst coverage, we will not have any control of the analysts or the content and opinions included in their reports. If one or more equity research analysts cease coverage of our company or fail to publish reports on us regularly, demand for our stock could decrease, which in turn could cause our stock price or trading volume to decline.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9" w:name="page40"/>
    <w:bookmarkEnd w:id="3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common stock may be considered a “penny stock.”</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Since we became a publicly traded company in May 2011, our common stock has traded on the OTCQB at a price of less than $5.00 per share. The Securities and Exchange Commission ( </w:t>
      </w:r>
      <w:r>
        <w:rPr>
          <w:rFonts w:ascii="Arial" w:cs="Arial" w:eastAsia="Arial" w:hAnsi="Arial"/>
          <w:sz w:val="11"/>
          <w:szCs w:val="11"/>
          <w:i w:val="1"/>
          <w:iCs w:val="1"/>
          <w:color w:val="auto"/>
        </w:rPr>
        <w:t>SEC</w:t>
      </w:r>
      <w:r>
        <w:rPr>
          <w:rFonts w:ascii="Arial" w:cs="Arial" w:eastAsia="Arial" w:hAnsi="Arial"/>
          <w:sz w:val="11"/>
          <w:szCs w:val="11"/>
          <w:color w:val="auto"/>
        </w:rPr>
        <w:t xml:space="preserve"> ) has adopted regulations which generally define a “penny stock” as an equity security that has a market price of less than $5.00 per share, subject to specific exemptions. To the extent that the market price of our common stock is less than $5.00 per share and, therefore, may be considered a “penny stock,” brokers and dealers effecting transactions in our common stock must disclose certain information concerning the transaction, obtain a written agreement from the purchaser and determine that the purchaser is reasonably suitable to purchase the securities. These rules may restrict the ability of brokers or dealers to sell our common stock and may affect your ability to sell shares of our common stock. In addition, as long as our common stock remains quoted only on the OTCQB, investors may find it difficult to obtain accurate quotations of the stock, and may find few buyers to purchase such stock and few market makers to support its price.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never paid dividends on our capital stock, and we do not anticipate paying any cash dividends in the foreseeable future.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paid no cash dividends on any of our classes of capital stock to date and currently intend to retain our future earnings, if any, to fund the development and growth of our business. As a result, capital appreciation, if any, of our common stock will be your sole source of gain for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significant costs to ensure compliance with corporate governance, federal securities law and accounting requirements.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Since becoming a public company by means of a strategic reverse merger in 2011, we have been subject to the reporting requirements of the Securities Exchange Act of 1934, as amended (</w:t>
      </w:r>
      <w:r>
        <w:rPr>
          <w:rFonts w:ascii="Arial" w:cs="Arial" w:eastAsia="Arial" w:hAnsi="Arial"/>
          <w:sz w:val="12"/>
          <w:szCs w:val="12"/>
          <w:i w:val="1"/>
          <w:iCs w:val="1"/>
          <w:color w:val="auto"/>
        </w:rPr>
        <w:t>Exchange Act</w:t>
      </w:r>
      <w:r>
        <w:rPr>
          <w:rFonts w:ascii="Arial" w:cs="Arial" w:eastAsia="Arial" w:hAnsi="Arial"/>
          <w:sz w:val="12"/>
          <w:szCs w:val="12"/>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filing and internal control reporting requirements imposed by federal securities laws, rules and regulations are rigorous and we may not be able to continue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federal securities laws, rules or regulations could subject us to fines or regulatory actions, which may materially adversely affect our business, results of operations and financial condition.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0" w:name="page41"/>
    <w:bookmarkEnd w:id="4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This prospectus includes forward-looking statements. All statements contained in this prospectus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w:t>
      </w:r>
      <w:r>
        <w:rPr>
          <w:rFonts w:ascii="Arial" w:cs="Arial" w:eastAsia="Arial" w:hAnsi="Arial"/>
          <w:sz w:val="11"/>
          <w:szCs w:val="11"/>
          <w:i w:val="1"/>
          <w:iCs w:val="1"/>
          <w:color w:val="auto"/>
        </w:rPr>
        <w:t>Risk Factors</w:t>
      </w:r>
      <w:r>
        <w:rPr>
          <w:rFonts w:ascii="Arial" w:cs="Arial" w:eastAsia="Arial" w:hAnsi="Arial"/>
          <w:sz w:val="11"/>
          <w:szCs w:val="11"/>
          <w:color w:val="auto"/>
        </w:rPr>
        <w:t>” section.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prospectus or to conform these statements to actual results or revised expectations. If we do update one or more forward-looking statements, no inference should be drawn that we will make additional updates with respect to those or other forward- looking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1" w:name="page42"/>
    <w:bookmarkEnd w:id="4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estimate that the net proceeds to us from the sale of securities offered under this prospectus, after deducting the placement agent fees and our other estimated expenses, will be $ 13. 5 million, assuming we sell the maximum amount of common stock and warrants registered herein. However, this is a best efforts Offering with no minimum, and no assurances can be given that we will receive significant proceeds.</w:t>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color w:val="auto"/>
        </w:rPr>
        <w:t>Each share of common stock will be sold at a price of $___ and will be accompanied by a five-year warrant to purchase up to one share of common stock for $____ per share. The common stock and warrants can only be purchased</w:t>
      </w:r>
    </w:p>
    <w:p>
      <w:pPr>
        <w:spacing w:after="0" w:line="2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together in this Offering, but are immediately separable once purchased and will be issued separately. We will not receive proceeds from the warrants issued in connection with this Offering. I f a warrant holder elects to exercise the warrants issued in this Offering, we may also receive up to $___ of proceeds from the exercise of warrants. The Agent, however, will not receive any fee or commission on any cash received by the Company upon exercise of any warrants issued in connection with the Offering. We cannot predict when or if the warrants will be exercised and it is possible that the warrants may expire and never be exercised.</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1"/>
          <w:szCs w:val="11"/>
          <w:color w:val="auto"/>
        </w:rPr>
        <w:t>We expect to use the net proceeds from this Offering (including proceeds resulting from the exercise of warrants, if any) for research and development related to our drug discovery, drug rescue and development, and regenerative medicine programs, capital expenditures, extinguishment of indebtedness, and other general corporate purposes. Such indebtedness may include certain Subordinate Convertible Promissory Bridge Notes (</w:t>
      </w:r>
      <w:r>
        <w:rPr>
          <w:rFonts w:ascii="Arial" w:cs="Arial" w:eastAsia="Arial" w:hAnsi="Arial"/>
          <w:sz w:val="11"/>
          <w:szCs w:val="11"/>
          <w:i w:val="1"/>
          <w:iCs w:val="1"/>
          <w:color w:val="auto"/>
        </w:rPr>
        <w:t>Subordinate Notes</w:t>
      </w:r>
      <w:r>
        <w:rPr>
          <w:rFonts w:ascii="Arial" w:cs="Arial" w:eastAsia="Arial" w:hAnsi="Arial"/>
          <w:sz w:val="11"/>
          <w:szCs w:val="11"/>
          <w:color w:val="auto"/>
        </w:rPr>
        <w:t xml:space="preserve">). Under the terms of the Subordinate Notes, assuming the Offering results in gross proceeds to us of at least $10.0 million, the principal and accrued interest due thereunder, totaling approximately $2.5 million at July 1, 2014 (the </w:t>
      </w:r>
      <w:r>
        <w:rPr>
          <w:rFonts w:ascii="Arial" w:cs="Arial" w:eastAsia="Arial" w:hAnsi="Arial"/>
          <w:sz w:val="11"/>
          <w:szCs w:val="11"/>
          <w:i w:val="1"/>
          <w:iCs w:val="1"/>
          <w:color w:val="auto"/>
        </w:rPr>
        <w:t>Conversion Amount</w:t>
      </w:r>
      <w:r>
        <w:rPr>
          <w:rFonts w:ascii="Arial" w:cs="Arial" w:eastAsia="Arial" w:hAnsi="Arial"/>
          <w:sz w:val="11"/>
          <w:szCs w:val="11"/>
          <w:color w:val="auto"/>
        </w:rPr>
        <w:t>), automatically converts into securities substantially similar to those issued in connection with the Offering (</w:t>
      </w:r>
      <w:r>
        <w:rPr>
          <w:rFonts w:ascii="Arial" w:cs="Arial" w:eastAsia="Arial" w:hAnsi="Arial"/>
          <w:sz w:val="11"/>
          <w:szCs w:val="11"/>
          <w:i w:val="1"/>
          <w:iCs w:val="1"/>
          <w:color w:val="auto"/>
        </w:rPr>
        <w:t>Automatic Conversion</w:t>
      </w:r>
      <w:r>
        <w:rPr>
          <w:rFonts w:ascii="Arial" w:cs="Arial" w:eastAsia="Arial" w:hAnsi="Arial"/>
          <w:sz w:val="11"/>
          <w:szCs w:val="11"/>
          <w:color w:val="auto"/>
        </w:rPr>
        <w:t>). The number of shares of common stock and warrants to be issued in connection with the Automatic Conversion is determined by multiplying the Conversion Amount by 1.25, and dividing the resulting number by the price per share of common stock and warrants sold in the Offering. Notwithstanding the Automatic Conversion, holders of Subordinate Notes may elect to receive cash payment of their Subordinate Notes by delivering written notice to us of their election to receive cash within three business days after receiving written notification of our completion of sales resulting in gross proceeds of at least $10.0 million from the Offering. Assuming all holders of Subordinate Notes elect to receive cash rather than securities issuable in connection with the Automatic Conversion, we anticipate using approximately $2.5 million in proceeds from the Offering to pay, in full, all amounts due and payable under the terms of the Subordinate Notes.</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2"/>
                <w:szCs w:val="12"/>
                <w:color w:val="auto"/>
              </w:rPr>
              <w:t>Assuming all 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5"/>
          </w:tcPr>
          <w:p>
            <w:pPr>
              <w:jc w:val="right"/>
              <w:ind w:right="840"/>
              <w:spacing w:after="0"/>
              <w:rPr>
                <w:sz w:val="20"/>
                <w:szCs w:val="20"/>
                <w:color w:val="auto"/>
              </w:rPr>
            </w:pPr>
            <w:r>
              <w:rPr>
                <w:rFonts w:ascii="Arial" w:cs="Arial" w:eastAsia="Arial" w:hAnsi="Arial"/>
                <w:sz w:val="12"/>
                <w:szCs w:val="12"/>
                <w:color w:val="auto"/>
              </w:rPr>
              <w:t>of Subordinate Notes: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w w:val="97"/>
              </w:rPr>
              <w:t>elect Automatic</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w w:val="87"/>
              </w:rPr>
              <w:t>elect to receive cash</w:t>
            </w:r>
          </w:p>
        </w:tc>
        <w:tc>
          <w:tcPr>
            <w:tcW w:w="120" w:type="dxa"/>
            <w:vAlign w:val="bottom"/>
          </w:tcPr>
          <w:p>
            <w:pPr>
              <w:spacing w:after="0"/>
              <w:rPr>
                <w:sz w:val="12"/>
                <w:szCs w:val="1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Conversion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2"/>
                <w:szCs w:val="12"/>
                <w:color w:val="auto"/>
                <w:w w:val="96"/>
              </w:rPr>
              <w:t>in lieu of Automatic</w:t>
            </w:r>
          </w:p>
        </w:tc>
        <w:tc>
          <w:tcPr>
            <w:tcW w:w="12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Subordinate</w:t>
            </w:r>
          </w:p>
        </w:tc>
        <w:tc>
          <w:tcPr>
            <w:tcW w:w="0" w:type="dxa"/>
            <w:vAlign w:val="bottom"/>
          </w:tcPr>
          <w:p>
            <w:pPr>
              <w:spacing w:after="0"/>
              <w:rPr>
                <w:sz w:val="1"/>
                <w:szCs w:val="1"/>
                <w:color w:val="auto"/>
              </w:rPr>
            </w:pP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(amounts in millions)</w:t>
            </w:r>
          </w:p>
        </w:tc>
        <w:tc>
          <w:tcPr>
            <w:tcW w:w="8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2"/>
                <w:szCs w:val="12"/>
                <w:color w:val="auto"/>
              </w:rPr>
              <w:t>Conversion</w:t>
            </w:r>
          </w:p>
        </w:tc>
        <w:tc>
          <w:tcPr>
            <w:tcW w:w="120" w:type="dxa"/>
            <w:vAlign w:val="bottom"/>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2"/>
                <w:szCs w:val="12"/>
                <w:color w:val="auto"/>
              </w:rPr>
              <w:t>Notes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Assumed gross proceeds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Placement agent fees and estimated offering expenses</w:t>
            </w: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proceeds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w w:val="92"/>
              </w:rPr>
              <w:t>Drug rescue programs, development of customized human cellular assay systems for drug discovery and drug rescue, and exploratory nonclinical regenerative medicine programs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spacing w:after="0" w:line="136" w:lineRule="exact"/>
              <w:rPr>
                <w:sz w:val="20"/>
                <w:szCs w:val="20"/>
                <w:color w:val="auto"/>
              </w:rPr>
            </w:pPr>
            <w:r>
              <w:rPr>
                <w:rFonts w:ascii="Arial" w:cs="Arial" w:eastAsia="Arial" w:hAnsi="Arial"/>
                <w:sz w:val="12"/>
                <w:szCs w:val="12"/>
                <w:color w:val="auto"/>
                <w:w w:val="93"/>
              </w:rPr>
              <w:t>To extinguish, during the next twelve months, indebtedness related to prior research and development services, technology license fees and patent prosecution and maintenance</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expenses</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New property, plant and equipment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Repayment of Subordinate Notes</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Working capital and other general and administrative purposes, including payment of approximately $0.9 million of certain professional service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If all holders of Subordinate Notes elect to receive cash in lieu of securities issuable in connection with the Automatic Conversion, and we receive maximum proceeds from this Offering, we expect such proceeds to provide funding for our operations for at least approximately 18 months. Pending other uses, we intend to invest our proceeds from the Offering in short-term investments or hold them as cash. We cannot predict whether the proceeds invested will yield a favorable return. Our management will have broad discretion in the use of the net proceeds from the Offering, and investors will be relying on the judgment of our management regarding the application of the net proceeds.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2" w:name="page43"/>
    <w:bookmarkEnd w:id="4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DILUTION</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If you invest in our common stock, and assuming no value attributable to the warrants, you will experience dilution immediately to the extent of the difference between the public offering price per share of our common stock and warrants you pay in this Offering, and the pro forma net tangible book value per share of our common stock immediately after this Offering. As of March 31, 2014, our pro forma net tangible book value (deficit) was approximately $____ million,</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or $____ per share of common stock. Pro forma net tangible book value per share (deficit) is determined by dividing our total tangible assets less total liabilities, by the number of outstanding shares of our common stock, assuming we</w:t>
      </w:r>
    </w:p>
    <w:p>
      <w:pPr>
        <w:spacing w:after="0" w:line="18"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issue the maximum amount of securities registered herein, and assuming all holders of Subordinate Notes automatically convert into shares of common stock and warrants substantially similar to those offered in connection with the Offering.</w:t>
      </w:r>
    </w:p>
    <w:p>
      <w:pPr>
        <w:spacing w:after="0" w:line="141"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Dilution in pro forma net tangible book value (deficit) per share represents the difference between the amount per share paid by buyers of shares of our common stock in this Offering and the pro forma net tangible book value (deficit) per share of our common stock immediately following this Offering. After giving effect to the issuance of the maximum number of shares registered herein at an assumed Offering price of $____ per share, and after deducting the estimated</w:t>
      </w:r>
    </w:p>
    <w:p>
      <w:pPr>
        <w:spacing w:after="0" w:line="1" w:lineRule="exact"/>
        <w:rPr>
          <w:sz w:val="20"/>
          <w:szCs w:val="20"/>
          <w:color w:val="auto"/>
        </w:rPr>
      </w:pPr>
    </w:p>
    <w:p>
      <w:pPr>
        <w:spacing w:after="0" w:line="300" w:lineRule="auto"/>
        <w:rPr>
          <w:sz w:val="20"/>
          <w:szCs w:val="20"/>
          <w:color w:val="auto"/>
        </w:rPr>
      </w:pPr>
      <w:r>
        <w:rPr>
          <w:rFonts w:ascii="Arial" w:cs="Arial" w:eastAsia="Arial" w:hAnsi="Arial"/>
          <w:sz w:val="10"/>
          <w:szCs w:val="10"/>
          <w:color w:val="auto"/>
        </w:rPr>
        <w:t>Agent fees on the gross cash proceeds from the Offering and the non-accountable expense allowance, as well as estimated Offering expenses payable by us, our pro forma as adjusted net tangible book value (deficit) as of March 31, 2014, would have been approximately $____ million, or $____ per share of common stock. This data represents an immediate increase in pro forma net tangible book value of $____ per share to existing stockholders and an immediate dilution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of $____ per share to new investors purchasing shares at the Offering price.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illustrates the per share dilution to investors in this Offering: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2"/>
                <w:szCs w:val="12"/>
                <w:color w:val="auto"/>
              </w:rPr>
              <w:t>Assumed public offering price per share</w:t>
            </w:r>
          </w:p>
        </w:tc>
        <w:tc>
          <w:tcPr>
            <w:tcW w:w="1120" w:type="dxa"/>
            <w:vAlign w:val="bottom"/>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20" w:type="dxa"/>
            <w:vAlign w:val="bottom"/>
          </w:tcPr>
          <w:p>
            <w:pPr>
              <w:spacing w:after="0" w:line="136" w:lineRule="exact"/>
              <w:rPr>
                <w:sz w:val="20"/>
                <w:szCs w:val="20"/>
                <w:color w:val="auto"/>
              </w:rPr>
            </w:pPr>
            <w:r>
              <w:rPr>
                <w:rFonts w:ascii="Arial" w:cs="Arial" w:eastAsia="Arial" w:hAnsi="Arial"/>
                <w:sz w:val="12"/>
                <w:szCs w:val="12"/>
                <w:color w:val="auto"/>
              </w:rPr>
              <w:t>Historical net tangible book value (deficit) per share as of March 31, 2014</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40" w:type="dxa"/>
            <w:vAlign w:val="bottom"/>
            <w:gridSpan w:val="2"/>
          </w:tcPr>
          <w:p>
            <w:pPr>
              <w:spacing w:after="0"/>
              <w:rPr>
                <w:sz w:val="20"/>
                <w:szCs w:val="20"/>
                <w:color w:val="auto"/>
              </w:rPr>
            </w:pPr>
            <w:r>
              <w:rPr>
                <w:rFonts w:ascii="Arial" w:cs="Arial" w:eastAsia="Arial" w:hAnsi="Arial"/>
                <w:sz w:val="12"/>
                <w:szCs w:val="12"/>
                <w:color w:val="auto"/>
              </w:rPr>
              <w:t>Conversion of Subordinate Notes into common stock and warrants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40" w:type="dxa"/>
            <w:vAlign w:val="bottom"/>
            <w:gridSpan w:val="2"/>
          </w:tcPr>
          <w:p>
            <w:pPr>
              <w:spacing w:after="0"/>
              <w:rPr>
                <w:sz w:val="20"/>
                <w:szCs w:val="20"/>
                <w:color w:val="auto"/>
              </w:rPr>
            </w:pPr>
            <w:r>
              <w:rPr>
                <w:rFonts w:ascii="Arial" w:cs="Arial" w:eastAsia="Arial" w:hAnsi="Arial"/>
                <w:sz w:val="12"/>
                <w:szCs w:val="12"/>
                <w:color w:val="auto"/>
              </w:rPr>
              <w:t>Pro forma net tangible book value (deficit) per share as of March 31, 2014</w:t>
            </w:r>
          </w:p>
        </w:tc>
        <w:tc>
          <w:tcPr>
            <w:tcW w:w="1120" w:type="dxa"/>
            <w:vAlign w:val="bottom"/>
          </w:tcPr>
          <w:p>
            <w:pPr>
              <w:jc w:val="right"/>
              <w:ind w:right="1010"/>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2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Increase in pro forma net tangible book value per share attributable to investors in this Offering</w:t>
            </w:r>
          </w:p>
        </w:tc>
        <w:tc>
          <w:tcPr>
            <w:tcW w:w="11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 forma net tangible book value (deficit) per share as of March 31, 2014, as adjusted to give effect to this Offering</w:t>
            </w:r>
          </w:p>
        </w:tc>
        <w:tc>
          <w:tcPr>
            <w:tcW w:w="11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2"/>
                <w:szCs w:val="12"/>
                <w:color w:val="auto"/>
              </w:rPr>
              <w:t>Less: Pro forma as adjusted dilution per share to investors in this Offering</w:t>
            </w:r>
          </w:p>
        </w:tc>
        <w:tc>
          <w:tcPr>
            <w:tcW w:w="1120" w:type="dxa"/>
            <w:vAlign w:val="bottom"/>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following table shows, on the pro forma basis described above, the difference between existing stockholders and new investors in this Offering with respect to the number of shares of common stock purchased from us, the total consideration paid and the average price paid per share, before deducting estimated offering expenses payable by us.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3" w:name="page44"/>
    <w:bookmarkEnd w:id="43"/>
    <w:tbl>
      <w:tblPr>
        <w:tblLayout w:type="fixed"/>
        <w:tblInd w:w="8" w:type="dxa"/>
        <w:tblCellMar>
          <w:top w:w="0" w:type="dxa"/>
          <w:left w:w="0" w:type="dxa"/>
          <w:bottom w:w="0" w:type="dxa"/>
          <w:right w:w="0" w:type="dxa"/>
        </w:tblCellMar>
      </w:tblPr>
      <w:tr>
        <w:trPr>
          <w:trHeight w:val="126"/>
        </w:trPr>
        <w:tc>
          <w:tcPr>
            <w:tcW w:w="3900" w:type="dxa"/>
            <w:vAlign w:val="bottom"/>
            <w:gridSpan w:val="4"/>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92"/>
              </w:rPr>
              <w:t>Shares purchased</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w w:val="88"/>
              </w:rPr>
              <w:t>Total consideration</w:t>
            </w: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60" w:type="dxa"/>
            <w:vAlign w:val="bottom"/>
            <w:gridSpan w:val="3"/>
          </w:tcPr>
          <w:p>
            <w:pPr>
              <w:jc w:val="right"/>
              <w:ind w:right="1120"/>
              <w:spacing w:after="0" w:line="129" w:lineRule="exact"/>
              <w:rPr>
                <w:sz w:val="20"/>
                <w:szCs w:val="20"/>
                <w:color w:val="auto"/>
              </w:rPr>
            </w:pPr>
            <w:r>
              <w:rPr>
                <w:rFonts w:ascii="Arial" w:cs="Arial" w:eastAsia="Arial" w:hAnsi="Arial"/>
                <w:sz w:val="12"/>
                <w:szCs w:val="12"/>
                <w:b w:val="1"/>
                <w:bCs w:val="1"/>
                <w:color w:val="auto"/>
              </w:rPr>
              <w:t>Amount</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jc w:val="center"/>
              <w:ind w:right="480"/>
              <w:spacing w:after="0" w:line="129" w:lineRule="exact"/>
              <w:rPr>
                <w:sz w:val="20"/>
                <w:szCs w:val="20"/>
                <w:color w:val="auto"/>
              </w:rPr>
            </w:pPr>
            <w:r>
              <w:rPr>
                <w:rFonts w:ascii="Arial" w:cs="Arial" w:eastAsia="Arial" w:hAnsi="Arial"/>
                <w:sz w:val="12"/>
                <w:szCs w:val="12"/>
                <w:b w:val="1"/>
                <w:bCs w:val="1"/>
                <w:color w:val="auto"/>
                <w:w w:val="90"/>
              </w:rPr>
              <w:t>price per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w w:val="92"/>
              </w:rPr>
              <w:t>Number</w:t>
            </w:r>
          </w:p>
        </w:tc>
        <w:tc>
          <w:tcPr>
            <w:tcW w:w="14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Percent</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2"/>
                <w:szCs w:val="12"/>
                <w:b w:val="1"/>
                <w:bCs w:val="1"/>
                <w:color w:val="auto"/>
              </w:rPr>
              <w:t>(in thousands)</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Percent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right="380"/>
              <w:spacing w:after="0"/>
              <w:rPr>
                <w:sz w:val="20"/>
                <w:szCs w:val="20"/>
                <w:color w:val="auto"/>
              </w:rPr>
            </w:pPr>
            <w:r>
              <w:rPr>
                <w:rFonts w:ascii="Arial" w:cs="Arial" w:eastAsia="Arial" w:hAnsi="Arial"/>
                <w:sz w:val="12"/>
                <w:szCs w:val="12"/>
                <w:b w:val="1"/>
                <w:bCs w:val="1"/>
                <w:color w:val="auto"/>
                <w:w w:val="87"/>
              </w:rPr>
              <w:t>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Existing stockholders</w:t>
            </w:r>
          </w:p>
        </w:tc>
        <w:tc>
          <w:tcPr>
            <w:tcW w:w="1440" w:type="dxa"/>
            <w:vAlign w:val="bottom"/>
            <w:shd w:val="clear" w:color="auto" w:fill="CCEEFF"/>
          </w:tcPr>
          <w:p>
            <w:pPr>
              <w:jc w:val="right"/>
              <w:ind w:right="1020"/>
              <w:spacing w:after="0"/>
              <w:rPr>
                <w:sz w:val="20"/>
                <w:szCs w:val="20"/>
                <w:color w:val="auto"/>
              </w:rPr>
            </w:pPr>
            <w:r>
              <w:rPr>
                <w:rFonts w:ascii="Arial" w:cs="Arial" w:eastAsia="Arial" w:hAnsi="Arial"/>
                <w:sz w:val="12"/>
                <w:szCs w:val="12"/>
                <w:color w:val="auto"/>
                <w:w w:val="84"/>
              </w:rPr>
              <w:t>______</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0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______</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__%</w:t>
            </w: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gridSpan w:val="3"/>
          </w:tcPr>
          <w:p>
            <w:pPr>
              <w:spacing w:after="0" w:line="153" w:lineRule="exact"/>
              <w:rPr>
                <w:sz w:val="20"/>
                <w:szCs w:val="20"/>
                <w:color w:val="auto"/>
              </w:rPr>
            </w:pPr>
            <w:r>
              <w:rPr>
                <w:rFonts w:ascii="Arial" w:cs="Arial" w:eastAsia="Arial" w:hAnsi="Arial"/>
                <w:sz w:val="12"/>
                <w:szCs w:val="12"/>
                <w:color w:val="auto"/>
              </w:rPr>
              <w:t xml:space="preserve">New investors </w:t>
            </w:r>
            <w:r>
              <w:rPr>
                <w:rFonts w:ascii="Arial" w:cs="Arial" w:eastAsia="Arial" w:hAnsi="Arial"/>
                <w:sz w:val="16"/>
                <w:szCs w:val="16"/>
                <w:color w:val="auto"/>
                <w:vertAlign w:val="subscript"/>
              </w:rPr>
              <w:t>(1)</w:t>
            </w:r>
          </w:p>
        </w:tc>
        <w:tc>
          <w:tcPr>
            <w:tcW w:w="1440" w:type="dxa"/>
            <w:vAlign w:val="bottom"/>
          </w:tcPr>
          <w:p>
            <w:pPr>
              <w:jc w:val="right"/>
              <w:ind w:right="1020"/>
              <w:spacing w:after="0"/>
              <w:rPr>
                <w:sz w:val="20"/>
                <w:szCs w:val="20"/>
                <w:color w:val="auto"/>
              </w:rPr>
            </w:pPr>
            <w:r>
              <w:rPr>
                <w:rFonts w:ascii="Arial" w:cs="Arial" w:eastAsia="Arial" w:hAnsi="Arial"/>
                <w:sz w:val="12"/>
                <w:szCs w:val="12"/>
                <w:color w:val="auto"/>
                <w:w w:val="84"/>
              </w:rPr>
              <w:t>______</w:t>
            </w:r>
          </w:p>
        </w:tc>
        <w:tc>
          <w:tcPr>
            <w:tcW w:w="400" w:type="dxa"/>
            <w:vAlign w:val="bottom"/>
          </w:tcPr>
          <w:p>
            <w:pPr>
              <w:jc w:val="right"/>
              <w:spacing w:after="0"/>
              <w:rPr>
                <w:sz w:val="20"/>
                <w:szCs w:val="20"/>
                <w:color w:val="auto"/>
              </w:rPr>
            </w:pPr>
            <w:r>
              <w:rPr>
                <w:rFonts w:ascii="Arial" w:cs="Arial" w:eastAsia="Arial" w:hAnsi="Arial"/>
                <w:sz w:val="12"/>
                <w:szCs w:val="12"/>
                <w:color w:val="auto"/>
              </w:rPr>
              <w:t>__%</w:t>
            </w:r>
          </w:p>
        </w:tc>
        <w:tc>
          <w:tcPr>
            <w:tcW w:w="5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060" w:type="dxa"/>
            <w:vAlign w:val="bottom"/>
            <w:gridSpan w:val="3"/>
          </w:tcPr>
          <w:p>
            <w:pPr>
              <w:jc w:val="right"/>
              <w:ind w:right="160"/>
              <w:spacing w:after="0"/>
              <w:rPr>
                <w:sz w:val="20"/>
                <w:szCs w:val="20"/>
                <w:color w:val="auto"/>
              </w:rPr>
            </w:pPr>
            <w:r>
              <w:rPr>
                <w:rFonts w:ascii="Arial" w:cs="Arial" w:eastAsia="Arial" w:hAnsi="Arial"/>
                <w:sz w:val="12"/>
                <w:szCs w:val="12"/>
                <w:color w:val="auto"/>
              </w:rPr>
              <w:t>______</w:t>
            </w: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__%</w:t>
            </w:r>
          </w:p>
        </w:tc>
        <w:tc>
          <w:tcPr>
            <w:tcW w:w="5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740" w:type="dxa"/>
            <w:vAlign w:val="bottom"/>
            <w:gridSpan w:val="2"/>
          </w:tcPr>
          <w:p>
            <w:pPr>
              <w:jc w:val="right"/>
              <w:ind w:right="2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gridSpan w:val="3"/>
          </w:tcPr>
          <w:p>
            <w:pPr>
              <w:spacing w:after="0" w:line="124" w:lineRule="exact"/>
              <w:rPr>
                <w:sz w:val="20"/>
                <w:szCs w:val="20"/>
                <w:color w:val="auto"/>
              </w:rPr>
            </w:pPr>
            <w:r>
              <w:rPr>
                <w:rFonts w:ascii="Arial" w:cs="Arial" w:eastAsia="Arial" w:hAnsi="Arial"/>
                <w:sz w:val="12"/>
                <w:szCs w:val="12"/>
                <w:color w:val="auto"/>
              </w:rPr>
              <w:t>Total</w:t>
            </w:r>
          </w:p>
        </w:tc>
        <w:tc>
          <w:tcPr>
            <w:tcW w:w="1440" w:type="dxa"/>
            <w:vAlign w:val="bottom"/>
          </w:tcPr>
          <w:p>
            <w:pPr>
              <w:jc w:val="right"/>
              <w:ind w:right="1020"/>
              <w:spacing w:after="0" w:line="124" w:lineRule="exact"/>
              <w:rPr>
                <w:sz w:val="20"/>
                <w:szCs w:val="20"/>
                <w:color w:val="auto"/>
              </w:rPr>
            </w:pPr>
            <w:r>
              <w:rPr>
                <w:rFonts w:ascii="Arial" w:cs="Arial" w:eastAsia="Arial" w:hAnsi="Arial"/>
                <w:sz w:val="12"/>
                <w:szCs w:val="12"/>
                <w:color w:val="auto"/>
                <w:w w:val="84"/>
              </w:rPr>
              <w:t>______</w:t>
            </w: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___%</w:t>
            </w:r>
          </w:p>
        </w:tc>
        <w:tc>
          <w:tcPr>
            <w:tcW w:w="540" w:type="dxa"/>
            <w:vAlign w:val="bottom"/>
            <w:gridSpan w:val="2"/>
          </w:tcPr>
          <w:p>
            <w:pPr>
              <w:jc w:val="right"/>
              <w:ind w:right="360"/>
              <w:spacing w:after="0" w:line="124" w:lineRule="exact"/>
              <w:rPr>
                <w:sz w:val="20"/>
                <w:szCs w:val="20"/>
                <w:color w:val="auto"/>
              </w:rPr>
            </w:pPr>
            <w:r>
              <w:rPr>
                <w:rFonts w:ascii="Arial" w:cs="Arial" w:eastAsia="Arial" w:hAnsi="Arial"/>
                <w:sz w:val="12"/>
                <w:szCs w:val="12"/>
                <w:color w:val="auto"/>
              </w:rPr>
              <w:t>$</w:t>
            </w:r>
          </w:p>
        </w:tc>
        <w:tc>
          <w:tcPr>
            <w:tcW w:w="2060" w:type="dxa"/>
            <w:vAlign w:val="bottom"/>
            <w:gridSpan w:val="3"/>
          </w:tcPr>
          <w:p>
            <w:pPr>
              <w:jc w:val="right"/>
              <w:ind w:right="160"/>
              <w:spacing w:after="0" w:line="124" w:lineRule="exact"/>
              <w:rPr>
                <w:sz w:val="20"/>
                <w:szCs w:val="20"/>
                <w:color w:val="auto"/>
              </w:rPr>
            </w:pPr>
            <w:r>
              <w:rPr>
                <w:rFonts w:ascii="Arial" w:cs="Arial" w:eastAsia="Arial" w:hAnsi="Arial"/>
                <w:sz w:val="12"/>
                <w:szCs w:val="12"/>
                <w:color w:val="auto"/>
              </w:rPr>
              <w:t>______</w:t>
            </w:r>
          </w:p>
        </w:tc>
        <w:tc>
          <w:tcPr>
            <w:tcW w:w="92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___%</w:t>
            </w:r>
          </w:p>
        </w:tc>
        <w:tc>
          <w:tcPr>
            <w:tcW w:w="500" w:type="dxa"/>
            <w:vAlign w:val="bottom"/>
            <w:gridSpan w:val="2"/>
          </w:tcPr>
          <w:p>
            <w:pPr>
              <w:jc w:val="right"/>
              <w:ind w:right="380"/>
              <w:spacing w:after="0" w:line="124" w:lineRule="exact"/>
              <w:rPr>
                <w:sz w:val="20"/>
                <w:szCs w:val="20"/>
                <w:color w:val="auto"/>
              </w:rPr>
            </w:pPr>
            <w:r>
              <w:rPr>
                <w:rFonts w:ascii="Arial" w:cs="Arial" w:eastAsia="Arial" w:hAnsi="Arial"/>
                <w:sz w:val="12"/>
                <w:szCs w:val="12"/>
                <w:color w:val="auto"/>
              </w:rPr>
              <w:t>$</w:t>
            </w:r>
          </w:p>
        </w:tc>
        <w:tc>
          <w:tcPr>
            <w:tcW w:w="1720" w:type="dxa"/>
            <w:vAlign w:val="bottom"/>
          </w:tcPr>
          <w:p>
            <w:pPr>
              <w:jc w:val="right"/>
              <w:spacing w:after="0" w:line="124" w:lineRule="exact"/>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748" w:hanging="748"/>
        <w:spacing w:after="0"/>
        <w:tabs>
          <w:tab w:leader="none" w:pos="748"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shares issuable upon exercise of the warrants registered herein.</w:t>
      </w:r>
    </w:p>
    <w:p>
      <w:pPr>
        <w:spacing w:after="0" w:line="200" w:lineRule="exact"/>
        <w:rPr>
          <w:sz w:val="20"/>
          <w:szCs w:val="20"/>
          <w:color w:val="auto"/>
        </w:rPr>
      </w:pPr>
    </w:p>
    <w:p>
      <w:pPr>
        <w:spacing w:after="0" w:line="274" w:lineRule="exact"/>
        <w:rPr>
          <w:sz w:val="20"/>
          <w:szCs w:val="20"/>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up to 30,000,000 shares of common stock issuable upon exercise of warrants being offered in this Offering;</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4,249,271 shares of common stock issuable upon the exercise of outstanding options under our 1999 Stock Incentive Plan and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735,200 shares of common stock reserved for issuance in connection with future grants under our stock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17,095,633 shares of common stock reserved for issuance upon exercise of outstanding warrants, which have exercise prices ranging from $0.50 per share to $2.63 per share;</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15,000,000 shares of common stock reserved for issuance upon the exchange of our Series A Preferred;</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7,500,000 shares of common stock issuable upon the exercise of warrants issuable upon the exchange of Series A Preferred; and</w:t>
      </w:r>
    </w:p>
    <w:p>
      <w:pPr>
        <w:spacing w:after="0" w:line="168" w:lineRule="exact"/>
        <w:rPr>
          <w:rFonts w:ascii="Arial" w:cs="Arial" w:eastAsia="Arial" w:hAnsi="Arial"/>
          <w:sz w:val="12"/>
          <w:szCs w:val="12"/>
          <w:color w:val="auto"/>
        </w:rPr>
      </w:pPr>
    </w:p>
    <w:p>
      <w:pPr>
        <w:ind w:left="328" w:right="20" w:hanging="328"/>
        <w:spacing w:after="0" w:line="276" w:lineRule="auto"/>
        <w:tabs>
          <w:tab w:leader="none" w:pos="391" w:val="left"/>
        </w:tabs>
        <w:numPr>
          <w:ilvl w:val="0"/>
          <w:numId w:val="19"/>
        </w:numPr>
        <w:rPr>
          <w:rFonts w:ascii="Arial" w:cs="Arial" w:eastAsia="Arial" w:hAnsi="Arial"/>
          <w:sz w:val="12"/>
          <w:szCs w:val="12"/>
          <w:color w:val="auto"/>
        </w:rPr>
      </w:pPr>
      <w:r>
        <w:rPr>
          <w:rFonts w:ascii="Arial" w:cs="Arial" w:eastAsia="Arial" w:hAnsi="Arial"/>
          <w:sz w:val="12"/>
          <w:szCs w:val="12"/>
          <w:color w:val="auto"/>
        </w:rPr>
        <w:t>shares of common stock reserved for issuance upon the exchange of newly created Series B Preferred, which Series B Preferred will be issued upon automatic conversion of the Platinum Notes, assuming gross proceeds from the Offering of at least $10.0 million. See “</w:t>
      </w:r>
      <w:r>
        <w:rPr>
          <w:rFonts w:ascii="Arial" w:cs="Arial" w:eastAsia="Arial" w:hAnsi="Arial"/>
          <w:sz w:val="12"/>
          <w:szCs w:val="12"/>
          <w:i w:val="1"/>
          <w:iCs w:val="1"/>
          <w:color w:val="auto"/>
        </w:rPr>
        <w:t>The Offering – Platinum Notes</w:t>
      </w:r>
      <w:r>
        <w:rPr>
          <w:rFonts w:ascii="Arial" w:cs="Arial" w:eastAsia="Arial" w:hAnsi="Arial"/>
          <w:sz w:val="12"/>
          <w:szCs w:val="12"/>
          <w:color w:val="auto"/>
        </w:rPr>
        <w:t>” on page 3 of this prospectus for a description of the Platinum Notes.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44" w:name="page45"/>
    <w:bookmarkEnd w:id="4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CAPITALIZATION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our capitalization as of March 31, 2014 that is derived from our audited financial information included elsewhere in this prospectus:</w:t>
      </w:r>
    </w:p>
    <w:p>
      <w:pPr>
        <w:spacing w:after="0" w:line="168" w:lineRule="exact"/>
        <w:rPr>
          <w:sz w:val="20"/>
          <w:szCs w:val="20"/>
          <w:color w:val="auto"/>
        </w:rPr>
      </w:pPr>
    </w:p>
    <w:p>
      <w:pPr>
        <w:ind w:left="1068" w:hanging="1068"/>
        <w:spacing w:after="0"/>
        <w:tabs>
          <w:tab w:leader="none" w:pos="10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on an actual basis; and</w:t>
      </w:r>
    </w:p>
    <w:p>
      <w:pPr>
        <w:spacing w:after="0" w:line="168" w:lineRule="exact"/>
        <w:rPr>
          <w:rFonts w:ascii="Arial" w:cs="Arial" w:eastAsia="Arial" w:hAnsi="Arial"/>
          <w:sz w:val="12"/>
          <w:szCs w:val="12"/>
          <w:color w:val="auto"/>
        </w:rPr>
      </w:pPr>
    </w:p>
    <w:p>
      <w:pPr>
        <w:ind w:left="1068" w:hanging="1068"/>
        <w:spacing w:after="0"/>
        <w:tabs>
          <w:tab w:leader="none" w:pos="10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on a pro forma basis giving effect to net proceeds from this Offering of approximately $15 million.</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As of March 31, 2014 (Amounts in dollars)</w:t>
            </w:r>
          </w:p>
        </w:tc>
        <w:tc>
          <w:tcPr>
            <w:tcW w:w="5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Actual</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Pro forma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59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Long-term debt, excluding current portion</w:t>
            </w: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4,784,500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5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60" w:type="dxa"/>
            <w:vAlign w:val="bottom"/>
            <w:gridSpan w:val="4"/>
          </w:tcPr>
          <w:p>
            <w:pPr>
              <w:spacing w:after="0" w:line="136" w:lineRule="exact"/>
              <w:rPr>
                <w:sz w:val="20"/>
                <w:szCs w:val="20"/>
                <w:color w:val="auto"/>
              </w:rPr>
            </w:pPr>
            <w:r>
              <w:rPr>
                <w:rFonts w:ascii="Arial" w:cs="Arial" w:eastAsia="Arial" w:hAnsi="Arial"/>
                <w:sz w:val="12"/>
                <w:szCs w:val="12"/>
                <w:color w:val="auto"/>
                <w:w w:val="99"/>
              </w:rPr>
              <w:t>Preferred stock, $0.001 par value, 10,000,000 shares authorized; 500,000  Series A Preferred shares authorized, 500,000 Series A Preferred shares issued and</w:t>
            </w: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60" w:type="dxa"/>
            <w:vAlign w:val="bottom"/>
            <w:gridSpan w:val="2"/>
          </w:tcPr>
          <w:p>
            <w:pPr>
              <w:spacing w:after="0"/>
              <w:rPr>
                <w:sz w:val="20"/>
                <w:szCs w:val="20"/>
                <w:color w:val="auto"/>
              </w:rPr>
            </w:pPr>
            <w:r>
              <w:rPr>
                <w:rFonts w:ascii="Arial" w:cs="Arial" w:eastAsia="Arial" w:hAnsi="Arial"/>
                <w:sz w:val="12"/>
                <w:szCs w:val="12"/>
                <w:color w:val="auto"/>
              </w:rPr>
              <w:t>outstanding, actual;</w:t>
            </w:r>
          </w:p>
        </w:tc>
        <w:tc>
          <w:tcPr>
            <w:tcW w:w="5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3"/>
                <w:szCs w:val="13"/>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2"/>
                <w:szCs w:val="12"/>
                <w:color w:val="auto"/>
              </w:rPr>
              <w:t>_____</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4"/>
              </w:rPr>
              <w:t>Common  stock,  $0.001  par  value,  200,000,000</w:t>
            </w:r>
          </w:p>
        </w:tc>
        <w:tc>
          <w:tcPr>
            <w:tcW w:w="5920" w:type="dxa"/>
            <w:vAlign w:val="bottom"/>
            <w:gridSpan w:val="3"/>
            <w:shd w:val="clear" w:color="auto" w:fill="CCEEFF"/>
          </w:tcPr>
          <w:p>
            <w:pPr>
              <w:jc w:val="right"/>
              <w:ind w:right="440"/>
              <w:spacing w:after="0" w:line="136" w:lineRule="exact"/>
              <w:rPr>
                <w:sz w:val="20"/>
                <w:szCs w:val="20"/>
                <w:color w:val="auto"/>
              </w:rPr>
            </w:pPr>
            <w:r>
              <w:rPr>
                <w:rFonts w:ascii="Arial" w:cs="Arial" w:eastAsia="Arial" w:hAnsi="Arial"/>
                <w:sz w:val="12"/>
                <w:szCs w:val="12"/>
                <w:color w:val="auto"/>
                <w:w w:val="92"/>
              </w:rPr>
              <w:t>shares  authorized;  26,210,185  shares  issued,  23,486,877  outstanding,  actual;  56,506,877  shares  issued</w:t>
            </w: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and 53,783,569 shares outstanding, pro forma</w:t>
            </w:r>
          </w:p>
        </w:tc>
        <w:tc>
          <w:tcPr>
            <w:tcW w:w="5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26,200</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61,976,500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Treasury stock, at cost, 2,713,308 shares</w:t>
            </w:r>
          </w:p>
        </w:tc>
        <w:tc>
          <w:tcPr>
            <w:tcW w:w="5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(3,968,100)</w:t>
            </w: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Note receivable from sale of common stock</w:t>
            </w: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2"/>
                <w:szCs w:val="12"/>
                <w:color w:val="auto"/>
              </w:rPr>
              <w:t>(198,100)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5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(70,636,900)</w:t>
            </w: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Total stockholders’ deficit</w:t>
            </w: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2"/>
                <w:szCs w:val="12"/>
                <w:color w:val="auto"/>
              </w:rPr>
              <w:t>(12,799,900)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shd w:val="clear" w:color="auto" w:fill="CCEEFF"/>
          </w:tcPr>
          <w:p>
            <w:pPr>
              <w:ind w:left="60"/>
              <w:spacing w:after="0"/>
              <w:rPr>
                <w:sz w:val="20"/>
                <w:szCs w:val="20"/>
                <w:color w:val="auto"/>
              </w:rPr>
            </w:pPr>
            <w:r>
              <w:rPr>
                <w:rFonts w:ascii="Arial" w:cs="Arial" w:eastAsia="Arial" w:hAnsi="Arial"/>
                <w:sz w:val="12"/>
                <w:szCs w:val="12"/>
                <w:color w:val="auto"/>
              </w:rPr>
              <w:t>Total capitalization</w:t>
            </w:r>
          </w:p>
        </w:tc>
        <w:tc>
          <w:tcPr>
            <w:tcW w:w="59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(8,015,400)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48" w:hanging="348"/>
        <w:spacing w:after="0"/>
        <w:tabs>
          <w:tab w:leader="none" w:pos="3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up to 30,000,000 shares of common stock issuable upon exercise of warrants being offered in this Offering;</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4,249,271 shares of common stock reserved for issuance upon the exercise of outstanding options under our 1999 Stock Incentive Plan and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17,095,633 shares of common stock reserved for issuance upon exercise of outstanding warrants, which have exercise prices ranging from $0.50 per share to $2.63 per share;</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7,500,000 shares of our common stock issuable upon the exercise of warrants issuable upon the exchange of our Series A Preferred; and</w:t>
      </w:r>
    </w:p>
    <w:p>
      <w:pPr>
        <w:spacing w:after="0" w:line="168" w:lineRule="exact"/>
        <w:rPr>
          <w:rFonts w:ascii="Arial" w:cs="Arial" w:eastAsia="Arial" w:hAnsi="Arial"/>
          <w:sz w:val="12"/>
          <w:szCs w:val="12"/>
          <w:color w:val="auto"/>
        </w:rPr>
      </w:pPr>
    </w:p>
    <w:p>
      <w:pPr>
        <w:ind w:left="328" w:right="20" w:hanging="328"/>
        <w:spacing w:after="0" w:line="276" w:lineRule="auto"/>
        <w:tabs>
          <w:tab w:leader="none" w:pos="346" w:val="left"/>
        </w:tabs>
        <w:numPr>
          <w:ilvl w:val="0"/>
          <w:numId w:val="21"/>
        </w:numPr>
        <w:rPr>
          <w:rFonts w:ascii="Arial" w:cs="Arial" w:eastAsia="Arial" w:hAnsi="Arial"/>
          <w:sz w:val="12"/>
          <w:szCs w:val="12"/>
          <w:color w:val="auto"/>
        </w:rPr>
      </w:pPr>
      <w:r>
        <w:rPr>
          <w:rFonts w:ascii="Arial" w:cs="Arial" w:eastAsia="Arial" w:hAnsi="Arial"/>
          <w:sz w:val="12"/>
          <w:szCs w:val="12"/>
          <w:color w:val="auto"/>
        </w:rPr>
        <w:t>shares of our common stock reserved for issuance upon the exchange of newly created Series B Preferred, which Series B Preferred will be issued upon automatic conversion of the Platinum Notes, assuming gross proceeds from the Offering of at least $10.0 million. See “</w:t>
      </w:r>
      <w:r>
        <w:rPr>
          <w:rFonts w:ascii="Arial" w:cs="Arial" w:eastAsia="Arial" w:hAnsi="Arial"/>
          <w:sz w:val="12"/>
          <w:szCs w:val="12"/>
          <w:i w:val="1"/>
          <w:iCs w:val="1"/>
          <w:color w:val="auto"/>
        </w:rPr>
        <w:t>The Offering – Platinum Notes</w:t>
      </w:r>
      <w:r>
        <w:rPr>
          <w:rFonts w:ascii="Arial" w:cs="Arial" w:eastAsia="Arial" w:hAnsi="Arial"/>
          <w:sz w:val="12"/>
          <w:szCs w:val="12"/>
          <w:color w:val="auto"/>
        </w:rPr>
        <w:t>” on page 3 of this prospectus for a description of the Platinum Notes.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5" w:name="page46"/>
    <w:bookmarkEnd w:id="4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PLAN OF DISTRIBUTION</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have entered into a placement agency agreement, dated as of August__ , 2014, with Geller Biopharm (</w:t>
      </w:r>
      <w:r>
        <w:rPr>
          <w:rFonts w:ascii="Arial" w:cs="Arial" w:eastAsia="Arial" w:hAnsi="Arial"/>
          <w:sz w:val="12"/>
          <w:szCs w:val="12"/>
          <w:i w:val="1"/>
          <w:iCs w:val="1"/>
          <w:color w:val="auto"/>
        </w:rPr>
        <w:t>Geller Biopharm</w:t>
      </w:r>
      <w:r>
        <w:rPr>
          <w:rFonts w:ascii="Arial" w:cs="Arial" w:eastAsia="Arial" w:hAnsi="Arial"/>
          <w:sz w:val="12"/>
          <w:szCs w:val="12"/>
          <w:color w:val="auto"/>
        </w:rPr>
        <w:t xml:space="preserve"> or </w:t>
      </w:r>
      <w:r>
        <w:rPr>
          <w:rFonts w:ascii="Arial" w:cs="Arial" w:eastAsia="Arial" w:hAnsi="Arial"/>
          <w:sz w:val="12"/>
          <w:szCs w:val="12"/>
          <w:i w:val="1"/>
          <w:iCs w:val="1"/>
          <w:color w:val="auto"/>
        </w:rPr>
        <w:t>Agent</w:t>
      </w:r>
      <w:r>
        <w:rPr>
          <w:rFonts w:ascii="Arial" w:cs="Arial" w:eastAsia="Arial" w:hAnsi="Arial"/>
          <w:sz w:val="12"/>
          <w:szCs w:val="12"/>
          <w:color w:val="auto"/>
        </w:rPr>
        <w:t xml:space="preserve">), a healthcare investment banking division of Financial West Group. Subject to the terms and conditions contained in the placement agency agreement, the Agent has agreed to act as the placement agent in connection with the sale of up to an aggregate of 30,000,000 (the </w:t>
      </w:r>
      <w:r>
        <w:rPr>
          <w:rFonts w:ascii="Arial" w:cs="Arial" w:eastAsia="Arial" w:hAnsi="Arial"/>
          <w:sz w:val="12"/>
          <w:szCs w:val="12"/>
          <w:i w:val="1"/>
          <w:iCs w:val="1"/>
          <w:color w:val="auto"/>
        </w:rPr>
        <w:t>Maximum Offering</w:t>
      </w:r>
      <w:r>
        <w:rPr>
          <w:rFonts w:ascii="Arial" w:cs="Arial" w:eastAsia="Arial" w:hAnsi="Arial"/>
          <w:sz w:val="12"/>
          <w:szCs w:val="12"/>
          <w:color w:val="auto"/>
        </w:rPr>
        <w:t>) shares of its common stock. For each share of common stock issued and sold by us, we shall issue and sell to the investors warrants to purchase up to one share of common stock at an exercise price of $__ per share. The Agent may engage selected dealers to assist in the placement of the securities offered hereby. The Agent is not purchasing or selling any securities offered by this prospectus, nor are they required to arrange the purchase or sale of any specific number or dollar amount of our securities. However, Geller Biopharm has agreed to use their best efforts to arrange for the sale of the securities offered hereby.</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Investors wishing to participate in the Offering will be required to deliver an executed subscription agreement to the Agent and immediately available funds via wire transfer to Signature Bank, as escrow agent for the Company. All of the proceeds from the sale of the securities offered hereby will be deposited into an escrow account at the escrow agent. If the Company does not accept the subscription of an investor, all monies of such investor will be refunded promptly, without any earned interest, and without deduction for commissions or expenses, including costs of the escrow agent. The Offering period may continue until September 30, 2014 and may be extended by the Agent and us.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escrow agent will notify the Agent when funds to pay for the securities offered hereby have been received. The Agent shall inform the escrow agent in writing of the name, address, and the tax identification number of the investor, the amount of securities subscribed for by such investor, and the aggregate dollar amount of such subscription. The Agent and the Company will provide written instructions to the escrow agent when to release funds. Upon closing, we will deliver to each investor delivering funds the number of shares of common stock and warrants purchased by such investor. If the conditions to this Offering are not satisfied or waived by the Agent, then all investor funds that were deposited into escrow will be returned promptly to the investors, without any earned interest, and without deduction for commissions or expenses, including costs of the escrow agent and this Offering will terminate. We will pay the escrow agent a fee in connection with the escrow services.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placement agency agreement provides that the obligations of the Agent and the investors are subject to certain conditions precedent, including, among other things, the absence of any material adverse change in our business and the receipt of customary legal opinions, letters and certificates.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We currently anticipate that the closing of the sale of the common stock and warrants offered hereby will take place on or before September 30, 2014.</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have agreed to pay the Agent an aggregate fee equal to 8.0% of the gross cash proceeds (equivalent to 8.0% per share of the per share Offering price of $__) of this Offering and expect the net proceeds from this Offering to be approximately $ 13.5 million, assuming the sale of the maximum Offering amount, after deducting up to approximately $ 1,300,000 in placement agent fees and $200,000 for our estimated Offering expenses. We have also agreed to pay the Agent a fee equal to 1% of the gross proceeds as a non-accountable expense allowance and agreed to pay all expenses relating to the Offering, including all fees, expenses and disbursements relating to the registration, qualification or exemption of securities offered under the securities laws of foreign jurisdictions designated by the placement agent. Notwithstanding the foregoing, the Agent shall not be entitled to receive any fee or commission on any cash received by the Company upon exercise of any of the Warrants issued in the Offering.</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paid an expense deposit of $10,000 to the Agent towards actual accountable expenses, which expenses will not exceed $20,000. The placement agency agreement, however, provides that in the event the Offering is terminated, the $10,000 expense deposit paid to the Agent will be returned to the extent offering expenses are not actually incurred.</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also agreed to pay the expenses relating to the Offering, including: (i) all fees incurred in clearing this Offering with FINRA; (ii) all fees, expenses and disbursements relating to the registration, qualification or exemption of securities offered under the securities laws of foreign jurisdictions designated by the Agent; (iii) upon successfully completing this Offering, up to $20,000 of the Agent's actual accountable expenses for the Offering (which, if the Offering is consummated, such amount reimbursed as an accountable expense shall offset an equal amount of the non-accountable expense reimbursement); and (iv) up to $80,000 of the Agent’s legal fees.</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We have agreed to indemnify the Agent and certain other persons against certain liabilities, including civil liabilities under the Securities Act, and to contribute to payments that Agent may be required to make in respect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The Agent has informed us that they will not engage in over-allotment, stabilizing transactions or syndicate covering transactions in connection with this Offering.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6" w:name="page47"/>
    <w:bookmarkEnd w:id="4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Lock-Up Agreements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Pursuant to certain “lock-up” agreements, we, our named executive officers and directors, and certain of our stockholders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for a period of one hundred and eighty (180) days after the date of the placement agency agreement.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lock-up period described in the preceding paragraph will be automatically extended if: (i) during the last 17 days of the restricted period, we issue an earnings release or announce material news or a material event; or (ii) prior to the expiration of the lock-up period, we announce that we will release earnings results during the 16-day period beginning on the last day of the lock-up period, in which case the restrictions described in the preceding paragraph will continue to apply until the expiration of the 18-day period beginning on the date of the earnings release, unless the representative waives this extension in writing.</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Payments in Connection with Autilion AG</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In the event the Offering is not consummated and we receive at least $25 million of funding from the Autilion Financing on or before December 31, 2014 , then we will be required to pay Geller Biopharm a financial advisory fee equal to $500,000. The financial advisory fee is only payable in the event the Offering is </w:t>
      </w:r>
      <w:r>
        <w:rPr>
          <w:rFonts w:ascii="Arial" w:cs="Arial" w:eastAsia="Arial" w:hAnsi="Arial"/>
          <w:sz w:val="12"/>
          <w:szCs w:val="12"/>
          <w:u w:val="single" w:color="auto"/>
          <w:color w:val="auto"/>
        </w:rPr>
        <w:t>not</w:t>
      </w:r>
      <w:r>
        <w:rPr>
          <w:rFonts w:ascii="Arial" w:cs="Arial" w:eastAsia="Arial" w:hAnsi="Arial"/>
          <w:sz w:val="12"/>
          <w:szCs w:val="12"/>
          <w:color w:val="auto"/>
        </w:rPr>
        <w:t xml:space="preserve"> consummated and we receive at least $25 million of funding from the Autilion Financing on or before December 31, 2014. In connection with the Autillion Financing, the Agent previously assisted the Company in preparation of Company presentations and advised the Company regarding its financial position and capitalization. The Agent has not received any securities of the Company or payments in connection with its advisory role and will not receive any such payment unless the Company does not consummate the Offering, and we receive at least $25 million of funding from the Autilion Financing or before December 31, 2014.</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Offer, Sale and Distribution of Shares</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 prospectus in electronic format may be made available on the websites maintained by one or more of the placement agents. Other than the prospectus in electronic format, the information on these websites is not part of, nor incorporated by reference into, this prospectus or the registration statement of which this prospectus forms a part, has not been approved or endorsed by us or the placement agents should not be relied upon by investors.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Relationships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From time to time in the ordinary course of business, the Agent or its affiliates may in the future engage in investment banking, commercial banking and/or other services with us and our affiliates for which they may in the future receive customary fees and expenses.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7" w:name="page48"/>
    <w:bookmarkEnd w:id="4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DESCRIPTION OF SECURITIES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General</w:t>
      </w:r>
    </w:p>
    <w:p>
      <w:pPr>
        <w:spacing w:after="0" w:line="172"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Our authorized capital stock consists of 200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2"/>
          <w:szCs w:val="12"/>
          <w:i w:val="1"/>
          <w:iCs w:val="1"/>
          <w:color w:val="auto"/>
        </w:rPr>
        <w:t>Bylaws</w:t>
      </w:r>
      <w:r>
        <w:rPr>
          <w:rFonts w:ascii="Arial" w:cs="Arial" w:eastAsia="Arial" w:hAnsi="Arial"/>
          <w:sz w:val="12"/>
          <w:szCs w:val="12"/>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Securities Exchange Act.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July 1, 2014, there were issued and outstanding, or reserved for issuance:</w:t>
      </w:r>
    </w:p>
    <w:p>
      <w:pPr>
        <w:spacing w:after="0" w:line="168" w:lineRule="exact"/>
        <w:rPr>
          <w:sz w:val="20"/>
          <w:szCs w:val="20"/>
          <w:color w:val="auto"/>
        </w:rPr>
      </w:pPr>
    </w:p>
    <w:p>
      <w:pPr>
        <w:ind w:left="428" w:hanging="428"/>
        <w:spacing w:after="0"/>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25,506,872 shares of common stock held by approximately 300 stockholders of record;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15,000,000 shares of common stock reserved for issuance upon exchange of our Series A Preferred held by one institutional investor;</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4,227,357 shares of common stock reserved for issuance upon exercise of outstanding stock options under our 1999 Stock Incentive Plan and 735,200 shares of common stock reserved for future grants under our 2008 Stock Incentive Plan;</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26,481,490 shares of common stock issuable upon exercise of outstanding warrants, including warrants to purchase 7,500,000 shares of common stock, which warrants are issuable upon exchange of our Series A Preferred for common stock;</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shares of common stock reserved for issuance upon Automatic Conversion of the Subordinate Notes. See “</w:t>
      </w:r>
      <w:r>
        <w:rPr>
          <w:rFonts w:ascii="Arial" w:cs="Arial" w:eastAsia="Arial" w:hAnsi="Arial"/>
          <w:sz w:val="12"/>
          <w:szCs w:val="12"/>
          <w:i w:val="1"/>
          <w:iCs w:val="1"/>
          <w:color w:val="auto"/>
        </w:rPr>
        <w:t>Use of Proceeds</w:t>
      </w:r>
      <w:r>
        <w:rPr>
          <w:rFonts w:ascii="Arial" w:cs="Arial" w:eastAsia="Arial" w:hAnsi="Arial"/>
          <w:sz w:val="12"/>
          <w:szCs w:val="12"/>
          <w:color w:val="auto"/>
        </w:rPr>
        <w:t>” on page 43 of this prospectus for a description of the Subordinate Notes; and</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shares of our common stock reserved for issuance upon the conversion of newly issued Series B Preferred, which Series B Preferred will be issued upon conversion of the Platinum Notes, assuming gross proceeds from the Offering of at least $10.0 million. See “</w:t>
      </w:r>
      <w:r>
        <w:rPr>
          <w:rFonts w:ascii="Arial" w:cs="Arial" w:eastAsia="Arial" w:hAnsi="Arial"/>
          <w:sz w:val="12"/>
          <w:szCs w:val="12"/>
          <w:i w:val="1"/>
          <w:iCs w:val="1"/>
          <w:color w:val="auto"/>
        </w:rPr>
        <w:t>The Offering – Platinum Notes</w:t>
      </w:r>
      <w:r>
        <w:rPr>
          <w:rFonts w:ascii="Arial" w:cs="Arial" w:eastAsia="Arial" w:hAnsi="Arial"/>
          <w:sz w:val="12"/>
          <w:szCs w:val="12"/>
          <w:color w:val="auto"/>
        </w:rPr>
        <w:t>” on page 3 of this prospectus for a description of the Platinum Notes.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Common Stock</w:t>
      </w:r>
    </w:p>
    <w:p>
      <w:pPr>
        <w:spacing w:after="0" w:line="17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8" w:name="page49"/>
    <w:bookmarkEnd w:id="4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2"/>
          <w:szCs w:val="12"/>
          <w:i w:val="1"/>
          <w:iCs w:val="1"/>
          <w:color w:val="auto"/>
        </w:rPr>
        <w:t>Dividend Policy</w:t>
      </w:r>
      <w:r>
        <w:rPr>
          <w:rFonts w:ascii="Arial" w:cs="Arial" w:eastAsia="Arial" w:hAnsi="Arial"/>
          <w:sz w:val="12"/>
          <w:szCs w:val="12"/>
          <w:color w:val="auto"/>
        </w:rPr>
        <w:t>”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 preemptive or similar rights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is not entitled to is not subject to conversion, redemption, sinking fund or similar provisions regarding the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Series A Preferred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December 2011, our board of directors authorized the creation of a series of up to 500,000 shares of Series A Preferred. At July 1, 2014, there were 500,000 shares of Series A Preferred outstanding. By agreement with the sole holder thereof, each share of Series A Preferred is exchangeable at the option of the holder into thirty (30) shares of our common stock. The Series A Preferred ranks prior to our common stock for purposes of liquidation preference.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0"/>
          <w:szCs w:val="10"/>
          <w:i w:val="1"/>
          <w:iCs w:val="1"/>
          <w:color w:val="auto"/>
        </w:rPr>
        <w:t>Record Date</w:t>
      </w:r>
      <w:r>
        <w:rPr>
          <w:rFonts w:ascii="Arial" w:cs="Arial" w:eastAsia="Arial" w:hAnsi="Arial"/>
          <w:sz w:val="10"/>
          <w:szCs w:val="10"/>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9" w:name="page50"/>
    <w:bookmarkEnd w:id="4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Series B Preferred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Our board of directors authorized the creation of the Series B Preferred in order to provide for the conversion of certain promissory notes held by Platinum totaling approximately $4.1 million in principal and accrued interest at July 1, 2014 (</w:t>
      </w:r>
      <w:r>
        <w:rPr>
          <w:rFonts w:ascii="Arial" w:cs="Arial" w:eastAsia="Arial" w:hAnsi="Arial"/>
          <w:sz w:val="11"/>
          <w:szCs w:val="11"/>
          <w:i w:val="1"/>
          <w:iCs w:val="1"/>
          <w:color w:val="auto"/>
        </w:rPr>
        <w:t>Outstanding Balance</w:t>
      </w:r>
      <w:r>
        <w:rPr>
          <w:rFonts w:ascii="Arial" w:cs="Arial" w:eastAsia="Arial" w:hAnsi="Arial"/>
          <w:sz w:val="11"/>
          <w:szCs w:val="11"/>
          <w:color w:val="auto"/>
        </w:rPr>
        <w:t>) into Series B Preferred upon consummation of the Offering. We anticipate filing the certificate of designations for the Series B Preferred immediately prior to consummation of the Offering.</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number of shares of Series B Preferred to be issued will be calculated based on the liquidation preference for the Series B Preferred, which shall equal the Outstanding Balance as of the date of consummation of the Offering, divided by the lesser of (i) $.50 and (ii) the per-share common stock price sold in the Offering.</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By agreement with the sole holder thereof, each share of Series B Preferred will be exchangeable at the option of the holder into shares of our common stock at the price per-share of common stock sold in the Offering. The Series B Preferred will rank prior to our common stock for purposes of liquidation preference.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Series B Preferred will have no separate dividend rights. However, whenever the board of directors declares a dividend on the common stock, each holder of record of a share of Series B Preferred, or any fraction of a share of Series B Preferred, on the date set by the board of directors to determine the owners of the common stock of record entitled to receive such dividend (</w:t>
      </w:r>
      <w:r>
        <w:rPr>
          <w:rFonts w:ascii="Arial" w:cs="Arial" w:eastAsia="Arial" w:hAnsi="Arial"/>
          <w:sz w:val="10"/>
          <w:szCs w:val="10"/>
          <w:i w:val="1"/>
          <w:iCs w:val="1"/>
          <w:color w:val="auto"/>
        </w:rPr>
        <w:t>Record Date</w:t>
      </w:r>
      <w:r>
        <w:rPr>
          <w:rFonts w:ascii="Arial" w:cs="Arial" w:eastAsia="Arial" w:hAnsi="Arial"/>
          <w:sz w:val="10"/>
          <w:szCs w:val="10"/>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B Preferred could be exchanged on the Record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0" w:name="page51"/>
    <w:bookmarkEnd w:id="5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our affairs, after payment or provision for payment of our debts and other liabilities, the holders of Series B Preferred then outstanding shall be entitled to receive, out of our assets, if any, an amount per share of Series B Preferred calculated by taking the total amount available for distribution to holders of all of our outstanding common stock before deduction of any preference payments for the Series B Preferred, divided by the total of (x), all of the then outstanding shares of our common stock, plus (y) all of the shares of our common stock into which all of the outstanding shares of the Series B Preferred can be exchanged before any payment shall be made or any assets distributed to the holders of the common stock or any other junior stock.</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As of July 1, 2014, we had options to purchase 4,227,357 shares of our common stock outstanding pursuant to our 1999 Plan and our 2008 Plan.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We are offering warrants to purchase up to 30,000,000 shares of our common stock to purchasers in this offering. Each warrant entitles the holder thereof to purchase up to one share of common stock at an exercise price of $____ per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share. The warrants are exercisable immediately upon issuance and have an exercise term equal to five years.</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July 1, 2014, warrants to purchase 18,981,490 shares of our common stock were outstanding, excluding warrants to purchase 7,500,000 shares of common stock issuable in connection with the exchange of our Series A Preferred for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transfer agent and registrar for our common stock is Registrar and Transfer Company. The transfer agent’s address is 10 Commerce Drive, Cranford, NJ 07016.</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1" w:name="page52"/>
    <w:bookmarkEnd w:id="5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 as of July 1, 2014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Number of securities to be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Number of securities remaining</w:t>
            </w:r>
          </w:p>
        </w:tc>
      </w:tr>
      <w:tr>
        <w:trPr>
          <w:trHeight w:val="144"/>
        </w:trPr>
        <w:tc>
          <w:tcPr>
            <w:tcW w:w="3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issued upon exercise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Weighted-average exercise</w:t>
            </w: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available for future issuance under</w:t>
            </w:r>
          </w:p>
        </w:tc>
      </w:tr>
      <w:tr>
        <w:trPr>
          <w:trHeight w:val="144"/>
        </w:trPr>
        <w:tc>
          <w:tcPr>
            <w:tcW w:w="3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outstanding options, warrants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8"/>
              </w:rPr>
              <w:t>price of outstanding options,</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equity compensation plans [excluding</w:t>
            </w:r>
          </w:p>
        </w:tc>
      </w:tr>
      <w:tr>
        <w:trPr>
          <w:trHeight w:val="157"/>
        </w:trPr>
        <w:tc>
          <w:tcPr>
            <w:tcW w:w="37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and rights (a)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warrants and rights (b)</w:t>
            </w:r>
          </w:p>
        </w:tc>
        <w:tc>
          <w:tcPr>
            <w:tcW w:w="340" w:type="dxa"/>
            <w:vAlign w:val="bottom"/>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securities reflected in column (a)]</w:t>
            </w:r>
          </w:p>
        </w:tc>
        <w:tc>
          <w:tcPr>
            <w:tcW w:w="120" w:type="dxa"/>
            <w:vAlign w:val="bottom"/>
          </w:tcPr>
          <w:p>
            <w:pPr>
              <w:spacing w:after="0"/>
              <w:rPr>
                <w:sz w:val="13"/>
                <w:szCs w:val="13"/>
                <w:color w:val="auto"/>
              </w:rPr>
            </w:pPr>
          </w:p>
        </w:tc>
      </w:tr>
      <w:tr>
        <w:trPr>
          <w:trHeight w:val="142"/>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3,964,800</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0.50</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735,200</w:t>
            </w:r>
          </w:p>
        </w:tc>
      </w:tr>
      <w:tr>
        <w:trPr>
          <w:trHeight w:val="144"/>
        </w:trPr>
        <w:tc>
          <w:tcPr>
            <w:tcW w:w="3760" w:type="dxa"/>
            <w:vAlign w:val="bottom"/>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1860" w:type="dxa"/>
            <w:vAlign w:val="bottom"/>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262,557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2"/>
                <w:szCs w:val="12"/>
                <w:color w:val="auto"/>
              </w:rPr>
              <w:t>0.58</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62"/>
        </w:trPr>
        <w:tc>
          <w:tcPr>
            <w:tcW w:w="37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186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4,227,537</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1880" w:type="dxa"/>
            <w:vAlign w:val="bottom"/>
            <w:gridSpan w:val="2"/>
            <w:shd w:val="clear" w:color="auto" w:fill="CCEEFF"/>
          </w:tcPr>
          <w:p>
            <w:pPr>
              <w:jc w:val="right"/>
              <w:ind w:right="340"/>
              <w:spacing w:after="0" w:line="124" w:lineRule="exact"/>
              <w:rPr>
                <w:sz w:val="20"/>
                <w:szCs w:val="20"/>
                <w:color w:val="auto"/>
              </w:rPr>
            </w:pPr>
            <w:r>
              <w:rPr>
                <w:rFonts w:ascii="Arial" w:cs="Arial" w:eastAsia="Arial" w:hAnsi="Arial"/>
                <w:sz w:val="12"/>
                <w:szCs w:val="12"/>
                <w:color w:val="auto"/>
              </w:rPr>
              <w:t>0.50</w:t>
            </w:r>
          </w:p>
        </w:tc>
        <w:tc>
          <w:tcPr>
            <w:tcW w:w="206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735,200</w:t>
            </w: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82"/>
        </w:trPr>
        <w:tc>
          <w:tcPr>
            <w:tcW w:w="3760" w:type="dxa"/>
            <w:vAlign w:val="bottom"/>
          </w:tcPr>
          <w:p>
            <w:pPr>
              <w:spacing w:after="0"/>
              <w:rPr>
                <w:sz w:val="24"/>
                <w:szCs w:val="24"/>
                <w:color w:val="auto"/>
              </w:rPr>
            </w:pPr>
          </w:p>
        </w:tc>
        <w:tc>
          <w:tcPr>
            <w:tcW w:w="3600" w:type="dxa"/>
            <w:vAlign w:val="bottom"/>
            <w:gridSpan w:val="3"/>
          </w:tcPr>
          <w:p>
            <w:pPr>
              <w:ind w:left="860"/>
              <w:spacing w:after="0"/>
              <w:rPr>
                <w:sz w:val="20"/>
                <w:szCs w:val="20"/>
                <w:color w:val="auto"/>
              </w:rPr>
            </w:pPr>
            <w:r>
              <w:rPr>
                <w:rFonts w:ascii="Arial" w:cs="Arial" w:eastAsia="Arial" w:hAnsi="Arial"/>
                <w:sz w:val="12"/>
                <w:szCs w:val="12"/>
                <w:b w:val="1"/>
                <w:bCs w:val="1"/>
                <w:color w:val="auto"/>
              </w:rPr>
              <w:t>SHARES ELIGIBLE FOR FUTURE SALE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Prior to this Offering, there has a limited public market for shares of our common stock. Future sales of substantial amounts of shares of our common stock, including sales of shares issued upon the conversion of outstanding convertible promissory notes, exchange of outstanding preferred stock and exercise of outstanding options and warrants, in the public market after this Offering or the possibility of these issuances and sales occurring, could cause the prevailing market price for our common stock to fall or impair our ability to raise equity capital in the future.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Upon the completion of this Offering, based on the number of shares outstanding as of July 1, 2014, we will have approximately 131.2 million shares of common stock outstanding, assuming exercise of all outstanding options and warrants, including exercise of the warrants sold in connection with the Offering, and conversion of our preferred stock and convertible promissory notes. Of these outstanding shares, all shares of common stock sold by us in this Offering, and the shares of common stock issuable upon exercise of warrants offered in this Offering, will be freely tradable in the public market without restriction or further registration under the Securities Act, and shares of common stock held by our affiliates, as that term is defined in Rule 144 under the Securities Act, may only be sold in compliance with the limitations described below. All remaining shares of common stock, and all shares of Series A Preferred and Series B Preferred outstanding after this Offering, will be deemed restricted under the Federal securities laws.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Rule 144</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general, under Rule 144 as currently in effect, our affiliates or persons selling shares on behalf of our affiliates are entitled to sell upon the expiration of the lock-up agreements described above, within any three month period, a number of shares that does not exceed the greater of:</w:t>
      </w:r>
    </w:p>
    <w:p>
      <w:pPr>
        <w:spacing w:after="0" w:line="133" w:lineRule="exact"/>
        <w:rPr>
          <w:sz w:val="20"/>
          <w:szCs w:val="20"/>
          <w:color w:val="auto"/>
        </w:rPr>
      </w:pPr>
    </w:p>
    <w:p>
      <w:pPr>
        <w:ind w:left="600" w:hanging="338"/>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1% of the number of shares of common stock then outstanding; or</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average weekly trading volume of the common stock during the four calendar weeks preceding the filing of a notice on Form 144 with respect to such sale.</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2" w:name="page53"/>
    <w:bookmarkEnd w:id="5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BUSINESS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Overview</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are a stem cell company headquartered in South San Francisco, California, focused on producing mature, non-transformed, functional, adult human cells, and novel, customized cellular assay systems incorporating them, for our drug, discovery, drug rescue and regenerative medicine programs. We believe </w:t>
      </w:r>
      <w:r>
        <w:rPr>
          <w:rFonts w:ascii="Arial" w:cs="Arial" w:eastAsia="Arial" w:hAnsi="Arial"/>
          <w:sz w:val="12"/>
          <w:szCs w:val="12"/>
          <w:i w:val="1"/>
          <w:iCs w:val="1"/>
          <w:color w:val="auto"/>
        </w:rPr>
        <w:t>better cells lead to better medicines</w:t>
      </w:r>
      <w:r>
        <w:rPr>
          <w:rFonts w:ascii="Arial" w:cs="Arial" w:eastAsia="Arial" w:hAnsi="Arial"/>
          <w:sz w:val="12"/>
          <w:szCs w:val="12"/>
          <w:color w:val="auto"/>
        </w:rPr>
        <w:t xml:space="preserve">™ and that the key to making better cells is precisely controlling the differentiation of human pluripotent stem cells, which are the building blocks of all cells of the human body. Our stem cell technology platform, which we refer to as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is based on a combination of proprietary and exclusively licensed technologies for controlling the differentiation of human pluripotent stem cells (</w:t>
      </w:r>
      <w:r>
        <w:rPr>
          <w:rFonts w:ascii="Arial" w:cs="Arial" w:eastAsia="Arial" w:hAnsi="Arial"/>
          <w:sz w:val="12"/>
          <w:szCs w:val="12"/>
          <w:i w:val="1"/>
          <w:iCs w:val="1"/>
          <w:color w:val="auto"/>
        </w:rPr>
        <w:t>hPSCs</w:t>
      </w:r>
      <w:r>
        <w:rPr>
          <w:rFonts w:ascii="Arial" w:cs="Arial" w:eastAsia="Arial" w:hAnsi="Arial"/>
          <w:sz w:val="12"/>
          <w:szCs w:val="12"/>
          <w:color w:val="auto"/>
        </w:rPr>
        <w:t xml:space="preserve">) and producing the multiple types of mature, non-transformed, functional, adult human cells that we use, or plan to use, to reproduce complex human biology and disease and assess, </w:t>
      </w:r>
      <w:r>
        <w:rPr>
          <w:rFonts w:ascii="Arial" w:cs="Arial" w:eastAsia="Arial" w:hAnsi="Arial"/>
          <w:sz w:val="12"/>
          <w:szCs w:val="12"/>
          <w:i w:val="1"/>
          <w:iCs w:val="1"/>
          <w:color w:val="auto"/>
        </w:rPr>
        <w:t>in vitro</w:t>
      </w:r>
      <w:r>
        <w:rPr>
          <w:rFonts w:ascii="Arial" w:cs="Arial" w:eastAsia="Arial" w:hAnsi="Arial"/>
          <w:sz w:val="12"/>
          <w:szCs w:val="12"/>
          <w:color w:val="auto"/>
        </w:rPr>
        <w:t>, the potential therapeutic benefits and safety risks of new drug candidates.</w:t>
      </w:r>
    </w:p>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used our hPSC-derived human cardiomyocytes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to design and develop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our novel,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 for predicting potential cardiotoxicity of new drug candidates, including drug candidates included in our drug rescue programs.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Our hPSC-derived hepatocytes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highly-functional, non-transformed, mature human hapatocytes,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novel, customized bioassay system for predicting potential liver toxicity of new drug candidates, including potential drug metabolism issues and adverse drug-drug interactions. We believe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have more functionally useful life-span in culture than primary (cadaver) hepatocytes used in FDA-required drug metabolism studies and overcome numerous problems related to commercially-available primary hepatocytes currently used in FDA-required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hepatocyte assays for drug metabolism, such as limited supply, unknown health status of the donor and genetic differences. We believe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anchored by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 a new paradigm for evaluating and predicting potential heart and liver toxicity of new drug candidates, including new drug candidates included in our drug rescue programs, early in development, long before costly, high risk human clinical trials.</w:t>
      </w:r>
    </w:p>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We believe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new, safer variants of still-promising new drug candidates previously discovered, optimized and tested for efficacy by pharmaceutical companies and others but terminated before FDA approval due to unexpected cardiac toxicity or liver toxicity. We refer to these still-promising new drug candidates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Our drug rescue strategy involves leveraging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attempt to significantly reduce the toxicity that caused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to be terminated, and bring new, proprietary safer versions of them back into development as promising new drug candidates. We refer to the new, safer versions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are focused on producing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anticipate that each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optimized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for safety and efficacy will be suitable as a new drug development program, either internally or under a revenue-generating out-license arrangement with a pharmaceutical or biotechnology company. We have identified and screened using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assays multiple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are now prepared to launch multiple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drug rescue programs with proceeds from this offering</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Drug Rescue Strategy</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 xml:space="preserve">We believe the pre-existing public domain knowledge base supporting the therapeutic and commercial potential of our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will provide us with a valuable head start as we launch our drug rescue programs. Leveraging the substantial prior investments by global pharmaceutical companies and others in discovery, optimization and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efficacy validation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is an essential component of our drug rescue strategy.</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Our current drug rescue emphasis is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discontinued prior to FDA market approval due to unexpected cardiac safety concerns. By using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platform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biological insight not previously available when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were originally discovered, optimized for efficacy and developed, we believe we can demonstrate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proof-of-concept as to the efficacy and safety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earlier in development and with substantially less investment in discovery,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optimization and preclinical development than was required of pharmaceutical companies and others prior to their decision to terminate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3" w:name="page54"/>
    <w:bookmarkEnd w:id="5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The key elements of our current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strategy are as follows:</w:t>
      </w:r>
    </w:p>
    <w:p>
      <w:pPr>
        <w:spacing w:after="0" w:line="168" w:lineRule="exact"/>
        <w:rPr>
          <w:sz w:val="20"/>
          <w:szCs w:val="20"/>
          <w:color w:val="auto"/>
        </w:rPr>
      </w:pPr>
    </w:p>
    <w:p>
      <w:pPr>
        <w:jc w:val="both"/>
        <w:ind w:left="428" w:hanging="428"/>
        <w:spacing w:after="0" w:line="263" w:lineRule="auto"/>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heart safety issues utilizing drug discovery and development information available in the public domain through open source, licensed databases, and published patents, as well as through our strategic relationships with our drug rescue and scientific advisors and consultants, including Synterys, Inc. and Cato Research Ltd., our providers of contract medicinal chemistry and contract clinical development services and regulatory expertise, respectively;</w:t>
      </w:r>
    </w:p>
    <w:p>
      <w:pPr>
        <w:spacing w:after="0" w:line="14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leverage substantial prior research and development investments made by global pharmaceutical companies and others to support the therapeutic and commercial potential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as important criteria for selection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use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platform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important and more comprehensive biological insights not previously available when the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Rescue Candidates </w:t>
      </w:r>
      <w:r>
        <w:rPr>
          <w:rFonts w:ascii="Arial" w:cs="Arial" w:eastAsia="Arial" w:hAnsi="Arial"/>
          <w:sz w:val="12"/>
          <w:szCs w:val="12"/>
          <w:color w:val="auto"/>
        </w:rPr>
        <w:t>were originally discovered, optimized and developed by pharmaceutical companies;</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leverage our internal knowledgebase about each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specific chemistry to design and produce, with our contract medicinal chemistry collaborator, a portfolio of novel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each </w:t>
      </w:r>
      <w:r>
        <w:rPr>
          <w:rFonts w:ascii="Arial" w:cs="Arial" w:eastAsia="Arial" w:hAnsi="Arial"/>
          <w:sz w:val="12"/>
          <w:szCs w:val="12"/>
          <w:i w:val="1"/>
          <w:iCs w:val="1"/>
          <w:color w:val="auto"/>
        </w:rPr>
        <w:t>Drug Rescue Candidate</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pre-existing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models to assess the efficacy and cardiac safety of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identify and validate a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and</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internally develop optimized and validated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out-license them to a pharmaceutical or biotechnology company in a revenue-generating agreements providing for the development, market approval and commercial sale of the </w:t>
      </w:r>
      <w:r>
        <w:rPr>
          <w:rFonts w:ascii="Arial" w:cs="Arial" w:eastAsia="Arial" w:hAnsi="Arial"/>
          <w:sz w:val="12"/>
          <w:szCs w:val="12"/>
          <w:i w:val="1"/>
          <w:iCs w:val="1"/>
          <w:color w:val="auto"/>
        </w:rPr>
        <w:t>Drug Rescue Variant</w:t>
      </w:r>
      <w:r>
        <w:rPr>
          <w:rFonts w:ascii="Arial" w:cs="Arial" w:eastAsia="Arial" w:hAnsi="Arial"/>
          <w:sz w:val="12"/>
          <w:szCs w:val="12"/>
          <w:color w:val="auto"/>
        </w:rPr>
        <w: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Drug Rescue Candidates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We have identified the following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760" w:type="dxa"/>
            <w:vAlign w:val="bottom"/>
            <w:gridSpan w:val="2"/>
          </w:tcPr>
          <w:p>
            <w:pPr>
              <w:spacing w:after="0"/>
              <w:rPr>
                <w:sz w:val="20"/>
                <w:szCs w:val="20"/>
                <w:color w:val="auto"/>
              </w:rPr>
            </w:pPr>
            <w:r>
              <w:rPr>
                <w:rFonts w:ascii="Arial" w:cs="Arial" w:eastAsia="Arial" w:hAnsi="Arial"/>
                <w:sz w:val="12"/>
                <w:szCs w:val="12"/>
                <w:b w:val="1"/>
                <w:bCs w:val="1"/>
                <w:color w:val="auto"/>
              </w:rPr>
              <w:t>Drug Rescue Candidate</w:t>
            </w:r>
          </w:p>
        </w:tc>
        <w:tc>
          <w:tcPr>
            <w:tcW w:w="2780" w:type="dxa"/>
            <w:vAlign w:val="bottom"/>
          </w:tcPr>
          <w:p>
            <w:pPr>
              <w:ind w:left="520"/>
              <w:spacing w:after="0"/>
              <w:rPr>
                <w:sz w:val="20"/>
                <w:szCs w:val="20"/>
                <w:color w:val="auto"/>
              </w:rPr>
            </w:pPr>
            <w:r>
              <w:rPr>
                <w:rFonts w:ascii="Arial" w:cs="Arial" w:eastAsia="Arial" w:hAnsi="Arial"/>
                <w:sz w:val="12"/>
                <w:szCs w:val="12"/>
                <w:b w:val="1"/>
                <w:bCs w:val="1"/>
                <w:color w:val="auto"/>
              </w:rPr>
              <w:t>Indication</w:t>
            </w:r>
          </w:p>
        </w:tc>
        <w:tc>
          <w:tcPr>
            <w:tcW w:w="1460" w:type="dxa"/>
            <w:vAlign w:val="bottom"/>
          </w:tcPr>
          <w:p>
            <w:pPr>
              <w:ind w:left="40"/>
              <w:spacing w:after="0"/>
              <w:rPr>
                <w:sz w:val="20"/>
                <w:szCs w:val="20"/>
                <w:color w:val="auto"/>
              </w:rPr>
            </w:pPr>
            <w:r>
              <w:rPr>
                <w:rFonts w:ascii="Arial" w:cs="Arial" w:eastAsia="Arial" w:hAnsi="Arial"/>
                <w:sz w:val="12"/>
                <w:szCs w:val="12"/>
                <w:b w:val="1"/>
                <w:bCs w:val="1"/>
                <w:color w:val="auto"/>
              </w:rPr>
              <w:t>Developer</w:t>
            </w:r>
          </w:p>
        </w:tc>
        <w:tc>
          <w:tcPr>
            <w:tcW w:w="2320" w:type="dxa"/>
            <w:vAlign w:val="bottom"/>
          </w:tcPr>
          <w:p>
            <w:pPr>
              <w:ind w:left="880"/>
              <w:spacing w:after="0"/>
              <w:rPr>
                <w:sz w:val="20"/>
                <w:szCs w:val="20"/>
                <w:color w:val="auto"/>
              </w:rPr>
            </w:pPr>
            <w:r>
              <w:rPr>
                <w:rFonts w:ascii="Arial" w:cs="Arial" w:eastAsia="Arial" w:hAnsi="Arial"/>
                <w:sz w:val="12"/>
                <w:szCs w:val="12"/>
                <w:b w:val="1"/>
                <w:bCs w:val="1"/>
                <w:color w:val="auto"/>
              </w:rPr>
              <w:t>Terminated</w:t>
            </w:r>
          </w:p>
        </w:tc>
        <w:tc>
          <w:tcPr>
            <w:tcW w:w="3160" w:type="dxa"/>
            <w:vAlign w:val="bottom"/>
          </w:tcPr>
          <w:p>
            <w:pPr>
              <w:ind w:left="860"/>
              <w:spacing w:after="0"/>
              <w:rPr>
                <w:sz w:val="20"/>
                <w:szCs w:val="20"/>
                <w:color w:val="auto"/>
              </w:rPr>
            </w:pPr>
            <w:r>
              <w:rPr>
                <w:rFonts w:ascii="Arial" w:cs="Arial" w:eastAsia="Arial" w:hAnsi="Arial"/>
                <w:sz w:val="12"/>
                <w:szCs w:val="12"/>
                <w:b w:val="1"/>
                <w:bCs w:val="1"/>
                <w:color w:val="auto"/>
              </w:rPr>
              <w:t>Mechanism</w:t>
            </w:r>
          </w:p>
        </w:tc>
      </w:tr>
      <w:tr>
        <w:trPr>
          <w:trHeight w:val="142"/>
        </w:trPr>
        <w:tc>
          <w:tcPr>
            <w:tcW w:w="20" w:type="dxa"/>
            <w:vAlign w:val="bottom"/>
          </w:tcPr>
          <w:p>
            <w:pPr>
              <w:spacing w:after="0"/>
              <w:rPr>
                <w:sz w:val="12"/>
                <w:szCs w:val="12"/>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VSTA-1C05</w:t>
            </w:r>
          </w:p>
        </w:tc>
        <w:tc>
          <w:tcPr>
            <w:tcW w:w="2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2"/>
                <w:szCs w:val="12"/>
                <w:color w:val="auto"/>
              </w:rPr>
              <w:t>Cancer</w:t>
            </w:r>
          </w:p>
        </w:tc>
        <w:tc>
          <w:tcPr>
            <w:tcW w:w="1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Pharma</w:t>
            </w:r>
          </w:p>
        </w:tc>
        <w:tc>
          <w:tcPr>
            <w:tcW w:w="23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2"/>
                <w:szCs w:val="12"/>
                <w:color w:val="auto"/>
              </w:rPr>
              <w:t>Phase 1/2</w:t>
            </w:r>
          </w:p>
        </w:tc>
        <w:tc>
          <w:tcPr>
            <w:tcW w:w="31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2"/>
                <w:szCs w:val="12"/>
                <w:color w:val="auto"/>
              </w:rPr>
              <w:t>Aurora kinase inhibitors</w:t>
            </w: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VSTA-1A08</w:t>
            </w:r>
          </w:p>
        </w:tc>
        <w:tc>
          <w:tcPr>
            <w:tcW w:w="2780" w:type="dxa"/>
            <w:vAlign w:val="bottom"/>
          </w:tcPr>
          <w:p>
            <w:pPr>
              <w:ind w:left="520"/>
              <w:spacing w:after="0" w:line="136" w:lineRule="exact"/>
              <w:rPr>
                <w:sz w:val="20"/>
                <w:szCs w:val="20"/>
                <w:color w:val="auto"/>
              </w:rPr>
            </w:pPr>
            <w:r>
              <w:rPr>
                <w:rFonts w:ascii="Arial" w:cs="Arial" w:eastAsia="Arial" w:hAnsi="Arial"/>
                <w:sz w:val="12"/>
                <w:szCs w:val="12"/>
                <w:color w:val="auto"/>
                <w:w w:val="91"/>
              </w:rPr>
              <w:t>Cancer , inflammatory disease and respiratory</w:t>
            </w:r>
          </w:p>
        </w:tc>
        <w:tc>
          <w:tcPr>
            <w:tcW w:w="1460" w:type="dxa"/>
            <w:vAlign w:val="bottom"/>
          </w:tcPr>
          <w:p>
            <w:pPr>
              <w:ind w:left="40"/>
              <w:spacing w:after="0" w:line="136" w:lineRule="exact"/>
              <w:rPr>
                <w:sz w:val="20"/>
                <w:szCs w:val="20"/>
                <w:color w:val="auto"/>
              </w:rPr>
            </w:pPr>
            <w:r>
              <w:rPr>
                <w:rFonts w:ascii="Arial" w:cs="Arial" w:eastAsia="Arial" w:hAnsi="Arial"/>
                <w:sz w:val="12"/>
                <w:szCs w:val="12"/>
                <w:color w:val="auto"/>
              </w:rPr>
              <w:t>Biotech</w:t>
            </w:r>
          </w:p>
        </w:tc>
        <w:tc>
          <w:tcPr>
            <w:tcW w:w="2320" w:type="dxa"/>
            <w:vAlign w:val="bottom"/>
          </w:tcPr>
          <w:p>
            <w:pPr>
              <w:ind w:left="880"/>
              <w:spacing w:after="0" w:line="136" w:lineRule="exact"/>
              <w:rPr>
                <w:sz w:val="20"/>
                <w:szCs w:val="20"/>
                <w:color w:val="auto"/>
              </w:rPr>
            </w:pPr>
            <w:r>
              <w:rPr>
                <w:rFonts w:ascii="Arial" w:cs="Arial" w:eastAsia="Arial" w:hAnsi="Arial"/>
                <w:sz w:val="12"/>
                <w:szCs w:val="12"/>
                <w:color w:val="auto"/>
              </w:rPr>
              <w:t>Preclinical</w:t>
            </w:r>
          </w:p>
        </w:tc>
        <w:tc>
          <w:tcPr>
            <w:tcW w:w="3160" w:type="dxa"/>
            <w:vAlign w:val="bottom"/>
          </w:tcPr>
          <w:p>
            <w:pPr>
              <w:ind w:left="860"/>
              <w:spacing w:after="0" w:line="136" w:lineRule="exact"/>
              <w:rPr>
                <w:sz w:val="20"/>
                <w:szCs w:val="20"/>
                <w:color w:val="auto"/>
              </w:rPr>
            </w:pPr>
            <w:r>
              <w:rPr>
                <w:rFonts w:ascii="Arial" w:cs="Arial" w:eastAsia="Arial" w:hAnsi="Arial"/>
                <w:sz w:val="12"/>
                <w:szCs w:val="12"/>
                <w:color w:val="auto"/>
              </w:rPr>
              <w:t>PI3 kinase -delta inhibitor</w:t>
            </w:r>
          </w:p>
        </w:tc>
      </w:tr>
      <w:tr>
        <w:trPr>
          <w:trHeight w:val="153"/>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780" w:type="dxa"/>
            <w:vAlign w:val="bottom"/>
          </w:tcPr>
          <w:p>
            <w:pPr>
              <w:ind w:left="520"/>
              <w:spacing w:after="0"/>
              <w:rPr>
                <w:sz w:val="20"/>
                <w:szCs w:val="20"/>
                <w:color w:val="auto"/>
              </w:rPr>
            </w:pPr>
            <w:r>
              <w:rPr>
                <w:rFonts w:ascii="Arial" w:cs="Arial" w:eastAsia="Arial" w:hAnsi="Arial"/>
                <w:sz w:val="12"/>
                <w:szCs w:val="12"/>
                <w:color w:val="auto"/>
              </w:rPr>
              <w:t>disease</w:t>
            </w:r>
          </w:p>
        </w:tc>
        <w:tc>
          <w:tcPr>
            <w:tcW w:w="14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16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VSTA-2A21</w:t>
            </w:r>
          </w:p>
        </w:tc>
        <w:tc>
          <w:tcPr>
            <w:tcW w:w="27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Dementia</w:t>
            </w:r>
          </w:p>
        </w:tc>
        <w:tc>
          <w:tcPr>
            <w:tcW w:w="1460" w:type="dxa"/>
            <w:vAlign w:val="bottom"/>
            <w:shd w:val="clear" w:color="auto" w:fill="CCEEFF"/>
          </w:tcPr>
          <w:p>
            <w:pPr>
              <w:ind w:left="40"/>
              <w:spacing w:after="0"/>
              <w:rPr>
                <w:sz w:val="20"/>
                <w:szCs w:val="20"/>
                <w:color w:val="auto"/>
              </w:rPr>
            </w:pPr>
            <w:r>
              <w:rPr>
                <w:rFonts w:ascii="Arial" w:cs="Arial" w:eastAsia="Arial" w:hAnsi="Arial"/>
                <w:sz w:val="12"/>
                <w:szCs w:val="12"/>
                <w:color w:val="auto"/>
              </w:rPr>
              <w:t>Pharma</w:t>
            </w:r>
          </w:p>
        </w:tc>
        <w:tc>
          <w:tcPr>
            <w:tcW w:w="23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Preclinical</w:t>
            </w:r>
          </w:p>
        </w:tc>
        <w:tc>
          <w:tcPr>
            <w:tcW w:w="3160" w:type="dxa"/>
            <w:vAlign w:val="bottom"/>
            <w:shd w:val="clear" w:color="auto" w:fill="CCEEFF"/>
          </w:tcPr>
          <w:p>
            <w:pPr>
              <w:ind w:left="860"/>
              <w:spacing w:after="0"/>
              <w:rPr>
                <w:sz w:val="20"/>
                <w:szCs w:val="20"/>
                <w:color w:val="auto"/>
              </w:rPr>
            </w:pPr>
            <w:r>
              <w:rPr>
                <w:rFonts w:ascii="Arial" w:cs="Arial" w:eastAsia="Arial" w:hAnsi="Arial"/>
                <w:sz w:val="12"/>
                <w:szCs w:val="12"/>
                <w:color w:val="auto"/>
              </w:rPr>
              <w:t>Nicotinic a7 receptors</w:t>
            </w:r>
          </w:p>
        </w:tc>
      </w:tr>
      <w:tr>
        <w:trPr>
          <w:trHeight w:val="153"/>
        </w:trPr>
        <w:tc>
          <w:tcPr>
            <w:tcW w:w="20" w:type="dxa"/>
            <w:vAlign w:val="bottom"/>
          </w:tcPr>
          <w:p>
            <w:pPr>
              <w:spacing w:after="0"/>
              <w:rPr>
                <w:sz w:val="13"/>
                <w:szCs w:val="13"/>
                <w:color w:val="auto"/>
              </w:rPr>
            </w:pPr>
          </w:p>
        </w:tc>
        <w:tc>
          <w:tcPr>
            <w:tcW w:w="1740" w:type="dxa"/>
            <w:vAlign w:val="bottom"/>
          </w:tcPr>
          <w:p>
            <w:pPr>
              <w:spacing w:after="0"/>
              <w:rPr>
                <w:sz w:val="20"/>
                <w:szCs w:val="20"/>
                <w:color w:val="auto"/>
              </w:rPr>
            </w:pPr>
            <w:r>
              <w:rPr>
                <w:rFonts w:ascii="Arial" w:cs="Arial" w:eastAsia="Arial" w:hAnsi="Arial"/>
                <w:sz w:val="12"/>
                <w:szCs w:val="12"/>
                <w:color w:val="auto"/>
              </w:rPr>
              <w:t>VSTA-4E15</w:t>
            </w:r>
          </w:p>
        </w:tc>
        <w:tc>
          <w:tcPr>
            <w:tcW w:w="2780" w:type="dxa"/>
            <w:vAlign w:val="bottom"/>
          </w:tcPr>
          <w:p>
            <w:pPr>
              <w:ind w:left="520"/>
              <w:spacing w:after="0"/>
              <w:rPr>
                <w:sz w:val="20"/>
                <w:szCs w:val="20"/>
                <w:color w:val="auto"/>
              </w:rPr>
            </w:pPr>
            <w:r>
              <w:rPr>
                <w:rFonts w:ascii="Arial" w:cs="Arial" w:eastAsia="Arial" w:hAnsi="Arial"/>
                <w:sz w:val="12"/>
                <w:szCs w:val="12"/>
                <w:color w:val="auto"/>
              </w:rPr>
              <w:t>Type 2 Diabetes and obesity</w:t>
            </w:r>
          </w:p>
        </w:tc>
        <w:tc>
          <w:tcPr>
            <w:tcW w:w="1460" w:type="dxa"/>
            <w:vAlign w:val="bottom"/>
          </w:tcPr>
          <w:p>
            <w:pPr>
              <w:ind w:left="40"/>
              <w:spacing w:after="0"/>
              <w:rPr>
                <w:sz w:val="20"/>
                <w:szCs w:val="20"/>
                <w:color w:val="auto"/>
              </w:rPr>
            </w:pPr>
            <w:r>
              <w:rPr>
                <w:rFonts w:ascii="Arial" w:cs="Arial" w:eastAsia="Arial" w:hAnsi="Arial"/>
                <w:sz w:val="12"/>
                <w:szCs w:val="12"/>
                <w:color w:val="auto"/>
              </w:rPr>
              <w:t>Pharma</w:t>
            </w:r>
          </w:p>
        </w:tc>
        <w:tc>
          <w:tcPr>
            <w:tcW w:w="2320" w:type="dxa"/>
            <w:vAlign w:val="bottom"/>
          </w:tcPr>
          <w:p>
            <w:pPr>
              <w:ind w:left="880"/>
              <w:spacing w:after="0"/>
              <w:rPr>
                <w:sz w:val="20"/>
                <w:szCs w:val="20"/>
                <w:color w:val="auto"/>
              </w:rPr>
            </w:pPr>
            <w:r>
              <w:rPr>
                <w:rFonts w:ascii="Arial" w:cs="Arial" w:eastAsia="Arial" w:hAnsi="Arial"/>
                <w:sz w:val="12"/>
                <w:szCs w:val="12"/>
                <w:color w:val="auto"/>
              </w:rPr>
              <w:t>Post-NDA</w:t>
            </w:r>
          </w:p>
        </w:tc>
        <w:tc>
          <w:tcPr>
            <w:tcW w:w="3160" w:type="dxa"/>
            <w:vAlign w:val="bottom"/>
          </w:tcPr>
          <w:p>
            <w:pPr>
              <w:ind w:left="860"/>
              <w:spacing w:after="0"/>
              <w:rPr>
                <w:sz w:val="20"/>
                <w:szCs w:val="20"/>
                <w:color w:val="auto"/>
              </w:rPr>
            </w:pPr>
            <w:r>
              <w:rPr>
                <w:rFonts w:ascii="Arial" w:cs="Arial" w:eastAsia="Arial" w:hAnsi="Arial"/>
                <w:sz w:val="12"/>
                <w:szCs w:val="12"/>
                <w:color w:val="auto"/>
              </w:rPr>
              <w:t>Insulin sensitizer; PPAR gamma agonist</w:t>
            </w:r>
          </w:p>
        </w:tc>
      </w:tr>
    </w:tbl>
    <w:p>
      <w:pPr>
        <w:spacing w:after="0" w:line="14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We have assessed, and established a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cardiotoxicity profile for, VSTA-1C05, VSTA-4E15 and VSTA-2A21. Together with our pre-existing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data, we believe the results of such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assessments demonstrate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can correctly distinguish varying levels of cardiotoxicity between new drug candidates, including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plan to establish a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cardiotoxicity profile for VSTA-1A08 and additional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 following consummation of this Offering.</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54" w:name="page55"/>
    <w:bookmarkEnd w:id="5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As reflected in the table below, we plan to launch multiple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drug rescue programs following consummation of this Offering. Our initial goal with respect to each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will be to produce a lead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 </w:t>
      </w:r>
      <w:r>
        <w:rPr>
          <w:rFonts w:ascii="Arial" w:cs="Arial" w:eastAsia="Arial" w:hAnsi="Arial"/>
          <w:sz w:val="11"/>
          <w:szCs w:val="11"/>
          <w:color w:val="auto"/>
        </w:rPr>
        <w:t>with demonstrated</w:t>
      </w:r>
      <w:r>
        <w:rPr>
          <w:rFonts w:ascii="Arial" w:cs="Arial" w:eastAsia="Arial" w:hAnsi="Arial"/>
          <w:sz w:val="11"/>
          <w:szCs w:val="11"/>
          <w:i w:val="1"/>
          <w:iCs w:val="1"/>
          <w:color w:val="auto"/>
        </w:rPr>
        <w:t xml:space="preserve"> in vitro </w:t>
      </w:r>
      <w:r>
        <w:rPr>
          <w:rFonts w:ascii="Arial" w:cs="Arial" w:eastAsia="Arial" w:hAnsi="Arial"/>
          <w:sz w:val="11"/>
          <w:szCs w:val="11"/>
          <w:color w:val="auto"/>
        </w:rPr>
        <w:t>proof of concept (POC). In this context, POC means that the lead</w:t>
      </w:r>
      <w:r>
        <w:rPr>
          <w:rFonts w:ascii="Arial" w:cs="Arial" w:eastAsia="Arial" w:hAnsi="Arial"/>
          <w:sz w:val="11"/>
          <w:szCs w:val="11"/>
          <w:i w:val="1"/>
          <w:iCs w:val="1"/>
          <w:color w:val="auto"/>
        </w:rPr>
        <w:t xml:space="preserve"> Drug Rescue Variant</w:t>
      </w:r>
      <w:r>
        <w:rPr>
          <w:rFonts w:ascii="Arial" w:cs="Arial" w:eastAsia="Arial" w:hAnsi="Arial"/>
          <w:sz w:val="11"/>
          <w:szCs w:val="11"/>
          <w:color w:val="auto"/>
        </w:rPr>
        <w:t>,</w:t>
      </w:r>
      <w:r>
        <w:rPr>
          <w:rFonts w:ascii="Arial" w:cs="Arial" w:eastAsia="Arial" w:hAnsi="Arial"/>
          <w:sz w:val="11"/>
          <w:szCs w:val="11"/>
          <w:i w:val="1"/>
          <w:iCs w:val="1"/>
          <w:color w:val="auto"/>
        </w:rPr>
        <w:t xml:space="preserve"> Drug Rescue Candidate, </w:t>
      </w:r>
      <w:r>
        <w:rPr>
          <w:rFonts w:ascii="Arial" w:cs="Arial" w:eastAsia="Arial" w:hAnsi="Arial"/>
          <w:sz w:val="11"/>
          <w:szCs w:val="11"/>
          <w:color w:val="auto"/>
        </w:rPr>
        <w:t>demonstrates both (i) equal or superior efficacy in the same, or a similar,</w:t>
      </w:r>
      <w:r>
        <w:rPr>
          <w:rFonts w:ascii="Arial" w:cs="Arial" w:eastAsia="Arial" w:hAnsi="Arial"/>
          <w:sz w:val="11"/>
          <w:szCs w:val="11"/>
          <w:i w:val="1"/>
          <w:iCs w:val="1"/>
          <w:color w:val="auto"/>
        </w:rPr>
        <w:t xml:space="preserve"> in vitro </w:t>
      </w:r>
      <w:r>
        <w:rPr>
          <w:rFonts w:ascii="Arial" w:cs="Arial" w:eastAsia="Arial" w:hAnsi="Arial"/>
          <w:sz w:val="11"/>
          <w:szCs w:val="11"/>
          <w:color w:val="auto"/>
        </w:rPr>
        <w:t xml:space="preserve">efficacy assay used by the initial developer of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prior to termination for safety reasons and (ii) significant reduction of concentration dependent cardiotoxicity in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 xml:space="preserve">Potential 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Drug Rescue Variant Pipeline</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40" w:type="dxa"/>
            <w:vAlign w:val="bottom"/>
          </w:tcPr>
          <w:p>
            <w:pPr>
              <w:ind w:left="1000"/>
              <w:spacing w:after="0"/>
              <w:rPr>
                <w:sz w:val="20"/>
                <w:szCs w:val="20"/>
                <w:color w:val="auto"/>
              </w:rPr>
            </w:pPr>
            <w:r>
              <w:rPr>
                <w:rFonts w:ascii="Arial" w:cs="Arial" w:eastAsia="Arial" w:hAnsi="Arial"/>
                <w:sz w:val="12"/>
                <w:szCs w:val="12"/>
                <w:b w:val="1"/>
                <w:bCs w:val="1"/>
                <w:color w:val="auto"/>
              </w:rPr>
              <w:t>Projected</w:t>
            </w:r>
          </w:p>
        </w:tc>
        <w:tc>
          <w:tcPr>
            <w:tcW w:w="3900" w:type="dxa"/>
            <w:vAlign w:val="bottom"/>
          </w:tcPr>
          <w:p>
            <w:pPr>
              <w:ind w:left="1040"/>
              <w:spacing w:after="0"/>
              <w:rPr>
                <w:sz w:val="20"/>
                <w:szCs w:val="20"/>
                <w:color w:val="auto"/>
              </w:rPr>
            </w:pPr>
            <w:r>
              <w:rPr>
                <w:rFonts w:ascii="Arial" w:cs="Arial" w:eastAsia="Arial" w:hAnsi="Arial"/>
                <w:sz w:val="12"/>
                <w:szCs w:val="12"/>
                <w:b w:val="1"/>
                <w:bCs w:val="1"/>
                <w:color w:val="auto"/>
              </w:rPr>
              <w:t>Projected</w:t>
            </w: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40" w:type="dxa"/>
            <w:vAlign w:val="bottom"/>
          </w:tcPr>
          <w:p>
            <w:pPr>
              <w:ind w:left="660"/>
              <w:spacing w:after="0"/>
              <w:rPr>
                <w:sz w:val="20"/>
                <w:szCs w:val="20"/>
                <w:color w:val="auto"/>
              </w:rPr>
            </w:pPr>
            <w:r>
              <w:rPr>
                <w:rFonts w:ascii="Arial" w:cs="Arial" w:eastAsia="Arial" w:hAnsi="Arial"/>
                <w:sz w:val="12"/>
                <w:szCs w:val="12"/>
                <w:b w:val="1"/>
                <w:bCs w:val="1"/>
                <w:color w:val="auto"/>
              </w:rPr>
              <w:t>Projected</w:t>
            </w:r>
          </w:p>
        </w:tc>
        <w:tc>
          <w:tcPr>
            <w:tcW w:w="2840" w:type="dxa"/>
            <w:vAlign w:val="bottom"/>
          </w:tcPr>
          <w:p>
            <w:pPr>
              <w:ind w:left="1000"/>
              <w:spacing w:after="0"/>
              <w:rPr>
                <w:sz w:val="20"/>
                <w:szCs w:val="20"/>
                <w:color w:val="auto"/>
              </w:rPr>
            </w:pPr>
            <w:r>
              <w:rPr>
                <w:rFonts w:ascii="Arial" w:cs="Arial" w:eastAsia="Arial" w:hAnsi="Arial"/>
                <w:sz w:val="12"/>
                <w:szCs w:val="12"/>
                <w:b w:val="1"/>
                <w:bCs w:val="1"/>
                <w:color w:val="auto"/>
              </w:rPr>
              <w:t>Preclinical POC</w:t>
            </w:r>
          </w:p>
        </w:tc>
        <w:tc>
          <w:tcPr>
            <w:tcW w:w="3900" w:type="dxa"/>
            <w:vAlign w:val="bottom"/>
          </w:tcPr>
          <w:p>
            <w:pPr>
              <w:ind w:left="1040"/>
              <w:spacing w:after="0"/>
              <w:rPr>
                <w:sz w:val="20"/>
                <w:szCs w:val="20"/>
                <w:color w:val="auto"/>
              </w:rPr>
            </w:pPr>
            <w:r>
              <w:rPr>
                <w:rFonts w:ascii="Arial" w:cs="Arial" w:eastAsia="Arial" w:hAnsi="Arial"/>
                <w:sz w:val="12"/>
                <w:szCs w:val="12"/>
                <w:b w:val="1"/>
                <w:bCs w:val="1"/>
                <w:color w:val="auto"/>
              </w:rPr>
              <w:t>Preclinical POC</w:t>
            </w:r>
          </w:p>
        </w:tc>
      </w:tr>
      <w:tr>
        <w:trPr>
          <w:trHeight w:val="162"/>
        </w:trPr>
        <w:tc>
          <w:tcPr>
            <w:tcW w:w="220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xml:space="preserve">Drug Rescue Variant </w:t>
            </w:r>
            <w:r>
              <w:rPr>
                <w:rFonts w:ascii="Arial" w:cs="Arial" w:eastAsia="Arial" w:hAnsi="Arial"/>
                <w:sz w:val="12"/>
                <w:szCs w:val="12"/>
                <w:b w:val="1"/>
                <w:bCs w:val="1"/>
                <w:color w:val="auto"/>
              </w:rPr>
              <w:t>Program</w:t>
            </w:r>
          </w:p>
        </w:tc>
        <w:tc>
          <w:tcPr>
            <w:tcW w:w="2540" w:type="dxa"/>
            <w:vAlign w:val="bottom"/>
          </w:tcPr>
          <w:p>
            <w:pPr>
              <w:ind w:left="660"/>
              <w:spacing w:after="0"/>
              <w:rPr>
                <w:sz w:val="20"/>
                <w:szCs w:val="20"/>
                <w:color w:val="auto"/>
              </w:rPr>
            </w:pPr>
            <w:r>
              <w:rPr>
                <w:rFonts w:ascii="Arial" w:cs="Arial" w:eastAsia="Arial" w:hAnsi="Arial"/>
                <w:sz w:val="12"/>
                <w:szCs w:val="12"/>
                <w:b w:val="1"/>
                <w:bCs w:val="1"/>
                <w:color w:val="auto"/>
              </w:rPr>
              <w:t>Program Launch</w:t>
            </w:r>
          </w:p>
        </w:tc>
        <w:tc>
          <w:tcPr>
            <w:tcW w:w="2840" w:type="dxa"/>
            <w:vAlign w:val="bottom"/>
          </w:tcPr>
          <w:p>
            <w:pPr>
              <w:ind w:left="1000"/>
              <w:spacing w:after="0" w:line="162" w:lineRule="exact"/>
              <w:rPr>
                <w:sz w:val="20"/>
                <w:szCs w:val="20"/>
                <w:color w:val="auto"/>
              </w:rPr>
            </w:pPr>
            <w:r>
              <w:rPr>
                <w:rFonts w:ascii="Arial" w:cs="Arial" w:eastAsia="Arial" w:hAnsi="Arial"/>
                <w:sz w:val="12"/>
                <w:szCs w:val="12"/>
                <w:b w:val="1"/>
                <w:bCs w:val="1"/>
                <w:i w:val="1"/>
                <w:iCs w:val="1"/>
                <w:color w:val="auto"/>
              </w:rPr>
              <w:t xml:space="preserve">in vitro </w:t>
            </w:r>
            <w:r>
              <w:rPr>
                <w:rFonts w:ascii="Arial" w:cs="Arial" w:eastAsia="Arial" w:hAnsi="Arial"/>
                <w:sz w:val="16"/>
                <w:szCs w:val="16"/>
                <w:b w:val="1"/>
                <w:bCs w:val="1"/>
                <w:color w:val="auto"/>
                <w:vertAlign w:val="subscript"/>
              </w:rPr>
              <w:t>(1)</w:t>
            </w:r>
          </w:p>
        </w:tc>
        <w:tc>
          <w:tcPr>
            <w:tcW w:w="3900" w:type="dxa"/>
            <w:vAlign w:val="bottom"/>
          </w:tcPr>
          <w:p>
            <w:pPr>
              <w:ind w:left="1040"/>
              <w:spacing w:after="0" w:line="162" w:lineRule="exact"/>
              <w:rPr>
                <w:sz w:val="20"/>
                <w:szCs w:val="20"/>
                <w:color w:val="auto"/>
              </w:rPr>
            </w:pPr>
            <w:r>
              <w:rPr>
                <w:rFonts w:ascii="Arial" w:cs="Arial" w:eastAsia="Arial" w:hAnsi="Arial"/>
                <w:sz w:val="12"/>
                <w:szCs w:val="12"/>
                <w:b w:val="1"/>
                <w:bCs w:val="1"/>
                <w:i w:val="1"/>
                <w:iCs w:val="1"/>
                <w:color w:val="auto"/>
              </w:rPr>
              <w:t xml:space="preserve">in vivo </w:t>
            </w:r>
            <w:r>
              <w:rPr>
                <w:rFonts w:ascii="Arial" w:cs="Arial" w:eastAsia="Arial" w:hAnsi="Arial"/>
                <w:sz w:val="16"/>
                <w:szCs w:val="16"/>
                <w:b w:val="1"/>
                <w:bCs w:val="1"/>
                <w:color w:val="auto"/>
                <w:vertAlign w:val="subscript"/>
              </w:rPr>
              <w:t>(2)</w:t>
            </w: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VSTA-DRV1</w:t>
            </w:r>
          </w:p>
        </w:tc>
        <w:tc>
          <w:tcPr>
            <w:tcW w:w="25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rPr>
              <w:t>Q4 2014</w:t>
            </w:r>
          </w:p>
        </w:tc>
        <w:tc>
          <w:tcPr>
            <w:tcW w:w="28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2"/>
                <w:szCs w:val="12"/>
                <w:color w:val="auto"/>
              </w:rPr>
              <w:t>Q3 2015</w:t>
            </w:r>
          </w:p>
        </w:tc>
        <w:tc>
          <w:tcPr>
            <w:tcW w:w="39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2"/>
                <w:szCs w:val="12"/>
                <w:color w:val="auto"/>
              </w:rPr>
              <w:t>Q4 2015</w:t>
            </w:r>
          </w:p>
        </w:tc>
      </w:tr>
      <w:tr>
        <w:trPr>
          <w:trHeight w:val="144"/>
        </w:trPr>
        <w:tc>
          <w:tcPr>
            <w:tcW w:w="2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VSTA-DRV2</w:t>
            </w:r>
          </w:p>
        </w:tc>
        <w:tc>
          <w:tcPr>
            <w:tcW w:w="2540" w:type="dxa"/>
            <w:vAlign w:val="bottom"/>
          </w:tcPr>
          <w:p>
            <w:pPr>
              <w:ind w:left="660"/>
              <w:spacing w:after="0"/>
              <w:rPr>
                <w:sz w:val="20"/>
                <w:szCs w:val="20"/>
                <w:color w:val="auto"/>
              </w:rPr>
            </w:pPr>
            <w:r>
              <w:rPr>
                <w:rFonts w:ascii="Arial" w:cs="Arial" w:eastAsia="Arial" w:hAnsi="Arial"/>
                <w:sz w:val="12"/>
                <w:szCs w:val="12"/>
                <w:color w:val="auto"/>
              </w:rPr>
              <w:t>Q4 2014</w:t>
            </w:r>
          </w:p>
        </w:tc>
        <w:tc>
          <w:tcPr>
            <w:tcW w:w="2840" w:type="dxa"/>
            <w:vAlign w:val="bottom"/>
          </w:tcPr>
          <w:p>
            <w:pPr>
              <w:ind w:left="1000"/>
              <w:spacing w:after="0"/>
              <w:rPr>
                <w:sz w:val="20"/>
                <w:szCs w:val="20"/>
                <w:color w:val="auto"/>
              </w:rPr>
            </w:pPr>
            <w:r>
              <w:rPr>
                <w:rFonts w:ascii="Arial" w:cs="Arial" w:eastAsia="Arial" w:hAnsi="Arial"/>
                <w:sz w:val="12"/>
                <w:szCs w:val="12"/>
                <w:color w:val="auto"/>
              </w:rPr>
              <w:t>Q3 2015</w:t>
            </w:r>
          </w:p>
        </w:tc>
        <w:tc>
          <w:tcPr>
            <w:tcW w:w="3900" w:type="dxa"/>
            <w:vAlign w:val="bottom"/>
          </w:tcPr>
          <w:p>
            <w:pPr>
              <w:ind w:left="1040"/>
              <w:spacing w:after="0"/>
              <w:rPr>
                <w:sz w:val="20"/>
                <w:szCs w:val="20"/>
                <w:color w:val="auto"/>
              </w:rPr>
            </w:pPr>
            <w:r>
              <w:rPr>
                <w:rFonts w:ascii="Arial" w:cs="Arial" w:eastAsia="Arial" w:hAnsi="Arial"/>
                <w:sz w:val="12"/>
                <w:szCs w:val="12"/>
                <w:color w:val="auto"/>
              </w:rPr>
              <w:t>Q4 2015</w:t>
            </w:r>
          </w:p>
        </w:tc>
      </w:tr>
      <w:tr>
        <w:trPr>
          <w:trHeight w:val="144"/>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2"/>
                <w:szCs w:val="12"/>
                <w:color w:val="auto"/>
              </w:rPr>
              <w:t>VSTA-DRV3</w:t>
            </w:r>
          </w:p>
        </w:tc>
        <w:tc>
          <w:tcPr>
            <w:tcW w:w="2540" w:type="dxa"/>
            <w:vAlign w:val="bottom"/>
            <w:shd w:val="clear" w:color="auto" w:fill="CCEEFF"/>
          </w:tcPr>
          <w:p>
            <w:pPr>
              <w:ind w:left="660"/>
              <w:spacing w:after="0"/>
              <w:rPr>
                <w:sz w:val="20"/>
                <w:szCs w:val="20"/>
                <w:color w:val="auto"/>
              </w:rPr>
            </w:pPr>
            <w:r>
              <w:rPr>
                <w:rFonts w:ascii="Arial" w:cs="Arial" w:eastAsia="Arial" w:hAnsi="Arial"/>
                <w:sz w:val="12"/>
                <w:szCs w:val="12"/>
                <w:color w:val="auto"/>
              </w:rPr>
              <w:t>Q1 2015</w:t>
            </w:r>
          </w:p>
        </w:tc>
        <w:tc>
          <w:tcPr>
            <w:tcW w:w="2840" w:type="dxa"/>
            <w:vAlign w:val="bottom"/>
            <w:shd w:val="clear" w:color="auto" w:fill="CCEEFF"/>
          </w:tcPr>
          <w:p>
            <w:pPr>
              <w:ind w:left="1000"/>
              <w:spacing w:after="0"/>
              <w:rPr>
                <w:sz w:val="20"/>
                <w:szCs w:val="20"/>
                <w:color w:val="auto"/>
              </w:rPr>
            </w:pPr>
            <w:r>
              <w:rPr>
                <w:rFonts w:ascii="Arial" w:cs="Arial" w:eastAsia="Arial" w:hAnsi="Arial"/>
                <w:sz w:val="12"/>
                <w:szCs w:val="12"/>
                <w:color w:val="auto"/>
              </w:rPr>
              <w:t>Q4 2015</w:t>
            </w:r>
          </w:p>
        </w:tc>
        <w:tc>
          <w:tcPr>
            <w:tcW w:w="390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Q1 2016</w:t>
            </w:r>
          </w:p>
        </w:tc>
      </w:tr>
      <w:tr>
        <w:trPr>
          <w:trHeight w:val="153"/>
        </w:trPr>
        <w:tc>
          <w:tcPr>
            <w:tcW w:w="2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VSTA-DRV4</w:t>
            </w:r>
          </w:p>
        </w:tc>
        <w:tc>
          <w:tcPr>
            <w:tcW w:w="2540" w:type="dxa"/>
            <w:vAlign w:val="bottom"/>
          </w:tcPr>
          <w:p>
            <w:pPr>
              <w:ind w:left="660"/>
              <w:spacing w:after="0"/>
              <w:rPr>
                <w:sz w:val="20"/>
                <w:szCs w:val="20"/>
                <w:color w:val="auto"/>
              </w:rPr>
            </w:pPr>
            <w:r>
              <w:rPr>
                <w:rFonts w:ascii="Arial" w:cs="Arial" w:eastAsia="Arial" w:hAnsi="Arial"/>
                <w:sz w:val="12"/>
                <w:szCs w:val="12"/>
                <w:color w:val="auto"/>
              </w:rPr>
              <w:t>Q1 2015</w:t>
            </w:r>
          </w:p>
        </w:tc>
        <w:tc>
          <w:tcPr>
            <w:tcW w:w="2840" w:type="dxa"/>
            <w:vAlign w:val="bottom"/>
          </w:tcPr>
          <w:p>
            <w:pPr>
              <w:ind w:left="1000"/>
              <w:spacing w:after="0"/>
              <w:rPr>
                <w:sz w:val="20"/>
                <w:szCs w:val="20"/>
                <w:color w:val="auto"/>
              </w:rPr>
            </w:pPr>
            <w:r>
              <w:rPr>
                <w:rFonts w:ascii="Arial" w:cs="Arial" w:eastAsia="Arial" w:hAnsi="Arial"/>
                <w:sz w:val="12"/>
                <w:szCs w:val="12"/>
                <w:color w:val="auto"/>
              </w:rPr>
              <w:t>Q4 2015</w:t>
            </w:r>
          </w:p>
        </w:tc>
        <w:tc>
          <w:tcPr>
            <w:tcW w:w="3900" w:type="dxa"/>
            <w:vAlign w:val="bottom"/>
          </w:tcPr>
          <w:p>
            <w:pPr>
              <w:ind w:left="1040"/>
              <w:spacing w:after="0"/>
              <w:rPr>
                <w:sz w:val="20"/>
                <w:szCs w:val="20"/>
                <w:color w:val="auto"/>
              </w:rPr>
            </w:pPr>
            <w:r>
              <w:rPr>
                <w:rFonts w:ascii="Arial" w:cs="Arial" w:eastAsia="Arial" w:hAnsi="Arial"/>
                <w:sz w:val="12"/>
                <w:szCs w:val="12"/>
                <w:color w:val="auto"/>
              </w:rPr>
              <w:t>Q1 2016</w:t>
            </w:r>
          </w:p>
        </w:tc>
      </w:tr>
    </w:tbl>
    <w:p>
      <w:pPr>
        <w:spacing w:after="0" w:line="144" w:lineRule="exact"/>
        <w:rPr>
          <w:sz w:val="20"/>
          <w:szCs w:val="20"/>
          <w:color w:val="auto"/>
        </w:rPr>
      </w:pPr>
    </w:p>
    <w:p>
      <w:pPr>
        <w:ind w:left="8" w:right="20" w:hanging="8"/>
        <w:spacing w:after="0" w:line="276" w:lineRule="auto"/>
        <w:tabs>
          <w:tab w:leader="none" w:pos="226"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Drug Rescue Variant</w:t>
      </w:r>
      <w:r>
        <w:rPr>
          <w:rFonts w:ascii="Arial" w:cs="Arial" w:eastAsia="Arial" w:hAnsi="Arial"/>
          <w:sz w:val="12"/>
          <w:szCs w:val="12"/>
          <w:color w:val="auto"/>
        </w:rPr>
        <w:t>, as compared to the</w:t>
      </w:r>
      <w:r>
        <w:rPr>
          <w:rFonts w:ascii="Arial" w:cs="Arial" w:eastAsia="Arial" w:hAnsi="Arial"/>
          <w:sz w:val="12"/>
          <w:szCs w:val="12"/>
          <w:i w:val="1"/>
          <w:iCs w:val="1"/>
          <w:color w:val="auto"/>
        </w:rPr>
        <w:t xml:space="preserve"> Drug Rescue Candidate</w:t>
      </w:r>
      <w:r>
        <w:rPr>
          <w:rFonts w:ascii="Arial" w:cs="Arial" w:eastAsia="Arial" w:hAnsi="Arial"/>
          <w:sz w:val="12"/>
          <w:szCs w:val="12"/>
          <w:color w:val="auto"/>
        </w:rPr>
        <w:t>, demonstrates, (i) equal or superior efficacy in the same or similar pre-termination</w:t>
      </w:r>
      <w:r>
        <w:rPr>
          <w:rFonts w:ascii="Arial" w:cs="Arial" w:eastAsia="Arial" w:hAnsi="Arial"/>
          <w:sz w:val="12"/>
          <w:szCs w:val="12"/>
          <w:i w:val="1"/>
          <w:iCs w:val="1"/>
          <w:color w:val="auto"/>
        </w:rPr>
        <w:t xml:space="preserve"> in vitro </w:t>
      </w:r>
      <w:r>
        <w:rPr>
          <w:rFonts w:ascii="Arial" w:cs="Arial" w:eastAsia="Arial" w:hAnsi="Arial"/>
          <w:sz w:val="12"/>
          <w:szCs w:val="12"/>
          <w:color w:val="auto"/>
        </w:rPr>
        <w:t>efficacy assay (s) used by the original developer of the</w:t>
      </w:r>
      <w:r>
        <w:rPr>
          <w:rFonts w:ascii="Arial" w:cs="Arial" w:eastAsia="Arial" w:hAnsi="Arial"/>
          <w:sz w:val="12"/>
          <w:szCs w:val="12"/>
          <w:i w:val="1"/>
          <w:iCs w:val="1"/>
          <w:color w:val="auto"/>
        </w:rPr>
        <w:t xml:space="preserve"> Drug Rescue Candidate </w:t>
      </w:r>
      <w:r>
        <w:rPr>
          <w:rFonts w:ascii="Arial" w:cs="Arial" w:eastAsia="Arial" w:hAnsi="Arial"/>
          <w:sz w:val="12"/>
          <w:szCs w:val="12"/>
          <w:color w:val="auto"/>
        </w:rPr>
        <w:t>to optimize its efficacy and (ii) substantial reduction of concentration dependent cardiotoxicity in our</w:t>
      </w:r>
      <w:r>
        <w:rPr>
          <w:rFonts w:ascii="Arial" w:cs="Arial" w:eastAsia="Arial" w:hAnsi="Arial"/>
          <w:sz w:val="12"/>
          <w:szCs w:val="12"/>
          <w:i w:val="1"/>
          <w:iCs w:val="1"/>
          <w:color w:val="auto"/>
        </w:rPr>
        <w:t xml:space="preserve"> CardioSafe </w:t>
      </w:r>
      <w:r>
        <w:rPr>
          <w:rFonts w:ascii="Arial" w:cs="Arial" w:eastAsia="Arial" w:hAnsi="Arial"/>
          <w:sz w:val="12"/>
          <w:szCs w:val="12"/>
          <w:color w:val="auto"/>
        </w:rPr>
        <w:t>3D cardiac safety assays.</w:t>
      </w:r>
    </w:p>
    <w:p>
      <w:pPr>
        <w:spacing w:after="0" w:line="114" w:lineRule="exact"/>
        <w:rPr>
          <w:rFonts w:ascii="Arial" w:cs="Arial" w:eastAsia="Arial" w:hAnsi="Arial"/>
          <w:sz w:val="12"/>
          <w:szCs w:val="12"/>
          <w:color w:val="auto"/>
        </w:rPr>
      </w:pPr>
    </w:p>
    <w:p>
      <w:pPr>
        <w:jc w:val="both"/>
        <w:ind w:left="8" w:hanging="8"/>
        <w:spacing w:after="0" w:line="263" w:lineRule="auto"/>
        <w:tabs>
          <w:tab w:leader="none" w:pos="292"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 xml:space="preserve">Drug Rescue Variant </w:t>
      </w:r>
      <w:r>
        <w:rPr>
          <w:rFonts w:ascii="Arial" w:cs="Arial" w:eastAsia="Arial" w:hAnsi="Arial"/>
          <w:sz w:val="12"/>
          <w:szCs w:val="12"/>
          <w:color w:val="auto"/>
        </w:rPr>
        <w:t>demonstrates (i) safety, determined by a substantial reduction of concentration dependent cardiotoxicity in the in vitro assay(s) and/or in vivo animal model used by the original developer, resulting in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discontinuation of the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and (ii) efficacy, determined using the in vitro assays and/or in vivo animal model(s) used by the original developer to support the pre-termination IND application for the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Candidate</w:t>
      </w:r>
      <w:r>
        <w:rPr>
          <w:rFonts w:ascii="Arial" w:cs="Arial" w:eastAsia="Arial" w:hAnsi="Arial"/>
          <w:sz w:val="12"/>
          <w:szCs w:val="12"/>
          <w:color w:val="auto"/>
        </w:rPr>
        <w:t>.</w:t>
      </w:r>
    </w:p>
    <w:p>
      <w:pPr>
        <w:spacing w:after="0" w:line="141"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We believe our exclusive focus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established therapeutic and commercial potential, and our ability to build on that valuable head start with our novel biological and electrophysiological insight regarding cardiac effects of new drug candidates that we can generate with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help us and our medicinal chemistry partner produce and optimize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without incurring many of the high costs and risks typically inherent in new drug discovery and development. Although we plan to continue to identify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in the public domain, we may also seek to acquire rights to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not available to us in the public domain by entering into contractual arrangements with third-parties.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Strategic Development and Commercialization of Drug Rescue Variants</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believe many pharmaceutical companies are experiencing, and will continue to experience, critical research and development productivity issues, as measured by their lack of, or very low number of, FDA-approved products each year during the past decade. In 2013, the U.S. pharmaceutical industry invested over $51 billion in research and development, while the FDA only approved 34 new treatments, including 27 medications approved by the FDA’s Center for Drug Evaluation and Research (</w:t>
      </w:r>
      <w:r>
        <w:rPr>
          <w:rFonts w:ascii="Arial" w:cs="Arial" w:eastAsia="Arial" w:hAnsi="Arial"/>
          <w:sz w:val="12"/>
          <w:szCs w:val="12"/>
          <w:i w:val="1"/>
          <w:iCs w:val="1"/>
          <w:color w:val="auto"/>
        </w:rPr>
        <w:t>CDER</w:t>
      </w:r>
      <w:r>
        <w:rPr>
          <w:rFonts w:ascii="Arial" w:cs="Arial" w:eastAsia="Arial" w:hAnsi="Arial"/>
          <w:sz w:val="12"/>
          <w:szCs w:val="12"/>
          <w:color w:val="auto"/>
        </w:rPr>
        <w:t>). Considering CDER only approved an average of 26 medications per year between 2004 and 2012, we expect the disparity between annual spending on research and development by the U.S. pharmaceutical industry and the number of medications approved by CDER to continue.</w:t>
      </w:r>
    </w:p>
    <w:p>
      <w:pPr>
        <w:spacing w:after="0" w:line="14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As a result of research and development productivity issues and diminishing product pipelines, as well as generic competition for established products that are no longer patent protected, we believe there is and will continue to be a critical need among pharmaceutical companies to acquire or in-license the new, potentially safer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are focused on developing, including companies that originally discovered, developed and ultimately discontinued the </w:t>
      </w:r>
      <w:r>
        <w:rPr>
          <w:rFonts w:ascii="Arial" w:cs="Arial" w:eastAsia="Arial" w:hAnsi="Arial"/>
          <w:sz w:val="12"/>
          <w:szCs w:val="12"/>
          <w:i w:val="1"/>
          <w:iCs w:val="1"/>
          <w:color w:val="auto"/>
        </w:rPr>
        <w:t xml:space="preserve">Drug Rescue Candidates </w:t>
      </w:r>
      <w:r>
        <w:rPr>
          <w:rFonts w:ascii="Arial" w:cs="Arial" w:eastAsia="Arial" w:hAnsi="Arial"/>
          <w:sz w:val="12"/>
          <w:szCs w:val="12"/>
          <w:color w:val="auto"/>
        </w:rPr>
        <w:t>we select for our drug rescue programs.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55" w:name="page56"/>
    <w:bookmarkEnd w:id="5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Once we achieve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proof of concept (</w:t>
      </w:r>
      <w:r>
        <w:rPr>
          <w:rFonts w:ascii="Arial" w:cs="Arial" w:eastAsia="Arial" w:hAnsi="Arial"/>
          <w:sz w:val="11"/>
          <w:szCs w:val="11"/>
          <w:i w:val="1"/>
          <w:iCs w:val="1"/>
          <w:color w:val="auto"/>
        </w:rPr>
        <w:t>POC</w:t>
      </w:r>
      <w:r>
        <w:rPr>
          <w:rFonts w:ascii="Arial" w:cs="Arial" w:eastAsia="Arial" w:hAnsi="Arial"/>
          <w:sz w:val="11"/>
          <w:szCs w:val="11"/>
          <w:color w:val="auto"/>
        </w:rPr>
        <w:t xml:space="preserve">) as to the efficacy and safety of a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we intend to announce the results of our internal POC studies and, at that time, consider whether to further develop it internally or seek to out-license it to a pharmaceutical company, including, potentially, the company that developed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If we decide to out-license a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to a pharmaceutical company, through a form of license arrangement we believe is generally accepted in the pharmaceutical industry, we anticipate that the pharmaceutical company will be responsible for all subsequent development, manufacturing, regulatory approval, marketing and sale of the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and that we will receive licensing revenue through payments to us from the license upon signing the license agreement, achievement of development and regulatory milestones, and, if approved and marketed, upon commercial sales, although no assurances can be given that the terms of such a beneficial arrangement will be available or offered to us.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Regenerative Medicine and Drug Discovery</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Although we believe the best and most valuable near term commercial application of our stem cell technology platform is for small molecule drug rescue, we also believe stem cell technology-based drug discovery and regenerative medicine has the potential to transform healthcare in the U.S. over the next decade by altering the fundamental mechanisms of disease. Upon completion of this Offering, we intend to explore opportunities to leverage our stem cell technology platform, our expertise in human biology, differentiation of human pluripotent stem cells to develop functional adult human cells and tissues involved in human disease, including blood, bone, cartilage, heart, liver and insulin-producing pancreatic beta-islet cells, and our expertise in designing and developing novel, customized biological assay systems with the cells we produce, for regenerative medicine purposes, with emphasis on developing novel human disease models for discovery of small molecule drugs with regenerative and therapeutic potential. Among our key objectives will be to assess our regenerative medicine opportunities through exploratory nonclinical POC studies.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 for Neuropathic Pain, Epilepsy and Depression</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With $8.8 million of grant funding awarded from the U.S. National Institutes of Health (</w:t>
      </w:r>
      <w:r>
        <w:rPr>
          <w:rFonts w:ascii="Arial" w:cs="Arial" w:eastAsia="Arial" w:hAnsi="Arial"/>
          <w:sz w:val="11"/>
          <w:szCs w:val="11"/>
          <w:i w:val="1"/>
          <w:iCs w:val="1"/>
          <w:color w:val="auto"/>
        </w:rPr>
        <w:t>NIH</w:t>
      </w:r>
      <w:r>
        <w:rPr>
          <w:rFonts w:ascii="Arial" w:cs="Arial" w:eastAsia="Arial" w:hAnsi="Arial"/>
          <w:sz w:val="11"/>
          <w:szCs w:val="11"/>
          <w:color w:val="auto"/>
        </w:rPr>
        <w:t>), we have successfully completed Phase 1 development of AV-101. AV-101, also known as “L-4-chlorokynurenine” and “4-Cl-KYN”, is an orally-available, non-sedating small molecule prodrug candidate aimed at the multi-billion dollar neurological disease and disorders market, including neuropathic pain, a serious and chronic condition causing pain after an injury or disease of the peripheral or central nervous system, epilepsy, depression and Parkinson’s disease. Our AV-101 IND application on file at the FDA covers clinical development for neuropathic pain. However, we believe the Phase 1 AV-101 safety studies we have completed to date will support development of AV-101 for multiple indications, including epilepsy, depression and Parkinson’s disease. Upon completion of this Offering, we intend to seek potential opportunities for further clinical development and commercialization of AV-101 for neuropathic pain, epilepsy, depression and Parkinson’s disease, either on our own or through one strategic partnering arrangements. In the event that we successfully complete one or more strategic partnering arrangements for AV-101, we plan to use the net proceeds from such arrangement(s) to expand our stem cell technology-based drug rescue and regenerative medicine programs.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Scientific Background</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Basics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6" w:name="page57"/>
    <w:bookmarkEnd w:id="5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Human pluripotent stem cells (hPSCs)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Human pluripotent stem cells are either embryonic stem cells (</w:t>
      </w:r>
      <w:r>
        <w:rPr>
          <w:rFonts w:ascii="Arial" w:cs="Arial" w:eastAsia="Arial" w:hAnsi="Arial"/>
          <w:sz w:val="12"/>
          <w:szCs w:val="12"/>
          <w:i w:val="1"/>
          <w:iCs w:val="1"/>
          <w:color w:val="auto"/>
        </w:rPr>
        <w:t>hESCs</w:t>
      </w:r>
      <w:r>
        <w:rPr>
          <w:rFonts w:ascii="Arial" w:cs="Arial" w:eastAsia="Arial" w:hAnsi="Arial"/>
          <w:sz w:val="12"/>
          <w:szCs w:val="12"/>
          <w:color w:val="auto"/>
        </w:rPr>
        <w:t>) or induced pluripotent stem cells (</w:t>
      </w:r>
      <w:r>
        <w:rPr>
          <w:rFonts w:ascii="Arial" w:cs="Arial" w:eastAsia="Arial" w:hAnsi="Arial"/>
          <w:sz w:val="12"/>
          <w:szCs w:val="12"/>
          <w:i w:val="1"/>
          <w:iCs w:val="1"/>
          <w:color w:val="auto"/>
        </w:rPr>
        <w:t>iPSCs</w:t>
      </w:r>
      <w:r>
        <w:rPr>
          <w:rFonts w:ascii="Arial" w:cs="Arial" w:eastAsia="Arial" w:hAnsi="Arial"/>
          <w:sz w:val="12"/>
          <w:szCs w:val="12"/>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these mature cells as the basis to design and develop our novel, customized bioassay systems to test the safety and efficacy of new drug candidates </w:t>
      </w:r>
      <w:r>
        <w:rPr>
          <w:rFonts w:ascii="Arial" w:cs="Arial" w:eastAsia="Arial" w:hAnsi="Arial"/>
          <w:sz w:val="12"/>
          <w:szCs w:val="12"/>
          <w:i w:val="1"/>
          <w:iCs w:val="1"/>
          <w:color w:val="auto"/>
        </w:rPr>
        <w:t>in vitro</w:t>
      </w:r>
      <w:r>
        <w:rPr>
          <w:rFonts w:ascii="Arial" w:cs="Arial" w:eastAsia="Arial" w:hAnsi="Arial"/>
          <w:sz w:val="12"/>
          <w:szCs w:val="12"/>
          <w:color w:val="auto"/>
        </w:rPr>
        <w:t>. These cells also have potential for diverse regenerative medicine applications.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Human Embryonic Stem Cells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According to the NIH, human embryonic stem cells are derived from excess embryos that develop from eggs that have been fertilized in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Human embryonic stem cells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Induced Pluripotent Stem Cells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It is also possible to obtain hPSC lines from individuals without the use of embryos. Induced pluripotent stem cells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7" w:name="page58"/>
    <w:bookmarkEnd w:id="5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color w:val="auto"/>
        </w:rPr>
        <w:t>Although there are remaining questions in the field about the lifespan, clinical utility and safety of iPSCs, we believe the biology and differentiation capabilities of hESCs and iPSCs are likely to be comparable for drug rescue purposes.</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There are, however, specific situations in which we may prefer to use one or the other type of hPSC. For example, we may prefer to use iPSCs for potential drug discovery applications based on the relative ease of generating iPSCs from:</w:t>
      </w:r>
    </w:p>
    <w:p>
      <w:pPr>
        <w:spacing w:after="0" w:line="182" w:lineRule="exact"/>
        <w:rPr>
          <w:sz w:val="20"/>
          <w:szCs w:val="20"/>
          <w:color w:val="auto"/>
        </w:rPr>
      </w:pPr>
    </w:p>
    <w:p>
      <w:pPr>
        <w:ind w:left="600" w:hanging="338"/>
        <w:spacing w:after="0"/>
        <w:tabs>
          <w:tab w:leader="none" w:pos="6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individuals with specific inheritable diseases and conditions that predispose the individual to respond differently to drugs; or</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individuals with specific variations in genes that directly affect drug levels in the body or alter the manner or efficiency of their metabolism, breakdown and/or elimination of drugs.</w:t>
      </w:r>
    </w:p>
    <w:p>
      <w:pPr>
        <w:spacing w:after="0" w:line="31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Proprietary Stem Cell Differentiation Protocols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Over fifteen years of research, together with Dr. Gordon Keller, our co-founder and Chair of our Scientific Advisory Board, we have developed proprietary differentiation protocols covering key conditions involved in the differentiation of hPSCs into multiple types of mature human cells. The human cells generated by following these proprietary differentiation protocols are integral to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believe they support more clinically-predictive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than animal testing or cellular assays currently used in drug discovery and development. Our strategic technology licenses from National Jewish Health in Denver, the Icahn School of Medicine at Mount Sinai in New York and the University Health Network in Toronto relate to proprietary stem cell differentiation protocols developed by Dr. Keller and involve precisely-coordinated temporal and quantitative conditions and interaction of biological molecules including the following:</w:t>
      </w:r>
    </w:p>
    <w:p>
      <w:pPr>
        <w:spacing w:after="0" w:line="144" w:lineRule="exact"/>
        <w:rPr>
          <w:sz w:val="20"/>
          <w:szCs w:val="20"/>
          <w:color w:val="auto"/>
        </w:rPr>
      </w:pPr>
    </w:p>
    <w:p>
      <w:pPr>
        <w:ind w:left="440" w:hanging="259"/>
        <w:spacing w:after="0"/>
        <w:tabs>
          <w:tab w:leader="none" w:pos="4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specific growth and differentiation factors used in the tissue culture medium, applied in specific combinations, at critical concentrations, and at critical times unique to each desired human cell type;</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biological markers characteristic of precursor cells, which are committed to becoming specific human cells and tissues, and which can be used to identify, enrich and purify the desired mature human cell type.</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will allow us to assess the toxicity profile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other new drug candidates for a wide range of diseases and conditions with greater speed and precision than nonclinical surrogate safety models most often currently used in drug development.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8" w:name="page59"/>
    <w:bookmarkEnd w:id="5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Growth Factors that Direct and Stimulate the Differentiation Process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The proprietary and licensed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allow us to direct and stimulate the differentiation process of hPSCs. As an example, for hESCs, the epiblast is the first stage in differentiation. One biological factor that controls the first fate decision of the epiblast is the relative concentrations of serum growth factors and activin, a protein involved in early differentiation and many cell fate decisions. Substituting explicit amounts of defined growth factors in place of ill-defined animal serum, and adding the optimal amount of activin is an important step in inducing the reproducible development of functional cells and, in our view, is essential for the development of a robust, efficient, and reproducible model of human cellular differentiation suitable for drug rescue. The use of activin in these applications is core to many of the claims in the patent applications underlying our licensed hPSC technology. Replacing activin with continuous exposure to ill-defined and variable animal serum results in an inefficient and variable differentiation of the human heart, liver, blood and cells of other organs. See “Intellectual Property – Icahn School of Medicine at Mount Sinai Exclusive Licenses.”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to activin, Dr. Keller’s studies have identified a number of other growth and developmental factors that play important roles in the differentiation of hESCs. Some of the patents and patent applications underlying our licensed hPSC technology are directed to the use of a variety of specific growth factors that increase the efficiency (yield) and reproducibility of the hPSC differentiation process. We have exclusive rights to certain patents and patent applications with claims relating to growth factor concentrations for hESC differentiation that we believe are core and essential for drug rescue and development. See “Intellectual Property – Icahn School of Medicine at Mount Sinai Exclusive Licenses” and “National Jewish Health Exclusive Licenses.”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Developmental Genes that Direct and Stimulate the Stem Cell Differentiation Process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For the purpose of creating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further control the differentiation process by controlling regulation of key developmental genes. By studying natural organ and tissue development, researchers have identified many genes that are critical to the normal differentiation, growth and functioning of tissues of the body. We engineer hESCs in a way that enables us to regulate genes that have been identified as critical to control and direct the normal development of specific types of cells. We can then mimic human biology in a way that allows us to turn on and off the expression of a selected gene by the addition of a specific compound to a culture medium. By adding specific compounds, we have the ability to influence the expression of key genes that are critically important to the normal biology of the cell.</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Cell Purification Approaches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proprietary protocols we have licensed and developed internally for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also establish specific marker genes and proteins which can be used to identify, enrich, purify, and study important populations of intermediate precursor cells that have made specific fate decisions and are on a specific developmental pathway towards a certain type of functionally mature cell. These proprietary protocols enable a significant increase in the efficiency, reproducibility, and purity of final cell populations. For example, we are able to isolate millions of purified specific precursor cells which, together with a specific combination of growth factors, develop full culture wells of functional, beating human cardiomyocytes. Due to their functionality and purity, we believe these cell cultures are ideal for drug rescue.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3D </w:t>
      </w:r>
      <w:r>
        <w:rPr>
          <w:rFonts w:ascii="Arial" w:cs="Arial" w:eastAsia="Arial" w:hAnsi="Arial"/>
          <w:sz w:val="12"/>
          <w:szCs w:val="12"/>
          <w:b w:val="1"/>
          <w:bCs w:val="1"/>
          <w:i w:val="1"/>
          <w:iCs w:val="1"/>
          <w:color w:val="auto"/>
        </w:rPr>
        <w:t>“Micro-Organ” Culture Systems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addition to standard two-dimensional (</w:t>
      </w:r>
      <w:r>
        <w:rPr>
          <w:rFonts w:ascii="Arial" w:cs="Arial" w:eastAsia="Arial" w:hAnsi="Arial"/>
          <w:sz w:val="12"/>
          <w:szCs w:val="12"/>
          <w:i w:val="1"/>
          <w:iCs w:val="1"/>
          <w:color w:val="auto"/>
        </w:rPr>
        <w:t>2D</w:t>
      </w:r>
      <w:r>
        <w:rPr>
          <w:rFonts w:ascii="Arial" w:cs="Arial" w:eastAsia="Arial" w:hAnsi="Arial"/>
          <w:sz w:val="12"/>
          <w:szCs w:val="12"/>
          <w:color w:val="auto"/>
        </w:rPr>
        <w:t xml:space="preserve">) cultures which work well for some cell types and cellular assays, the proprietary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enable us to grow large numbers of normal, non-transformed, mature human cells to produce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3D “micro-organ” culture systems. For example, for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we grow large numbers of normal, non-transformed, human heart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9" w:name="page60"/>
    <w:bookmarkEnd w:id="5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Medicinal Chemistry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are core components of our drug rescue business model. Working with our strategic contract medicinal chemistry partner, Synterys, Inc., we are focused on using our stem cell biology to generate a pipeline of effective and safe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of once-promising company drug candidates in a more efficient and cost-effective manner than the processes currently used for drug development.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The limitations of current preclinical drug testing systems used by pharmaceutical companies contribute to the high failure rate of drug candidates. According to articles published in the Journal of Applied Toxicology, Stem Cell Research and Current Opinion in Cardiology, unexpected cardiotoxicity is one of the top two major safety-related reasons for failure of both drugs and drug candidates. Incorporating novel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assays using hPSC-derived cardiomyocytes (</w:t>
      </w:r>
      <w:r>
        <w:rPr>
          <w:rFonts w:ascii="Arial" w:cs="Arial" w:eastAsia="Arial" w:hAnsi="Arial"/>
          <w:sz w:val="11"/>
          <w:szCs w:val="11"/>
          <w:i w:val="1"/>
          <w:iCs w:val="1"/>
          <w:color w:val="auto"/>
        </w:rPr>
        <w:t>hPSC-CMs</w:t>
      </w:r>
      <w:r>
        <w:rPr>
          <w:rFonts w:ascii="Arial" w:cs="Arial" w:eastAsia="Arial" w:hAnsi="Arial"/>
          <w:sz w:val="11"/>
          <w:szCs w:val="11"/>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With our proprietary stem cell differentiation technology, we produce fully-functional, non-transformed hPSC-CMs, which we refer to as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function reliably in all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cardiac toxicity assays, screening for both direct cardiomyocyte cytotoxicity and arrhythmogenesis (or development of irregular beating patterns).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sensitive, stable, reproducible and capable of generating data enabling a more accurate prediction of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cardiac effects of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and other new drug candidates than is possible with existing preclinical testing systems, particularly the hERG assay.</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Limited clinical predictivity of the FDA-required hERG assay</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The hERG assay, which uses either transformed hamster ovary cells or human kidney cells,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(ICH57B).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clinically-relevant cardiac biological effects associated with cardiomyocyte viability ,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Broad clinical predictivity of CardioSafe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noted above, we have developed and validated two clinically-relevant functional components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consists of a suite of five fluorescence or luminescence based high-throughput hPSC-CM assays. These five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measure the following important drug-induced cardiac biological effects:</w:t>
      </w:r>
    </w:p>
    <w:p>
      <w:pPr>
        <w:spacing w:after="0" w:line="141" w:lineRule="exact"/>
        <w:rPr>
          <w:sz w:val="20"/>
          <w:szCs w:val="20"/>
          <w:color w:val="auto"/>
        </w:rPr>
      </w:pPr>
    </w:p>
    <w:p>
      <w:pPr>
        <w:ind w:left="1120" w:hanging="155"/>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cell viability;</w:t>
      </w:r>
    </w:p>
    <w:p>
      <w:pPr>
        <w:spacing w:after="0" w:line="14" w:lineRule="exact"/>
        <w:rPr>
          <w:rFonts w:ascii="Arial" w:cs="Arial" w:eastAsia="Arial" w:hAnsi="Arial"/>
          <w:sz w:val="12"/>
          <w:szCs w:val="12"/>
          <w:color w:val="auto"/>
        </w:rPr>
      </w:pPr>
    </w:p>
    <w:p>
      <w:pPr>
        <w:ind w:left="1120" w:hanging="155"/>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apoptosis;</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mitochondrial membrane depolarization;</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oxidative stress; and</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energy metabolism disruption.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0" w:name="page61"/>
    <w:bookmarkEnd w:id="6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33" w:lineRule="exact"/>
        <w:rPr>
          <w:sz w:val="20"/>
          <w:szCs w:val="20"/>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ion channel blockers: amiodarone, nifedipine;</w:t>
      </w:r>
    </w:p>
    <w:p>
      <w:pPr>
        <w:spacing w:after="0" w:line="14"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hERG trafficking blockers: pentamidine, amoxapine;</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α-1 adrenoreceptors: doxazosin;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protein and DNA synthesis inhibitors: emetine;</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DNA intercalating agents: doxorubicin;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antibiotics: ampicillin, cefazolin;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NSAID: aspirin; and</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kinase inhibitors: staurosporine.</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This suite of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provides valuable and far more comprehensive bioanalytical tools for both assessing the effects of pharmaceutical compounds on cardiac cytotoxicity than the hERG assay and can elucidate for us and our medicinal</w:t>
      </w:r>
      <w:r>
        <w:rPr>
          <w:rFonts w:ascii="Arial" w:cs="Arial" w:eastAsia="Arial" w:hAnsi="Arial"/>
          <w:sz w:val="12"/>
          <w:szCs w:val="12"/>
          <w:i w:val="1"/>
          <w:iCs w:val="1"/>
          <w:color w:val="auto"/>
        </w:rPr>
        <w:t xml:space="preserve"> </w:t>
      </w:r>
      <w:r>
        <w:rPr>
          <w:rFonts w:ascii="Arial" w:cs="Arial" w:eastAsia="Arial" w:hAnsi="Arial"/>
          <w:sz w:val="12"/>
          <w:szCs w:val="12"/>
          <w:color w:val="auto"/>
        </w:rPr>
        <w:t>chemistry partner specific mechanisms of cardiac toxicity, thereby laying what we believe is a novel and advantageous foundation for our drug rescue programs.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other component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 sensitive and reliable medium throughput multi-electrode array (</w:t>
      </w:r>
      <w:r>
        <w:rPr>
          <w:rFonts w:ascii="Arial" w:cs="Arial" w:eastAsia="Arial" w:hAnsi="Arial"/>
          <w:sz w:val="12"/>
          <w:szCs w:val="12"/>
          <w:i w:val="1"/>
          <w:iCs w:val="1"/>
          <w:color w:val="auto"/>
        </w:rPr>
        <w:t>MEA</w:t>
      </w:r>
      <w:r>
        <w:rPr>
          <w:rFonts w:ascii="Arial" w:cs="Arial" w:eastAsia="Arial" w:hAnsi="Arial"/>
          <w:sz w:val="12"/>
          <w:szCs w:val="12"/>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has been validated with reported clinical results involving twelve drugs, each with known toxic or non-toxic cardiac effects in humans. The twelve clinical correlation study compounds are as follows:</w:t>
      </w:r>
    </w:p>
    <w:p>
      <w:pPr>
        <w:spacing w:after="0" w:line="143" w:lineRule="exact"/>
        <w:rPr>
          <w:sz w:val="20"/>
          <w:szCs w:val="20"/>
          <w:color w:val="auto"/>
        </w:rPr>
      </w:pPr>
    </w:p>
    <w:p>
      <w:pPr>
        <w:ind w:left="1940" w:hanging="143"/>
        <w:spacing w:after="0"/>
        <w:tabs>
          <w:tab w:leader="none" w:pos="19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One FDA-approved drug (aspirin) without cardiac liability to serve as a negative control;</w:t>
      </w:r>
    </w:p>
    <w:p>
      <w:pPr>
        <w:spacing w:after="0" w:line="14" w:lineRule="exact"/>
        <w:rPr>
          <w:rFonts w:ascii="Arial" w:cs="Arial" w:eastAsia="Arial" w:hAnsi="Arial"/>
          <w:sz w:val="12"/>
          <w:szCs w:val="12"/>
          <w:color w:val="auto"/>
        </w:rPr>
      </w:pPr>
    </w:p>
    <w:p>
      <w:pPr>
        <w:ind w:left="1940" w:hanging="143"/>
        <w:spacing w:after="0" w:line="187" w:lineRule="auto"/>
        <w:tabs>
          <w:tab w:leader="none" w:pos="1940" w:val="left"/>
        </w:tabs>
        <w:numPr>
          <w:ilvl w:val="0"/>
          <w:numId w:val="30"/>
        </w:numPr>
        <w:rPr>
          <w:rFonts w:ascii="Arial" w:cs="Arial" w:eastAsia="Arial" w:hAnsi="Arial"/>
          <w:sz w:val="24"/>
          <w:szCs w:val="24"/>
          <w:color w:val="auto"/>
          <w:vertAlign w:val="superscript"/>
        </w:rPr>
      </w:pPr>
      <w:r>
        <w:rPr>
          <w:rFonts w:ascii="Arial" w:cs="Arial" w:eastAsia="Arial" w:hAnsi="Arial"/>
          <w:sz w:val="12"/>
          <w:szCs w:val="12"/>
          <w:color w:val="auto"/>
        </w:rPr>
        <w:t>Five FDA-approved drugs (astemizole, sotalol, cisapride, terfenadine and sertindole) that were withdrawn from the market due to heart toxicity concerns;</w:t>
      </w:r>
    </w:p>
    <w:p>
      <w:pPr>
        <w:spacing w:after="0" w:line="74" w:lineRule="exact"/>
        <w:rPr>
          <w:rFonts w:ascii="Arial" w:cs="Arial" w:eastAsia="Arial" w:hAnsi="Arial"/>
          <w:sz w:val="24"/>
          <w:szCs w:val="24"/>
          <w:color w:val="auto"/>
          <w:vertAlign w:val="superscript"/>
        </w:rPr>
      </w:pPr>
    </w:p>
    <w:p>
      <w:pPr>
        <w:ind w:left="1940" w:hanging="143"/>
        <w:spacing w:after="0" w:line="249" w:lineRule="auto"/>
        <w:tabs>
          <w:tab w:leader="none" w:pos="19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ind w:left="1940" w:hanging="143"/>
        <w:spacing w:after="0" w:line="187" w:lineRule="auto"/>
        <w:tabs>
          <w:tab w:leader="none" w:pos="1940" w:val="left"/>
        </w:tabs>
        <w:numPr>
          <w:ilvl w:val="0"/>
          <w:numId w:val="30"/>
        </w:numPr>
        <w:rPr>
          <w:rFonts w:ascii="Arial" w:cs="Arial" w:eastAsia="Arial" w:hAnsi="Arial"/>
          <w:sz w:val="24"/>
          <w:szCs w:val="24"/>
          <w:color w:val="auto"/>
          <w:vertAlign w:val="superscript"/>
        </w:rPr>
      </w:pPr>
      <w:r>
        <w:rPr>
          <w:rFonts w:ascii="Arial" w:cs="Arial" w:eastAsia="Arial" w:hAnsi="Arial"/>
          <w:sz w:val="12"/>
          <w:szCs w:val="12"/>
          <w:color w:val="auto"/>
        </w:rPr>
        <w:t>One research compound (E-4031) failed in Phase I human clinical study before being discontinued due to inducing heart arrhythmias.</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We have validated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MEA assay, which we refer to as </w:t>
      </w:r>
      <w:r>
        <w:rPr>
          <w:rFonts w:ascii="Arial" w:cs="Arial" w:eastAsia="Arial" w:hAnsi="Arial"/>
          <w:sz w:val="11"/>
          <w:szCs w:val="11"/>
          <w:i w:val="1"/>
          <w:iCs w:val="1"/>
          <w:color w:val="auto"/>
        </w:rPr>
        <w:t>ECG in a test tube</w:t>
      </w:r>
      <w:r>
        <w:rPr>
          <w:rFonts w:ascii="Arial" w:cs="Arial" w:eastAsia="Arial" w:hAnsi="Arial"/>
          <w:sz w:val="11"/>
          <w:szCs w:val="11"/>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we were able to distinguish between the arrhythmogenic cardiac effects of terfenadine (Seldane™), withdrawn by the FDA due to cardiotoxicity, and the cardiac effects of the closely structurally-related compound,</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fexofenadine (Allegra™), a safe variant of terfenadine, which remains on the market. We believe our correlation data demonstrate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3Dprovides valuable and more comprehensive bioanalytical tools for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screening than the hERG assay.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will contribute to our efficient and rapid identification of novel, potentially safer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 our programs.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1" w:name="page62"/>
    <w:bookmarkEnd w:id="6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going far beyond the hERG assay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table below reflects the broad cardiotoxicity screening capabilities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which we believe go far beyond what is possible to assess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using the FDA-required hERG assay: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500" w:type="dxa"/>
            <w:vAlign w:val="bottom"/>
            <w:tcBorders>
              <w:bottom w:val="single" w:sz="8" w:color="auto"/>
            </w:tcBorders>
          </w:tcPr>
          <w:p>
            <w:pPr>
              <w:ind w:left="2160"/>
              <w:spacing w:after="0"/>
              <w:rPr>
                <w:sz w:val="20"/>
                <w:szCs w:val="20"/>
                <w:color w:val="auto"/>
              </w:rPr>
            </w:pPr>
            <w:r>
              <w:rPr>
                <w:rFonts w:ascii="Arial" w:cs="Arial" w:eastAsia="Arial" w:hAnsi="Arial"/>
                <w:sz w:val="12"/>
                <w:szCs w:val="12"/>
                <w:color w:val="auto"/>
              </w:rPr>
              <w:t>Detects cardiac effects mediated by:</w:t>
            </w:r>
          </w:p>
        </w:tc>
        <w:tc>
          <w:tcPr>
            <w:tcW w:w="3220" w:type="dxa"/>
            <w:vAlign w:val="bottom"/>
            <w:tcBorders>
              <w:bottom w:val="single" w:sz="8" w:color="auto"/>
            </w:tcBorders>
          </w:tcPr>
          <w:p>
            <w:pPr>
              <w:jc w:val="center"/>
              <w:ind w:left="580"/>
              <w:spacing w:after="0"/>
              <w:rPr>
                <w:sz w:val="20"/>
                <w:szCs w:val="20"/>
                <w:color w:val="auto"/>
              </w:rPr>
            </w:pPr>
            <w:r>
              <w:rPr>
                <w:rFonts w:ascii="Arial" w:cs="Arial" w:eastAsia="Arial" w:hAnsi="Arial"/>
                <w:sz w:val="12"/>
                <w:szCs w:val="12"/>
                <w:b w:val="1"/>
                <w:bCs w:val="1"/>
                <w:color w:val="auto"/>
                <w:w w:val="88"/>
              </w:rPr>
              <w:t>hERG assay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91"/>
              </w:rPr>
              <w:t xml:space="preserve">CardioSafe </w:t>
            </w:r>
            <w:r>
              <w:rPr>
                <w:rFonts w:ascii="Arial" w:cs="Arial" w:eastAsia="Arial" w:hAnsi="Arial"/>
                <w:sz w:val="12"/>
                <w:szCs w:val="12"/>
                <w:b w:val="1"/>
                <w:bCs w:val="1"/>
                <w:color w:val="auto"/>
                <w:w w:val="91"/>
              </w:rPr>
              <w:t>3D™</w:t>
            </w:r>
          </w:p>
        </w:tc>
      </w:tr>
      <w:tr>
        <w:trPr>
          <w:trHeight w:val="142"/>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hERG potassium ion channels</w:t>
            </w:r>
          </w:p>
        </w:tc>
        <w:tc>
          <w:tcPr>
            <w:tcW w:w="3220" w:type="dxa"/>
            <w:vAlign w:val="bottom"/>
            <w:shd w:val="clear" w:color="auto" w:fill="CCEEFF"/>
          </w:tcPr>
          <w:p>
            <w:pPr>
              <w:jc w:val="center"/>
              <w:ind w:left="580"/>
              <w:spacing w:after="0"/>
              <w:rPr>
                <w:sz w:val="20"/>
                <w:szCs w:val="20"/>
                <w:color w:val="auto"/>
              </w:rPr>
            </w:pPr>
            <w:r>
              <w:rPr>
                <w:rFonts w:ascii="Arial" w:cs="Arial" w:eastAsia="Arial" w:hAnsi="Arial"/>
                <w:sz w:val="12"/>
                <w:szCs w:val="12"/>
                <w:color w:val="auto"/>
                <w:w w:val="89"/>
              </w:rPr>
              <w:t>ü</w:t>
            </w: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Other potassium ion channels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Calcium ion channels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Sodium ion channels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Interactions between ion channels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Channel regulatory proteins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Cell viability</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Apoptosis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Mitochondria</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Energy</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Oxidative Stress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306"/>
        </w:trPr>
        <w:tc>
          <w:tcPr>
            <w:tcW w:w="55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assessment of kinase inhibitor-induced cardiotoxicity</w:t>
            </w:r>
          </w:p>
        </w:tc>
        <w:tc>
          <w:tcPr>
            <w:tcW w:w="322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To further evaluate the potential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predict cardiac toxicity of drug candidates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including </w:t>
      </w:r>
      <w:r>
        <w:rPr>
          <w:rFonts w:ascii="Arial" w:cs="Arial" w:eastAsia="Arial" w:hAnsi="Arial"/>
          <w:sz w:val="12"/>
          <w:szCs w:val="12"/>
          <w:i w:val="1"/>
          <w:iCs w:val="1"/>
          <w:color w:val="auto"/>
        </w:rPr>
        <w:t>Drug Rescue Variants</w:t>
      </w:r>
      <w:r>
        <w:rPr>
          <w:rFonts w:ascii="Arial" w:cs="Arial" w:eastAsia="Arial" w:hAnsi="Arial"/>
          <w:sz w:val="12"/>
          <w:szCs w:val="12"/>
          <w:color w:val="auto"/>
        </w:rPr>
        <w:t>, we have assessed cardiac effects induced by small molecule kinase inhibitors (</w:t>
      </w:r>
      <w:r>
        <w:rPr>
          <w:rFonts w:ascii="Arial" w:cs="Arial" w:eastAsia="Arial" w:hAnsi="Arial"/>
          <w:sz w:val="12"/>
          <w:szCs w:val="12"/>
          <w:i w:val="1"/>
          <w:iCs w:val="1"/>
          <w:color w:val="auto"/>
        </w:rPr>
        <w:t>KI</w:t>
      </w:r>
      <w:r>
        <w:rPr>
          <w:rFonts w:ascii="Arial" w:cs="Arial" w:eastAsia="Arial" w:hAnsi="Arial"/>
          <w:sz w:val="12"/>
          <w:szCs w:val="12"/>
          <w:color w:val="auto"/>
        </w:rPr>
        <w:t>s), which belong to a new category of drugs that have revolutionized cancer therapy due to decreased systemic toxicity and an increased anti-tumor cell specific effect compared to classic cancer drugs. Since 1998, the FDA has approved numerous small molecule KIs for cancer therapy. However, many of these FDA-approved KIs have been implicated in causing serious adverse cardiac events in patients which were not identified during drug development using traditional preclinical testing systems.</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In our KI-induced cardiotoxicity study, we evaluated well-known anti-cancer KIs with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some of which are FDA-approved and have been documented as cardiotoxic. This important validation set of anti-cancer KI compounds is as follows:</w:t>
      </w:r>
    </w:p>
    <w:p>
      <w:pPr>
        <w:spacing w:after="0" w:line="133" w:lineRule="exact"/>
        <w:rPr>
          <w:sz w:val="20"/>
          <w:szCs w:val="20"/>
          <w:color w:val="auto"/>
        </w:rPr>
      </w:pPr>
    </w:p>
    <w:p>
      <w:pPr>
        <w:ind w:left="1120" w:hanging="362"/>
        <w:spacing w:after="0"/>
        <w:tabs>
          <w:tab w:leader="none" w:pos="11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growth factor receptors: sunitinib, axitinib, imatinib, dasatinib, sorafenib, erlotinib, lapatinib, tyrphostin and AG1478;</w:t>
      </w:r>
    </w:p>
    <w:p>
      <w:pPr>
        <w:spacing w:after="0" w:line="14" w:lineRule="exact"/>
        <w:rPr>
          <w:rFonts w:ascii="Arial" w:cs="Arial" w:eastAsia="Arial" w:hAnsi="Arial"/>
          <w:sz w:val="12"/>
          <w:szCs w:val="12"/>
          <w:color w:val="auto"/>
        </w:rPr>
      </w:pPr>
    </w:p>
    <w:p>
      <w:pPr>
        <w:ind w:left="1120" w:hanging="362"/>
        <w:spacing w:after="0"/>
        <w:tabs>
          <w:tab w:leader="none" w:pos="11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the mTOR pathway: everolimus, temsirolimus;</w:t>
      </w:r>
    </w:p>
    <w:p>
      <w:pPr>
        <w:spacing w:after="0" w:line="6" w:lineRule="exact"/>
        <w:rPr>
          <w:rFonts w:ascii="Arial" w:cs="Arial" w:eastAsia="Arial" w:hAnsi="Arial"/>
          <w:sz w:val="12"/>
          <w:szCs w:val="12"/>
          <w:color w:val="auto"/>
        </w:rPr>
      </w:pPr>
    </w:p>
    <w:p>
      <w:pPr>
        <w:ind w:left="1120" w:hanging="362"/>
        <w:spacing w:after="0"/>
        <w:tabs>
          <w:tab w:leader="none" w:pos="11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cell cycle regulators: tozasertib, barasertib, alvocidib;</w:t>
      </w:r>
    </w:p>
    <w:p>
      <w:pPr>
        <w:spacing w:after="0" w:line="6" w:lineRule="exact"/>
        <w:rPr>
          <w:rFonts w:ascii="Arial" w:cs="Arial" w:eastAsia="Arial" w:hAnsi="Arial"/>
          <w:sz w:val="12"/>
          <w:szCs w:val="12"/>
          <w:color w:val="auto"/>
        </w:rPr>
      </w:pPr>
    </w:p>
    <w:p>
      <w:pPr>
        <w:ind w:left="1120" w:hanging="362"/>
        <w:spacing w:after="0"/>
        <w:tabs>
          <w:tab w:leader="none" w:pos="11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the PI3K pathway : perifosine, LY294002, XL765;</w:t>
      </w:r>
    </w:p>
    <w:p>
      <w:pPr>
        <w:spacing w:after="0" w:line="6" w:lineRule="exact"/>
        <w:rPr>
          <w:rFonts w:ascii="Arial" w:cs="Arial" w:eastAsia="Arial" w:hAnsi="Arial"/>
          <w:sz w:val="12"/>
          <w:szCs w:val="12"/>
          <w:color w:val="auto"/>
        </w:rPr>
      </w:pPr>
    </w:p>
    <w:p>
      <w:pPr>
        <w:ind w:left="1120" w:hanging="362"/>
        <w:spacing w:after="0"/>
        <w:tabs>
          <w:tab w:leader="none" w:pos="11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the MEK pathway: PD325901, AZD6264; and</w:t>
      </w:r>
    </w:p>
    <w:p>
      <w:pPr>
        <w:spacing w:after="0" w:line="6" w:lineRule="exact"/>
        <w:rPr>
          <w:rFonts w:ascii="Arial" w:cs="Arial" w:eastAsia="Arial" w:hAnsi="Arial"/>
          <w:sz w:val="12"/>
          <w:szCs w:val="12"/>
          <w:color w:val="auto"/>
        </w:rPr>
      </w:pPr>
    </w:p>
    <w:p>
      <w:pPr>
        <w:ind w:left="1120" w:hanging="362"/>
        <w:spacing w:after="0"/>
        <w:tabs>
          <w:tab w:leader="none" w:pos="11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the JAK and other pathways: lestaurtinib.</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validation data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successfully detected cardiotoxicity induced by each of the representative compounds, consistent with adverse cardiac events observed in the clinic.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able to distinguish between cardiotoxic and safe compounds, and even as between those compounds which inhibit the same kinase pathways. For instance, both sunitinib and axitinib inhibit VEGFR, PDGFR and c-Kit pathways, whereas our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indicate that sunitinib is cardiotoxic and axitinib is safe, which is consistent with the reported clinical outcomes.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2" w:name="page63"/>
    <w:bookmarkEnd w:id="6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Importantly, the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profile of each KI provided us clues to the potential biological mechanism(s) causing cardiac cytotoxicity. For example, cardiac cytotoxicity induced by perifosine was most potent for producing apoptotic responses, while imatinib was most potent for producing oxidative stress. In addition, no cardiac toxicity or alteration in electrophysiology was detected with drugs that do not have a cardiac liability, emphasizing the specificity of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Having information on the biological pathways associated with the cardiac cytotoxic effects of compounds provides important clues for novel medicinal chemistry approaches and compound modifications for our</w:t>
      </w:r>
      <w:r>
        <w:rPr>
          <w:rFonts w:ascii="Arial" w:cs="Arial" w:eastAsia="Arial" w:hAnsi="Arial"/>
          <w:sz w:val="12"/>
          <w:szCs w:val="12"/>
          <w:i w:val="1"/>
          <w:iCs w:val="1"/>
          <w:color w:val="auto"/>
        </w:rPr>
        <w:t xml:space="preserve"> CardioSafe </w:t>
      </w:r>
      <w:r>
        <w:rPr>
          <w:rFonts w:ascii="Arial" w:cs="Arial" w:eastAsia="Arial" w:hAnsi="Arial"/>
          <w:sz w:val="12"/>
          <w:szCs w:val="12"/>
          <w:color w:val="auto"/>
        </w:rPr>
        <w:t>3D drug rescue programs.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Another example of the capability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enabling the sensitive measurement of drug effects that are consistent with reported clinical responses are the results with sunitinib and dasatinib.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correctly identified that both compounds would cause QT prolongation, arrhythmia, and/or altered contraction rates, which are consistent with clinical observations.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correlation data demonstrate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improve clinical predictivity as a more comprehensive and clinically-relevant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system than the hERG assay, helping not only to identify potential cardiac toxicities early in development, but also to discover important potential biological mechanisms of cardiac cytotoxicity.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may be effectively used to identify novel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with reduced cardiotoxicity by providing more accurate and timely indications of alterations in electrophysiological activity, as well as a more clinically relevant assessment of potential cardiac biological effects of drug candidates contributing to cardiac cytotoxicity, than animal models or the hERG assay currently used by pharmaceutical companies.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support the central premise of our drug rescue business model: by using our hPSC-derived human heart and liver cell bioassay systems at the front end of the drug development process, we have the opportunity to take advantage of substantial prior investment by pharmaceutical companies and others in drug discovery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optimization of still-promising drug candidates that have been terminated prior to FDA approval due to unexpected heart or liver toxicity concerns.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LiverSafe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refer to the highly-functional, non-transformed, mature hPSC-derived hepatocytes we produce as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w:t>
      </w:r>
      <w:r>
        <w:rPr>
          <w:rFonts w:ascii="Arial" w:cs="Arial" w:eastAsia="Arial" w:hAnsi="Arial"/>
          <w:sz w:val="12"/>
          <w:szCs w:val="12"/>
          <w:i w:val="1"/>
          <w:iCs w:val="1"/>
          <w:color w:val="auto"/>
        </w:rPr>
        <w:t>VSTA-heps are the foundation of LiverSafe</w:t>
      </w:r>
      <w:r>
        <w:rPr>
          <w:rFonts w:ascii="Arial" w:cs="Arial" w:eastAsia="Arial" w:hAnsi="Arial"/>
          <w:sz w:val="12"/>
          <w:szCs w:val="12"/>
          <w:color w:val="auto"/>
        </w:rPr>
        <w:t xml:space="preserve"> 3D, a powerful new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hepatotoxicity assay system that we believe goes a step beyond in vitro assays using commercially-available primary (human cadaver cell-based) hepatocytes. By combining the flexibility of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non-transformed human hepatocyte-based assay system with genetically-consistent, functionally-reliable, and essentially unlimited production based on hPSCs, </w:t>
      </w:r>
      <w:r>
        <w:rPr>
          <w:rFonts w:ascii="Arial" w:cs="Arial" w:eastAsia="Arial" w:hAnsi="Arial"/>
          <w:sz w:val="12"/>
          <w:szCs w:val="12"/>
          <w:i w:val="1"/>
          <w:iCs w:val="1"/>
          <w:color w:val="auto"/>
        </w:rPr>
        <w:t>VSTA-heps</w:t>
      </w:r>
      <w:r>
        <w:rPr>
          <w:rFonts w:ascii="Arial" w:cs="Arial" w:eastAsia="Arial" w:hAnsi="Arial"/>
          <w:sz w:val="12"/>
          <w:szCs w:val="12"/>
          <w:color w:val="auto"/>
        </w:rPr>
        <w:t>, can be maintained in a healthy state for much longer than the primary hepatocytes used in FDA-required drug metabolism assays, greatly enhancing the reliability and predictability of our hepatotoxicity testing for our drug rescue programs.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Until now, reliable human cell-based hepatotoxicity screening platforms have been difficult to establish for high throughput drug development with currently available primary hepatocyte systems. Commercially-available primary (cadaver) hepatocytes are in short supply, are genetically variable, functionally inconsistent, and have a short lifespan in culture, during which they rapidly lose their drug metabolizing capabilities and develop signs of cellular stress. Commercially-available primary hepatocytes also have significant batch-to-batch genetic and functional activity that varies widely batch-to-batch. Primary hepatocytes are derived from individuals with significant genetic differences, unknown differences in health status, and widely different drug exposures, each potentially contributing significant but unquantifiable effects on hepatocyte function, resulting in very large unpredictable ranges of drug metabolism activity. Consequently, it is difficult to maintain reproducible quantitative measurements in drug testing assays using currently available primary (cadaver) hepatocyte assays. This leads to limitations in the quality, reliability, and clinical predictivity of the results and conclusions drawn assays based on primary (cadaver) hepatocytes.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We believe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overcome the foregoing limitations of primary hepatocytes. Our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are derived from the same hPSC line, are genetically identical, normal, non-transformed (that is, not tumor-derived) human cells capable of being produced in essentially unlimited supply. Importantly,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can be indefinitely produced and, we believe, frozen for storage into large, uniform, quality-controlled cell banks.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47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8960" w:type="dxa"/>
            <w:vAlign w:val="bottom"/>
            <w:gridSpan w:val="4"/>
          </w:tcPr>
          <w:p>
            <w:pPr>
              <w:spacing w:after="0"/>
              <w:rPr>
                <w:sz w:val="20"/>
                <w:szCs w:val="20"/>
                <w:color w:val="auto"/>
              </w:rPr>
            </w:pPr>
            <w:r>
              <w:rPr>
                <w:rFonts w:ascii="Arial" w:cs="Arial" w:eastAsia="Arial" w:hAnsi="Arial"/>
                <w:sz w:val="12"/>
                <w:szCs w:val="12"/>
                <w:color w:val="auto"/>
                <w:w w:val="99"/>
              </w:rPr>
              <w:t xml:space="preserve">The table below reflects important characteristics of </w:t>
            </w:r>
            <w:r>
              <w:rPr>
                <w:rFonts w:ascii="Arial" w:cs="Arial" w:eastAsia="Arial" w:hAnsi="Arial"/>
                <w:sz w:val="12"/>
                <w:szCs w:val="12"/>
                <w:i w:val="1"/>
                <w:iCs w:val="1"/>
                <w:color w:val="auto"/>
                <w:w w:val="99"/>
              </w:rPr>
              <w:t>VSTA-heps</w:t>
            </w:r>
            <w:r>
              <w:rPr>
                <w:rFonts w:ascii="Arial" w:cs="Arial" w:eastAsia="Arial" w:hAnsi="Arial"/>
                <w:sz w:val="12"/>
                <w:szCs w:val="12"/>
                <w:color w:val="auto"/>
                <w:w w:val="99"/>
              </w:rPr>
              <w:t xml:space="preserve"> compared to commercially-available primary hepatocytes used in FDA-required drug metabolism studies:</w:t>
            </w:r>
          </w:p>
        </w:tc>
        <w:tc>
          <w:tcPr>
            <w:tcW w:w="252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ind w:left="1180"/>
              <w:spacing w:after="0"/>
              <w:rPr>
                <w:sz w:val="20"/>
                <w:szCs w:val="20"/>
                <w:color w:val="auto"/>
              </w:rPr>
            </w:pPr>
            <w:r>
              <w:rPr>
                <w:rFonts w:ascii="Arial" w:cs="Arial" w:eastAsia="Arial" w:hAnsi="Arial"/>
                <w:sz w:val="12"/>
                <w:szCs w:val="12"/>
                <w:color w:val="auto"/>
              </w:rPr>
              <w:t xml:space="preserve">Characteristics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hepatocyte assays:</w:t>
            </w:r>
          </w:p>
        </w:tc>
        <w:tc>
          <w:tcPr>
            <w:tcW w:w="3480" w:type="dxa"/>
            <w:vAlign w:val="bottom"/>
            <w:tcBorders>
              <w:bottom w:val="single" w:sz="8" w:color="auto"/>
            </w:tcBorders>
          </w:tcPr>
          <w:p>
            <w:pPr>
              <w:jc w:val="center"/>
              <w:ind w:left="280"/>
              <w:spacing w:after="0"/>
              <w:rPr>
                <w:sz w:val="20"/>
                <w:szCs w:val="20"/>
                <w:color w:val="auto"/>
              </w:rPr>
            </w:pPr>
            <w:r>
              <w:rPr>
                <w:rFonts w:ascii="Arial" w:cs="Arial" w:eastAsia="Arial" w:hAnsi="Arial"/>
                <w:sz w:val="12"/>
                <w:szCs w:val="12"/>
                <w:b w:val="1"/>
                <w:bCs w:val="1"/>
                <w:color w:val="auto"/>
                <w:w w:val="89"/>
              </w:rPr>
              <w:t>Primary hepatocytes</w:t>
            </w:r>
          </w:p>
        </w:tc>
        <w:tc>
          <w:tcPr>
            <w:tcW w:w="252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i w:val="1"/>
                <w:iCs w:val="1"/>
                <w:color w:val="auto"/>
                <w:w w:val="89"/>
              </w:rPr>
              <w:t>VSTA-heps™</w:t>
            </w:r>
          </w:p>
        </w:tc>
      </w:tr>
      <w:tr>
        <w:trPr>
          <w:trHeight w:val="142"/>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Human cells</w:t>
            </w:r>
          </w:p>
        </w:tc>
        <w:tc>
          <w:tcPr>
            <w:tcW w:w="348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Liver enzyme activity</w:t>
            </w:r>
          </w:p>
        </w:tc>
        <w:tc>
          <w:tcPr>
            <w:tcW w:w="3480" w:type="dxa"/>
            <w:vAlign w:val="bottom"/>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Within batch reproducibility</w:t>
            </w:r>
          </w:p>
        </w:tc>
        <w:tc>
          <w:tcPr>
            <w:tcW w:w="348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Batch-to-batch reproducibility</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Long term culture</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Maintenance of function in culture</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Parental cells can be expanded into large batches</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Uniform genetic background between batches</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Uniform donor health status between batches</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53"/>
        </w:trPr>
        <w:tc>
          <w:tcPr>
            <w:tcW w:w="20" w:type="dxa"/>
            <w:vAlign w:val="bottom"/>
          </w:tcPr>
          <w:p>
            <w:pPr>
              <w:spacing w:after="0"/>
              <w:rPr>
                <w:sz w:val="13"/>
                <w:szCs w:val="13"/>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Gene “reporters” can be genetically inserted</w:t>
            </w:r>
          </w:p>
        </w:tc>
        <w:tc>
          <w:tcPr>
            <w:tcW w:w="3480" w:type="dxa"/>
            <w:vAlign w:val="bottom"/>
          </w:tcPr>
          <w:p>
            <w:pPr>
              <w:spacing w:after="0"/>
              <w:rPr>
                <w:sz w:val="13"/>
                <w:szCs w:val="13"/>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VSTA-heps </w:t>
      </w:r>
      <w:r>
        <w:rPr>
          <w:rFonts w:ascii="Arial" w:cs="Arial" w:eastAsia="Arial" w:hAnsi="Arial"/>
          <w:sz w:val="12"/>
          <w:szCs w:val="12"/>
          <w:b w:val="1"/>
          <w:bCs w:val="1"/>
          <w:color w:val="auto"/>
        </w:rPr>
        <w:t>and CYP3A4 enzyme expression for drug metabolism</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the past,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adult drug metabolizing enzymes, such as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a critical liver enzyme responsible for metabolizing approximately one-third of the FDA-approved drugs currently available on the market. It is an important and well-accepted functional gene found almost exclusively in mature, adult hepatocytes.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the key functional marker that we have used to optimize our </w:t>
      </w:r>
      <w:r>
        <w:rPr>
          <w:rFonts w:ascii="Arial" w:cs="Arial" w:eastAsia="Arial" w:hAnsi="Arial"/>
          <w:sz w:val="12"/>
          <w:szCs w:val="12"/>
          <w:i w:val="1"/>
          <w:iCs w:val="1"/>
          <w:color w:val="auto"/>
        </w:rPr>
        <w:t>VSTA-hep</w:t>
      </w:r>
      <w:r>
        <w:rPr>
          <w:rFonts w:ascii="Arial" w:cs="Arial" w:eastAsia="Arial" w:hAnsi="Arial"/>
          <w:sz w:val="12"/>
          <w:szCs w:val="12"/>
          <w:color w:val="auto"/>
        </w:rPr>
        <w:t xml:space="preserve"> differentiation cultures for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believe our optimized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assay system enables us to generate more mature hPSC-derived hepatocytes than are currently available from others in the field and that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system provides the unique ability to specifically select for mature </w:t>
      </w:r>
      <w:r>
        <w:rPr>
          <w:rFonts w:ascii="Arial" w:cs="Arial" w:eastAsia="Arial" w:hAnsi="Arial"/>
          <w:sz w:val="12"/>
          <w:szCs w:val="12"/>
          <w:i w:val="1"/>
          <w:iCs w:val="1"/>
          <w:color w:val="auto"/>
        </w:rPr>
        <w:t>CYP3A4</w:t>
      </w:r>
      <w:r>
        <w:rPr>
          <w:rFonts w:ascii="Arial" w:cs="Arial" w:eastAsia="Arial" w:hAnsi="Arial"/>
          <w:sz w:val="12"/>
          <w:szCs w:val="12"/>
          <w:color w:val="auto"/>
        </w:rPr>
        <w:t>-expressing human hepatocytes.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We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using hPSC differentiation protocols adapted from the laboratory of our co-founder, Dr. Gordon Keller, and our proprietary hPSC cell line, 3A4BLA. This 3A4BLA cell line is a hESC line that contains a humanized BLA “reporter” that is placed in the </w:t>
      </w:r>
      <w:r>
        <w:rPr>
          <w:rFonts w:ascii="Arial" w:cs="Arial" w:eastAsia="Arial" w:hAnsi="Arial"/>
          <w:sz w:val="11"/>
          <w:szCs w:val="11"/>
          <w:i w:val="1"/>
          <w:iCs w:val="1"/>
          <w:color w:val="auto"/>
        </w:rPr>
        <w:t>CYP3A4</w:t>
      </w:r>
      <w:r>
        <w:rPr>
          <w:rFonts w:ascii="Arial" w:cs="Arial" w:eastAsia="Arial" w:hAnsi="Arial"/>
          <w:sz w:val="11"/>
          <w:szCs w:val="11"/>
          <w:color w:val="auto"/>
        </w:rPr>
        <w:t xml:space="preserve"> gene in a manner resulting in the expression of BLA only in cells that also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This allows us to visualize by fluorescence cells that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based on expression of the BLA reporter. By producing a cell line capable of tracking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we have been able to optimize our hPSC differentiation protocols to increase expression of mature hepatocyte markers and drug metabolizing enzymes and to enrich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-expressing cells by cell sorting. However, even in the absence of cell sorting,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 populations contain greater than 80% albumin-positive cells and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mRNA expression reaching levels nearly 60-fold higher than side-by-side 38-week human fetal liver controls.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secrete urea and albumin, functional markers of hepatocytes, at levels that exceed commercially-available primary (cadaver) hepatocytes. They also store both glycogen and lipids, which are additional characteristics required of functional, mature adult hepatocytes. Importantly, expression of fetal liver markers decreases over the time course of maturation of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This transition to a more mature state with decreased fetal gene expression is expected and essential for the production of adult functional hepatocytes, but it has rarely been reported by others in publications describing their hPSC-derived hepatocytes. With the addition of cell sorting,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can be highly enriched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-BLA-positive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message in the positive cell population reaching greater than 30% that of an adult human liver pool control. To our knowledge, this level of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exceeds levels reported by others in the literature.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64" w:name="page65"/>
    <w:bookmarkEnd w:id="6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The most important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relate to “Phase I” and “Phase II” drug metabolism, which are functional characteristics of mature adult hepatocytes. We have validated these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by demonstrating its ability to metabolize known substrates, such as testosterone, and its ability to respond properly to known inducers of Phase I-mediated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metabolism, such as rifampicin. Moreover,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demonstrate Phase II-mediated testosterone metabolism levels that exceed commercially-available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to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assay system and to apply specific functional screening, such as albumin and urea secretion assays.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We believe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with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offers the capability of producing a genetically-identical, renewable, and reproducible hepatotoxicity assay system for drug rescue and development that provides advantages over in vitro assays using commercially-available primary hepatocytes. In addition, it offers the ability to produce hepatocyte assays that contain common genetic variations in drug metabolizing genes that are expressed in subsets of individuals, and therefore drug development. We have demonstrated that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even in the absence of cell sorting, secrete adult hepatocyte levels of albumin and urea and contain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historically difficult to achieve in hPSC differentiation cultures. The proprietary 3A4BLA cell line component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allows us the unique opportunity to enrich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resulting in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reaching greater than 30% of an adult human liver pool, and to the best of our knowledge, a level higher than described in current literature. Most importantly, for drug rescue and development purposes,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metabolize known substrates and respond to known inducers in a manner expected only of mature adult hepatocytes, paving the way for our final validation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system as a novel, clinically-relevant hepatotoxicity assay system that can improve clinical predictivity, decrease the cost of drug development, reduce reliance on live animal studies, and improve drug safety.</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successfully completed Phase I development of AV-101, also known as “L-4-chlorokynurenine” or “4-Cl-KYN”. AV-101 is a prodrug candidate for the treatment of neuropathic pain, epilepsy and depression. Our AV-101 IND application on file at the FDA covers our Phase I clinical development for neuropathic pain. However, we believe the safety studies done in Phase I development of AV-101 will support development of AV-101 for other indications, including epilepsy, depression and potentially other neurological diseases, such as Parkinson’s disease.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NIH has awarded us $8.8 million of grant funding for our preclinical and Phase 1 clinical development of AV-101. AV-101 is currently available for out-license to a strategic corporate partner. During 2014, we plan to seek strategic partnering arrangements for further clinical development and commercialization of AV-101 for neuropathic pain, epilepsy, depression and Parkinson’s disease.</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AV-101 is an orally-available, non-sedating prodrug candidate that is converted in the brain into an active metabolite, 7-chlorokynurenic acid (</w:t>
      </w:r>
      <w:r>
        <w:rPr>
          <w:rFonts w:ascii="Arial" w:cs="Arial" w:eastAsia="Arial" w:hAnsi="Arial"/>
          <w:sz w:val="11"/>
          <w:szCs w:val="11"/>
          <w:i w:val="1"/>
          <w:iCs w:val="1"/>
          <w:color w:val="auto"/>
        </w:rPr>
        <w:t>7-Cl-KYNA</w:t>
      </w:r>
      <w:r>
        <w:rPr>
          <w:rFonts w:ascii="Arial" w:cs="Arial" w:eastAsia="Arial" w:hAnsi="Arial"/>
          <w:sz w:val="11"/>
          <w:szCs w:val="11"/>
          <w:color w:val="auto"/>
        </w:rPr>
        <w:t>), which regulates the N-methyl-D-aspartate (</w:t>
      </w:r>
      <w:r>
        <w:rPr>
          <w:rFonts w:ascii="Arial" w:cs="Arial" w:eastAsia="Arial" w:hAnsi="Arial"/>
          <w:sz w:val="11"/>
          <w:szCs w:val="11"/>
          <w:i w:val="1"/>
          <w:iCs w:val="1"/>
          <w:color w:val="auto"/>
        </w:rPr>
        <w:t>NMDA</w:t>
      </w:r>
      <w:r>
        <w:rPr>
          <w:rFonts w:ascii="Arial" w:cs="Arial" w:eastAsia="Arial" w:hAnsi="Arial"/>
          <w:sz w:val="11"/>
          <w:szCs w:val="11"/>
          <w:color w:val="auto"/>
        </w:rPr>
        <w:t>) receptors. 7-Cl-KYNA is a synthetic analogue of kynurenic acid, a naturally occurring neural regulatory compound, and is one of the most potent and selective blockers of the regulatory GlyB-site of the NMDA receptor. In preclinical studies, AV-101 has very good oral bioavailability, is rapidly and efficiently transported across the blood-brain barrier, and is converted into 7-Cl-KYNA in the brain and spinal cord, preferentially, at the site of seizures and potential neural damage.</w:t>
      </w:r>
    </w:p>
    <w:p>
      <w:pPr>
        <w:spacing w:after="0" w:line="123"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The effect of AV-101 on chronic neuropathic pain due to inflammation and nerve damage was assessed in rats by using the Chung nerve ligation model. AV-101 effects were compared to either saline and MK-801, or gabapentin (</w:t>
      </w:r>
      <w:r>
        <w:rPr>
          <w:rFonts w:ascii="Arial" w:cs="Arial" w:eastAsia="Arial" w:hAnsi="Arial"/>
          <w:sz w:val="10"/>
          <w:szCs w:val="10"/>
          <w:i w:val="1"/>
          <w:iCs w:val="1"/>
          <w:color w:val="auto"/>
        </w:rPr>
        <w:t>NeurontinTM</w:t>
      </w:r>
      <w:r>
        <w:rPr>
          <w:rFonts w:ascii="Arial" w:cs="Arial" w:eastAsia="Arial" w:hAnsi="Arial"/>
          <w:sz w:val="10"/>
          <w:szCs w:val="10"/>
          <w:color w:val="auto"/>
        </w:rPr>
        <w:t>) as positive controls. Similar to the therapeutic effects seen in the acute formalin and thermal pain models, AV-101 had a positive effect on chronic neuropathic pain in the Chung model that were greater than two (2) standard deviations of the control, with no adverse behavioral observations. As expected, MK-801 and gabapentin also demonstrated reduced pain readouts in the Chung model. The effects observed by AV-101 in both the acute and chronic neuropathic pain model systems was dose dependent, and was not associated with any side effects at the range of doses administered. Preclinical AV-101 data demonstrated the potential clinical utility of AV-101 as an analgesic.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5" w:name="page66"/>
    <w:bookmarkEnd w:id="6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Transactions and Relationships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Strategic collaborations are a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41" w:lineRule="exact"/>
        <w:rPr>
          <w:sz w:val="20"/>
          <w:szCs w:val="20"/>
          <w:color w:val="auto"/>
        </w:rPr>
      </w:pPr>
    </w:p>
    <w:p>
      <w:pPr>
        <w:ind w:left="440" w:hanging="259"/>
        <w:spacing w:after="0"/>
        <w:tabs>
          <w:tab w:leader="none" w:pos="4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academic research institutions, such as the 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and Duke University, for hPSC technology research and development;</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contract medicinal chemistry companies, such as Synterys, Inc., to analyze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design, produce and analyze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contract clinical development and regulatory organizations (</w:t>
      </w:r>
      <w:r>
        <w:rPr>
          <w:rFonts w:ascii="Arial" w:cs="Arial" w:eastAsia="Arial" w:hAnsi="Arial"/>
          <w:sz w:val="12"/>
          <w:szCs w:val="12"/>
          <w:i w:val="1"/>
          <w:iCs w:val="1"/>
          <w:color w:val="auto"/>
        </w:rPr>
        <w:t>CROs</w:t>
      </w:r>
      <w:r>
        <w:rPr>
          <w:rFonts w:ascii="Arial" w:cs="Arial" w:eastAsia="Arial" w:hAnsi="Arial"/>
          <w:sz w:val="12"/>
          <w:szCs w:val="12"/>
          <w:color w:val="auto"/>
        </w:rPr>
        <w:t>), such as Cato Research, Ltd., for regulatory expertise and clinical development support.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McEwen Centre for Regenerative Medicine, University Health Network</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UHN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McEwen Centre for Regenerative Medicine (</w:t>
      </w:r>
      <w:r>
        <w:rPr>
          <w:rFonts w:ascii="Arial" w:cs="Arial" w:eastAsia="Arial" w:hAnsi="Arial"/>
          <w:sz w:val="12"/>
          <w:szCs w:val="12"/>
          <w:i w:val="1"/>
          <w:iCs w:val="1"/>
          <w:color w:val="auto"/>
        </w:rPr>
        <w:t>McEwen Centre</w:t>
      </w:r>
      <w:r>
        <w:rPr>
          <w:rFonts w:ascii="Arial" w:cs="Arial" w:eastAsia="Arial" w:hAnsi="Arial"/>
          <w:sz w:val="12"/>
          <w:szCs w:val="12"/>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Research Consortium</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joined the Cardiac Safety Research Consortium (</w:t>
      </w:r>
      <w:r>
        <w:rPr>
          <w:rFonts w:ascii="Arial" w:cs="Arial" w:eastAsia="Arial" w:hAnsi="Arial"/>
          <w:sz w:val="12"/>
          <w:szCs w:val="12"/>
          <w:i w:val="1"/>
          <w:iCs w:val="1"/>
          <w:color w:val="auto"/>
        </w:rPr>
        <w:t>CERC</w:t>
      </w:r>
      <w:r>
        <w:rPr>
          <w:rFonts w:ascii="Arial" w:cs="Arial" w:eastAsia="Arial" w:hAnsi="Arial"/>
          <w:sz w:val="12"/>
          <w:szCs w:val="12"/>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6" w:name="page67"/>
    <w:bookmarkEnd w:id="6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Technical Committee of the Health and Environmental Sciences Institute – FDA’s CIPA Initiative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Centre for Commercialization of Regenerative Medicine</w:t>
      </w:r>
    </w:p>
    <w:p>
      <w:pPr>
        <w:spacing w:after="0" w:line="168"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The Toronto-based Centre for Commercialization of Regenerative Medicine (</w:t>
      </w:r>
      <w:r>
        <w:rPr>
          <w:rFonts w:ascii="Arial" w:cs="Arial" w:eastAsia="Arial" w:hAnsi="Arial"/>
          <w:sz w:val="10"/>
          <w:szCs w:val="10"/>
          <w:i w:val="1"/>
          <w:iCs w:val="1"/>
          <w:color w:val="auto"/>
        </w:rPr>
        <w:t>CCRM</w:t>
      </w:r>
      <w:r>
        <w:rPr>
          <w:rFonts w:ascii="Arial" w:cs="Arial" w:eastAsia="Arial" w:hAnsi="Arial"/>
          <w:sz w:val="10"/>
          <w:szCs w:val="10"/>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December 2012, we formalized our membership in the CCRM’s Industry Consortium. Other members of CCRM’s Industry Consortium include such leading global companies as Pfizer, GE Healthcare and Lonza.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a solid foundation and unique opportunities for expanding the commercial applications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Duke University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November 2011, we entered into a strategic collaboration with Duke University, one of the premier academic research institutions in the U.S., aimed at combining our complementary expertise in cardiac stem cell technology, electrophysiology and tissue engineering. The initial goal of the collaboration is to explore the potential development of novel, engineered, stem cell-derived cardiac tissues to expand the scope of our drug rescue capabilities focused on heart toxicity. We expect that this collaboration, employing our human stem cell-derived heart cells combined with Duke’s technology relating to cardiac electrophysiology and cardiac tissue engineering, will permit us to use micro-patterned cardiac tissue to expand the approaches available to us in our drug rescue programs to quantify drug effects on functional human cardiac tissue.</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In May 2013, we announced that our scientists together with researchers at Duke University combined our human stem cell-derived heart cells with Duke’s innovative tissue engineering and cardiac electrophysiology technologies to grow what is being called a “heart patch,” which mimics the natural functions of native human heart tissue. We believe this is the closest man-made approximation of natural human heart muscle to date. This heart patch technology is being developed to aid in a better understanding of the biology critical to cardiac tissue engineering, for applications in regenerative cell therapy for heart disease, and as predictive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assays for drug rescue and development. We believe the developed contractile forces and other functional properties of these cardiac tissues are remarkable and are significantly higher than any previous reports. The achievement of successfully growing a human heart muscle from cardiomyocytes derived from human pluripotent stem cells expands the scope of our drug rescue capabilities and reflects the advanced nature and potential of our collaboration with Duke University.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7" w:name="page68"/>
    <w:bookmarkEnd w:id="6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Achieving this capability represents a potentially significant breakthrough in heart cell-based therapies and in testing new medicines for potential heart toxicity and potential therapeutic benefits impacting heart disease.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are among several key development points from the study:</w:t>
      </w:r>
    </w:p>
    <w:p>
      <w:pPr>
        <w:spacing w:after="0" w:line="168" w:lineRule="exact"/>
        <w:rPr>
          <w:sz w:val="20"/>
          <w:szCs w:val="20"/>
          <w:color w:val="auto"/>
        </w:rPr>
      </w:pPr>
    </w:p>
    <w:p>
      <w:pPr>
        <w:ind w:left="588" w:hanging="588"/>
        <w:spacing w:after="0"/>
        <w:tabs>
          <w:tab w:leader="none" w:pos="58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optimized 3D environment of a cardiac tissue patch yields advanced levels of structural and functional maturation of human cardiomyocytes that produce expected responses to drugs;</w:t>
      </w:r>
    </w:p>
    <w:p>
      <w:pPr>
        <w:spacing w:after="0" w:line="168" w:lineRule="exact"/>
        <w:rPr>
          <w:rFonts w:ascii="Arial" w:cs="Arial" w:eastAsia="Arial" w:hAnsi="Arial"/>
          <w:sz w:val="12"/>
          <w:szCs w:val="12"/>
          <w:color w:val="auto"/>
        </w:rPr>
      </w:pPr>
    </w:p>
    <w:p>
      <w:pPr>
        <w:ind w:left="568" w:hanging="568"/>
        <w:spacing w:after="0"/>
        <w:tabs>
          <w:tab w:leader="none" w:pos="568" w:val="left"/>
        </w:tabs>
        <w:numPr>
          <w:ilvl w:val="0"/>
          <w:numId w:val="33"/>
        </w:numPr>
        <w:rPr>
          <w:rFonts w:ascii="Arial" w:cs="Arial" w:eastAsia="Arial" w:hAnsi="Arial"/>
          <w:sz w:val="12"/>
          <w:szCs w:val="12"/>
          <w:color w:val="auto"/>
        </w:rPr>
      </w:pPr>
      <w:r>
        <w:rPr>
          <w:rFonts w:ascii="Arial" w:cs="Arial" w:eastAsia="Arial" w:hAnsi="Arial"/>
          <w:sz w:val="12"/>
          <w:szCs w:val="12"/>
          <w:color w:val="auto"/>
        </w:rPr>
        <w:t>Human cardiomyocyte maturation in an optimized 3D patch environment is enhanced relative to that found in industry standard 2D cultures;</w:t>
      </w:r>
    </w:p>
    <w:p>
      <w:pPr>
        <w:spacing w:after="0" w:line="168" w:lineRule="exact"/>
        <w:rPr>
          <w:rFonts w:ascii="Arial" w:cs="Arial" w:eastAsia="Arial" w:hAnsi="Arial"/>
          <w:sz w:val="12"/>
          <w:szCs w:val="12"/>
          <w:color w:val="auto"/>
        </w:rPr>
      </w:pPr>
    </w:p>
    <w:p>
      <w:pPr>
        <w:ind w:left="588" w:hanging="588"/>
        <w:spacing w:after="0"/>
        <w:tabs>
          <w:tab w:leader="none" w:pos="588" w:val="left"/>
        </w:tabs>
        <w:numPr>
          <w:ilvl w:val="0"/>
          <w:numId w:val="33"/>
        </w:numPr>
        <w:rPr>
          <w:rFonts w:ascii="Arial" w:cs="Arial" w:eastAsia="Arial" w:hAnsi="Arial"/>
          <w:sz w:val="12"/>
          <w:szCs w:val="12"/>
          <w:color w:val="auto"/>
        </w:rPr>
      </w:pPr>
      <w:r>
        <w:rPr>
          <w:rFonts w:ascii="Arial" w:cs="Arial" w:eastAsia="Arial" w:hAnsi="Arial"/>
          <w:sz w:val="12"/>
          <w:szCs w:val="12"/>
          <w:color w:val="auto"/>
        </w:rPr>
        <w:t>No genetic modifications were used to produce, purify, or mature cardiomyocytes, suggesting potential for future therapeutic applications;</w:t>
      </w:r>
    </w:p>
    <w:p>
      <w:pPr>
        <w:spacing w:after="0" w:line="168" w:lineRule="exact"/>
        <w:rPr>
          <w:rFonts w:ascii="Arial" w:cs="Arial" w:eastAsia="Arial" w:hAnsi="Arial"/>
          <w:sz w:val="12"/>
          <w:szCs w:val="12"/>
          <w:color w:val="auto"/>
        </w:rPr>
      </w:pPr>
    </w:p>
    <w:p>
      <w:pPr>
        <w:ind w:left="568" w:hanging="568"/>
        <w:spacing w:after="0"/>
        <w:tabs>
          <w:tab w:leader="none" w:pos="568" w:val="left"/>
        </w:tabs>
        <w:numPr>
          <w:ilvl w:val="0"/>
          <w:numId w:val="33"/>
        </w:numPr>
        <w:rPr>
          <w:rFonts w:ascii="Arial" w:cs="Arial" w:eastAsia="Arial" w:hAnsi="Arial"/>
          <w:sz w:val="12"/>
          <w:szCs w:val="12"/>
          <w:color w:val="auto"/>
        </w:rPr>
      </w:pPr>
      <w:r>
        <w:rPr>
          <w:rFonts w:ascii="Arial" w:cs="Arial" w:eastAsia="Arial" w:hAnsi="Arial"/>
          <w:sz w:val="12"/>
          <w:szCs w:val="12"/>
          <w:color w:val="auto"/>
        </w:rPr>
        <w:t>Cardiac tissue patches generated using VistaGen’s cardiomyocytes exhibited 2.2-180 fold higher contractile force generation compared to previous studies;</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Based on a force per cardiomyocyte metric, cardiac tissue engineering methodology that used VistaGen’s cardiomyocytes exhibited 4-700-fold higher efficiency than previously reported; and</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Cardiac tissue patches generated using VistaGen’s cardiomyocytes exhibited velocities of electrical signal propagation 5-fold higher compared to previous reports in human engineered cardiac tissues.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Cato Research and Cato BioVentures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Cato Research</w:t>
      </w:r>
    </w:p>
    <w:p>
      <w:pPr>
        <w:spacing w:after="0" w:line="168" w:lineRule="exact"/>
        <w:rPr>
          <w:sz w:val="20"/>
          <w:szCs w:val="20"/>
          <w:color w:val="auto"/>
        </w:rPr>
      </w:pPr>
    </w:p>
    <w:p>
      <w:pPr>
        <w:jc w:val="both"/>
        <w:ind w:left="8"/>
        <w:spacing w:after="0" w:line="313" w:lineRule="auto"/>
        <w:rPr>
          <w:sz w:val="20"/>
          <w:szCs w:val="20"/>
          <w:color w:val="auto"/>
        </w:rPr>
      </w:pPr>
      <w:r>
        <w:rPr>
          <w:rFonts w:ascii="Arial" w:cs="Arial" w:eastAsia="Arial" w:hAnsi="Arial"/>
          <w:sz w:val="10"/>
          <w:szCs w:val="10"/>
          <w:color w:val="auto"/>
        </w:rPr>
        <w:t>Cato Research is a contract research and development organization (</w:t>
      </w:r>
      <w:r>
        <w:rPr>
          <w:rFonts w:ascii="Arial" w:cs="Arial" w:eastAsia="Arial" w:hAnsi="Arial"/>
          <w:sz w:val="10"/>
          <w:szCs w:val="10"/>
          <w:i w:val="1"/>
          <w:iCs w:val="1"/>
          <w:color w:val="auto"/>
        </w:rPr>
        <w:t>CRO</w:t>
      </w:r>
      <w:r>
        <w:rPr>
          <w:rFonts w:ascii="Arial" w:cs="Arial" w:eastAsia="Arial" w:hAnsi="Arial"/>
          <w:sz w:val="10"/>
          <w:szCs w:val="10"/>
          <w:color w:val="auto"/>
        </w:rPr>
        <w:t xml:space="preserve">), with international resources dedicated to helping biotechnology and pharmaceutical companies navigate the regulatory approval process in order to bring new biologics, drugs and medical devices to markets throughout the world.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Should we elect to advance development of </w:t>
      </w:r>
      <w:r>
        <w:rPr>
          <w:rFonts w:ascii="Arial" w:cs="Arial" w:eastAsia="Arial" w:hAnsi="Arial"/>
          <w:sz w:val="10"/>
          <w:szCs w:val="10"/>
          <w:i w:val="1"/>
          <w:iCs w:val="1"/>
          <w:color w:val="auto"/>
        </w:rPr>
        <w:t>Drug Rescue Variants</w:t>
      </w:r>
      <w:r>
        <w:rPr>
          <w:rFonts w:ascii="Arial" w:cs="Arial" w:eastAsia="Arial" w:hAnsi="Arial"/>
          <w:sz w:val="10"/>
          <w:szCs w:val="10"/>
          <w:color w:val="auto"/>
        </w:rPr>
        <w:t xml:space="preserve"> internally rather than license or sell them at an early-stage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Cato BioVentures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Cato Holding Company, doing business as Cato BioVentures (</w:t>
      </w:r>
      <w:r>
        <w:rPr>
          <w:rFonts w:ascii="Arial" w:cs="Arial" w:eastAsia="Arial" w:hAnsi="Arial"/>
          <w:sz w:val="12"/>
          <w:szCs w:val="12"/>
          <w:i w:val="1"/>
          <w:iCs w:val="1"/>
          <w:color w:val="auto"/>
        </w:rPr>
        <w:t>Cato BioVentures</w:t>
      </w:r>
      <w:r>
        <w:rPr>
          <w:rFonts w:ascii="Arial" w:cs="Arial" w:eastAsia="Arial" w:hAnsi="Arial"/>
          <w:sz w:val="12"/>
          <w:szCs w:val="12"/>
          <w:color w:val="auto"/>
        </w:rPr>
        <w:t xml:space="preserve">), is the venture capital affiliate of Cato Research. Through strategic CRO service agreements with Cato Research, Cato BioVentures invests in therapeutics and medical devices, as well as platform technologies such as our stem cell technology-based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8" w:name="page69"/>
    <w:bookmarkEnd w:id="6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Our Relationship with Cato Research and Cato BioVentures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Cato Research is our primary CRO for development of AV-101. Cato BioVentures is among our largest, long-term institutional investors.</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As a result of the access Cato Research has to potential </w:t>
      </w:r>
      <w:r>
        <w:rPr>
          <w:rFonts w:ascii="Arial" w:cs="Arial" w:eastAsia="Arial" w:hAnsi="Arial"/>
          <w:sz w:val="11"/>
          <w:szCs w:val="11"/>
          <w:i w:val="1"/>
          <w:iCs w:val="1"/>
          <w:color w:val="auto"/>
        </w:rPr>
        <w:t>Drug Rescue Candida</w:t>
      </w:r>
      <w:r>
        <w:rPr>
          <w:rFonts w:ascii="Arial" w:cs="Arial" w:eastAsia="Arial" w:hAnsi="Arial"/>
          <w:sz w:val="11"/>
          <w:szCs w:val="11"/>
          <w:color w:val="auto"/>
        </w:rPr>
        <w:t>t</w:t>
      </w:r>
      <w:r>
        <w:rPr>
          <w:rFonts w:ascii="Arial" w:cs="Arial" w:eastAsia="Arial" w:hAnsi="Arial"/>
          <w:sz w:val="11"/>
          <w:szCs w:val="11"/>
          <w:i w:val="1"/>
          <w:iCs w:val="1"/>
          <w:color w:val="auto"/>
        </w:rPr>
        <w:t>es</w:t>
      </w:r>
      <w:r>
        <w:rPr>
          <w:rFonts w:ascii="Arial" w:cs="Arial" w:eastAsia="Arial" w:hAnsi="Arial"/>
          <w:sz w:val="11"/>
          <w:szCs w:val="11"/>
          <w:color w:val="auto"/>
        </w:rPr>
        <w:t xml:space="preserve"> from its biotechnology and pharmaceutical industry network, as well as Cato BioVentures’ strategic long term equity interest in VistaGen,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internally rather than out-license them to strategic partners.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United States National Institutes of Health</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Since our inception in 1998,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xml:space="preserve">) has awarded us $11.3 million in non-dilutive research and development grants, including $2.3 million to support research and development of our </w:t>
      </w:r>
      <w:r>
        <w:rPr>
          <w:rFonts w:ascii="Arial" w:cs="Arial" w:eastAsia="Arial" w:hAnsi="Arial"/>
          <w:sz w:val="12"/>
          <w:szCs w:val="12"/>
          <w:i w:val="1"/>
          <w:iCs w:val="1"/>
          <w:color w:val="auto"/>
        </w:rPr>
        <w:t>Human Clinical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Trials in a Test Tube </w:t>
      </w:r>
      <w:r>
        <w:rPr>
          <w:rFonts w:ascii="Arial" w:cs="Arial" w:eastAsia="Arial" w:hAnsi="Arial"/>
          <w:sz w:val="12"/>
          <w:szCs w:val="12"/>
          <w:color w:val="auto"/>
        </w:rPr>
        <w:t>platform and $8.8 million for nonclinical and Phase 1 clinical development of AV-101, our small molecule drug candidate which has successfully completed Phase 1 clinical development in the U.S. for neuropathic</w:t>
      </w:r>
      <w:r>
        <w:rPr>
          <w:rFonts w:ascii="Arial" w:cs="Arial" w:eastAsia="Arial" w:hAnsi="Arial"/>
          <w:sz w:val="12"/>
          <w:szCs w:val="12"/>
          <w:i w:val="1"/>
          <w:iCs w:val="1"/>
          <w:color w:val="auto"/>
        </w:rPr>
        <w:t xml:space="preserve"> </w:t>
      </w:r>
      <w:r>
        <w:rPr>
          <w:rFonts w:ascii="Arial" w:cs="Arial" w:eastAsia="Arial" w:hAnsi="Arial"/>
          <w:sz w:val="12"/>
          <w:szCs w:val="12"/>
          <w:color w:val="auto"/>
        </w:rPr>
        <w:t>pain and other potential diseases and conditions, including epilepsy and depression.</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California Institute for Regenerative Medicine</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The California Institute for Regenerative Medicine (</w:t>
      </w:r>
      <w:r>
        <w:rPr>
          <w:rFonts w:ascii="Arial" w:cs="Arial" w:eastAsia="Arial" w:hAnsi="Arial"/>
          <w:sz w:val="12"/>
          <w:szCs w:val="12"/>
          <w:i w:val="1"/>
          <w:iCs w:val="1"/>
          <w:color w:val="auto"/>
        </w:rPr>
        <w:t>CIRM</w:t>
      </w:r>
      <w:r>
        <w:rPr>
          <w:rFonts w:ascii="Arial" w:cs="Arial" w:eastAsia="Arial" w:hAnsi="Arial"/>
          <w:sz w:val="12"/>
          <w:szCs w:val="12"/>
          <w:color w:val="auto"/>
        </w:rPr>
        <w:t>) funds stem cell research at academic research institutions and companies throughout California. CIRM was established in 2004 with the passage of Stem Cell Initiative (</w:t>
      </w:r>
      <w:r>
        <w:rPr>
          <w:rFonts w:ascii="Arial" w:cs="Arial" w:eastAsia="Arial" w:hAnsi="Arial"/>
          <w:sz w:val="12"/>
          <w:szCs w:val="12"/>
          <w:i w:val="1"/>
          <w:iCs w:val="1"/>
          <w:color w:val="auto"/>
        </w:rPr>
        <w:t>Proposition 71</w:t>
      </w:r>
      <w:r>
        <w:rPr>
          <w:rFonts w:ascii="Arial" w:cs="Arial" w:eastAsia="Arial" w:hAnsi="Arial"/>
          <w:sz w:val="12"/>
          <w:szCs w:val="12"/>
          <w:color w:val="auto"/>
        </w:rPr>
        <w:t>) by California voters. As a stem cell company based in California since 1998, we are eligible to apply for and receive grant funding under the Stem Cell Initiative. To date we have been awarded approximately $1.0 million of non-dilutive grant funding from CIRM for stem cell research and development related to stem cell-derived human liver cells. This funded research and development focused on the improvement of techniques and the production of engineered human ES Cell lines used to develop mature functional human liver cells as a biological system for testing drugs.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Celsis In Vitro Technologies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In March 2013, we entered into a strategic collaboration with Celsis In Vitro Technologies (</w:t>
      </w:r>
      <w:r>
        <w:rPr>
          <w:rFonts w:ascii="Arial" w:cs="Arial" w:eastAsia="Arial" w:hAnsi="Arial"/>
          <w:sz w:val="11"/>
          <w:szCs w:val="11"/>
          <w:i w:val="1"/>
          <w:iCs w:val="1"/>
          <w:color w:val="auto"/>
        </w:rPr>
        <w:t>Celsis IVT</w:t>
      </w:r>
      <w:r>
        <w:rPr>
          <w:rFonts w:ascii="Arial" w:cs="Arial" w:eastAsia="Arial" w:hAnsi="Arial"/>
          <w:sz w:val="11"/>
          <w:szCs w:val="11"/>
          <w:color w:val="auto"/>
        </w:rPr>
        <w:t xml:space="preserve">), a premier global provider of specialized in vitro products for drug metabolism, drug-drug interaction and toxicity screening, focused on characterizing and functionally benchmarking our human liver cell platform,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r>
        <w:rPr>
          <w:rFonts w:ascii="Arial" w:cs="Arial" w:eastAsia="Arial" w:hAnsi="Arial"/>
          <w:sz w:val="11"/>
          <w:szCs w:val="11"/>
          <w:i w:val="1"/>
          <w:iCs w:val="1"/>
          <w:color w:val="auto"/>
        </w:rPr>
        <w:t>™</w:t>
      </w:r>
      <w:r>
        <w:rPr>
          <w:rFonts w:ascii="Arial" w:cs="Arial" w:eastAsia="Arial" w:hAnsi="Arial"/>
          <w:sz w:val="11"/>
          <w:szCs w:val="11"/>
          <w:color w:val="auto"/>
        </w:rPr>
        <w:t xml:space="preserve"> with Celsis IVT products for studying and predicting drug metabolism. We intend to utilize Celsis IVT’s experience and expertise in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metabolism to help validate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We anticipate that Celsis IVT will not only validate our human liver cells in traditional pharmaceutical metabolism assays, but also will determine genetic variations in our human pluripotent stem cell lines that are important to drug development. In addition, we plan to utilize Celsis IVT’s large inventory of cryopreserved primary human liver cells, currently used throughout the pharmaceutical industry for traditional and high-throughput liver toxicology and other bioassays, as reference controls with which to monitor and benchmark the functional properties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Collaborating with Celsis IVT scientists, we are focused on the following four key objectives:</w:t>
      </w:r>
    </w:p>
    <w:p>
      <w:pPr>
        <w:spacing w:after="0" w:line="168" w:lineRule="exact"/>
        <w:rPr>
          <w:sz w:val="20"/>
          <w:szCs w:val="20"/>
          <w:color w:val="auto"/>
        </w:rPr>
      </w:pPr>
    </w:p>
    <w:p>
      <w:pPr>
        <w:ind w:left="428" w:hanging="428"/>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Optimize techniques to handle and maintain primary human cryopreserved primary liver cells as reference controls for various drug development assays;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Develop a stable supply of characterized and validated human cryopreserved primary liver cells to serve as internal controls and provide benchmark comparisons for the characterization of our pluripotent stem cell-derived liver cells;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Characterize our human pluripotent stem cell-derived liver cells using many of the same industry-standardized assays used to characterize primary human liver cells;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Produce a joint publication of the characterization of our pluripotent stem cell-derived human liver cells.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9" w:name="page70"/>
    <w:bookmarkEnd w:id="6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an industry leader in the development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primary hepatocyte technology, we believe Celsis IVT has extensive resources to aid us in the benchmarking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to industry standards. We anticipate this collaboration will lead to the further validation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predicting liver toxicity and drug metabolism issues before costly human clinical trials.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Synterys, Inc.</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entered into a strategic medicinal chemistry collaboration agreement with Synterys, Inc. (</w:t>
      </w:r>
      <w:r>
        <w:rPr>
          <w:rFonts w:ascii="Arial" w:cs="Arial" w:eastAsia="Arial" w:hAnsi="Arial"/>
          <w:sz w:val="12"/>
          <w:szCs w:val="12"/>
          <w:i w:val="1"/>
          <w:iCs w:val="1"/>
          <w:color w:val="auto"/>
        </w:rPr>
        <w:t>Synterys</w:t>
      </w:r>
      <w:r>
        <w:rPr>
          <w:rFonts w:ascii="Arial" w:cs="Arial" w:eastAsia="Arial" w:hAnsi="Arial"/>
          <w:sz w:val="12"/>
          <w:szCs w:val="12"/>
          <w:color w:val="auto"/>
        </w:rPr>
        <w:t xml:space="preserve">), a leading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Rights Underlying our Human Clinical Trials in a Test Tube Platform</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established our intellectual property rights to the technology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through a combination of exclusive and non-exclusive licenses, patents, and trade secret laws. To our knowledge, we are the first stem cell company focused primarily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spacing w:after="0" w:line="141" w:lineRule="exact"/>
        <w:rPr>
          <w:sz w:val="20"/>
          <w:szCs w:val="20"/>
          <w:color w:val="auto"/>
        </w:rPr>
      </w:pPr>
    </w:p>
    <w:p>
      <w:pPr>
        <w:ind w:left="600" w:hanging="338"/>
        <w:spacing w:after="0"/>
        <w:tabs>
          <w:tab w:leader="none" w:pos="6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combination of growth factors (molecules that stimulate the growth of cells);</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precise selection of immature cell populations for further growth and development.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By influencing key branch points in the cellular differentiation process, our pluripotent stem cell technologies can produce fully differentiated, non-transformed, highly functional human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an efficient, highly pure and reproducible process.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of the date of this prospectus, we either own or license 43 issued U.S. patents and 12 U.S. patent applications and certain foreign counterparts relating to the stem cell technologies that underlie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Our material rights and obligations with respect to these patents and patent applications are summarized below:</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National Jewish Health (NJH) Exclusive License</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exclusive licenses to seven issued U.S. patents held by NJH, certain of which are not essential to our current operations and will expire in November 2014. No foreign counterparts to these U.S. patents and patent application have been obtained. These U.S. patents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0" w:name="page71"/>
    <w:bookmarkEnd w:id="7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This license agreement requires us to pay NJH 1% of our total revenues up to $30 million in each calendar year and 0.5% of all revenues for amounts greater than $30 million, with minimum annual payments of $25,000. Additionally, this license agreement requires us to make certain royalty payments on sales of products based on NJH’s patents or the sublicensing of such technology. However, the license agreement also includes anti-stacking provisions which reduce our payment obligations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Icahn School of Medicine at Mount Sinai School (MSSM) Exclusive License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an exclusive, field restricted, license to two U.S. patents and two U.S. patent applications, and their foreign counterparts filed by MSSM. Foreign counterparts have been filed in Australia (two), Canada (two), Europe (two), Japan (two), Hong Kong and Singapore. Two of the U.S. applications have been issued and the foreign counterparts in Australia and Singapore have been issued, while the two counterparts in Europe are pending. These patent applications have claims covering composition of matter relating to specific populations of cells and precursors, methods to produce such cells, and applications of such cells, including:</w:t>
      </w:r>
    </w:p>
    <w:p>
      <w:pPr>
        <w:spacing w:after="0" w:line="141" w:lineRule="exact"/>
        <w:rPr>
          <w:sz w:val="20"/>
          <w:szCs w:val="20"/>
          <w:color w:val="auto"/>
        </w:rPr>
      </w:pPr>
    </w:p>
    <w:p>
      <w:pPr>
        <w:ind w:left="600" w:hanging="323"/>
        <w:spacing w:after="0"/>
        <w:tabs>
          <w:tab w:leader="none" w:pos="600" w:val="left"/>
        </w:tabs>
        <w:numPr>
          <w:ilvl w:val="1"/>
          <w:numId w:val="36"/>
        </w:numPr>
        <w:rPr>
          <w:rFonts w:ascii="Arial" w:cs="Arial" w:eastAsia="Arial" w:hAnsi="Arial"/>
          <w:sz w:val="12"/>
          <w:szCs w:val="12"/>
          <w:color w:val="auto"/>
        </w:rPr>
      </w:pPr>
      <w:r>
        <w:rPr>
          <w:rFonts w:ascii="Arial" w:cs="Arial" w:eastAsia="Arial" w:hAnsi="Arial"/>
          <w:sz w:val="12"/>
          <w:szCs w:val="12"/>
          <w:color w:val="auto"/>
        </w:rPr>
        <w:t>the use of certain growth factors to generate mesoderm (that is, the precursors capable of developing into cells of the heart, blood system, connective tissues, and vascular system) from hESCs;</w:t>
      </w:r>
    </w:p>
    <w:p>
      <w:pPr>
        <w:spacing w:after="0" w:line="150" w:lineRule="exact"/>
        <w:rPr>
          <w:rFonts w:ascii="Arial" w:cs="Arial" w:eastAsia="Arial" w:hAnsi="Arial"/>
          <w:sz w:val="12"/>
          <w:szCs w:val="12"/>
          <w:color w:val="auto"/>
        </w:rPr>
      </w:pPr>
    </w:p>
    <w:p>
      <w:pPr>
        <w:ind w:left="600" w:hanging="338"/>
        <w:spacing w:after="0" w:line="276" w:lineRule="auto"/>
        <w:tabs>
          <w:tab w:leader="none" w:pos="6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14" w:lineRule="exact"/>
        <w:rPr>
          <w:rFonts w:ascii="Arial" w:cs="Arial" w:eastAsia="Arial" w:hAnsi="Arial"/>
          <w:sz w:val="12"/>
          <w:szCs w:val="12"/>
          <w:color w:val="auto"/>
        </w:rPr>
      </w:pPr>
    </w:p>
    <w:p>
      <w:pPr>
        <w:ind w:left="600" w:hanging="338"/>
        <w:spacing w:after="0"/>
        <w:tabs>
          <w:tab w:leader="none" w:pos="6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 xml:space="preserve">applications of cells derived from mesoderm and endoderm precursors, especially those relating to drug discovery and testing for applications in the field of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and development applications.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This license agreement requires us to pay annual license and patent prosecution and maintenance fees and royalty payments that vary based on product sales and services that are covered by the MSSM patent applications, as well as for any revenues received from sublicensing. Any drug candidates that we develop, including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will only require royalty payments to the extent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Wisconsin Alumni Research Foundation (WARF) Non-Exclusive License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non-exclusive licenses to 28 issued stem cell-related U.S. patents, 14 stem cell-related U.S. patent applications, of which two have been allowed, and certain foreign counterparts held by WARF, for applications in the field of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vitro </w:t>
      </w:r>
      <w:r>
        <w:rPr>
          <w:rFonts w:ascii="Arial" w:cs="Arial" w:eastAsia="Arial" w:hAnsi="Arial"/>
          <w:sz w:val="12"/>
          <w:szCs w:val="12"/>
          <w:color w:val="auto"/>
        </w:rPr>
        <w:t>drug discovery and development. Foreign counterparts have been filed in Australia, Canada, Europe, China, India, Hong Kong, Israel, Brazil, South Korea, India, Mexico, and New Zealand. The subject matter of these patents includes</w:t>
      </w:r>
      <w:r>
        <w:rPr>
          <w:rFonts w:ascii="Arial" w:cs="Arial" w:eastAsia="Arial" w:hAnsi="Arial"/>
          <w:sz w:val="12"/>
          <w:szCs w:val="12"/>
          <w:i w:val="1"/>
          <w:iCs w:val="1"/>
          <w:color w:val="auto"/>
        </w:rPr>
        <w:t xml:space="preserve"> </w:t>
      </w:r>
      <w:r>
        <w:rPr>
          <w:rFonts w:ascii="Arial" w:cs="Arial" w:eastAsia="Arial" w:hAnsi="Arial"/>
          <w:sz w:val="12"/>
          <w:szCs w:val="12"/>
          <w:color w:val="auto"/>
        </w:rPr>
        <w:t>specific hESC lines and composition of matter and use claims relating to hESCs important to drug discovery, and drug rescue screening. We have rights to:</w:t>
      </w:r>
    </w:p>
    <w:p>
      <w:pPr>
        <w:spacing w:after="0" w:line="141" w:lineRule="exact"/>
        <w:rPr>
          <w:sz w:val="20"/>
          <w:szCs w:val="20"/>
          <w:color w:val="auto"/>
        </w:rPr>
      </w:pPr>
    </w:p>
    <w:p>
      <w:pPr>
        <w:ind w:left="600" w:hanging="338"/>
        <w:spacing w:after="0"/>
        <w:tabs>
          <w:tab w:leader="none" w:pos="6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use the technology for internal research and drug development;</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provide discovery and screening services to third parties; and</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market and sell research products (that is, cellular assays incorporating the licensed technology).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1" w:name="page72"/>
    <w:bookmarkEnd w:id="7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This license agreement requires us to make royalty payments that vary based on product sales and services that incorporate the licensed technology. We do not believe that any drug rescue candidates to be developed by us will incorporate the licensed technology and, therefore, no royalty payments will be payable. Nevertheless, there is a minimum royalty of $20,000 per calendar year. There are also milestone fees related to the discovery of therapeutic molecules, though no royalties are owed on such molecules. The royalty payments are subject to anti-stacking provisions which reduce our payments by a percentage of any royalty payments paid to third parties who have licensed necessary intellectual property to us. The agreement remains in force for the life of the patents so long as we pay all monies due and do not breach any covenants, and such breach or default is uncured for 90 days. We may also terminate the agreement at any time upon 60 days’ notice. There are no reach through royalties on customer-owned small molecule or biologic drug products developed using the licensed technologies.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Patents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registered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material patents currently related to the generation of human heart and liver cells for use in connection with our drug rescue activities are set forth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Territory</w:t>
            </w:r>
          </w:p>
        </w:tc>
        <w:tc>
          <w:tcPr>
            <w:tcW w:w="140" w:type="dxa"/>
            <w:vAlign w:val="bottom"/>
          </w:tcPr>
          <w:p>
            <w:pPr>
              <w:spacing w:after="0"/>
              <w:rPr>
                <w:sz w:val="13"/>
                <w:szCs w:val="13"/>
                <w:color w:val="auto"/>
              </w:rPr>
            </w:pPr>
          </w:p>
        </w:tc>
        <w:tc>
          <w:tcPr>
            <w:tcW w:w="16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Patent No.</w:t>
            </w:r>
          </w:p>
        </w:tc>
        <w:tc>
          <w:tcPr>
            <w:tcW w:w="140" w:type="dxa"/>
            <w:vAlign w:val="bottom"/>
          </w:tcPr>
          <w:p>
            <w:pPr>
              <w:spacing w:after="0"/>
              <w:rPr>
                <w:sz w:val="13"/>
                <w:szCs w:val="13"/>
                <w:color w:val="auto"/>
              </w:rPr>
            </w:pPr>
          </w:p>
        </w:tc>
        <w:tc>
          <w:tcPr>
            <w:tcW w:w="4780" w:type="dxa"/>
            <w:vAlign w:val="bottom"/>
            <w:tcBorders>
              <w:bottom w:val="single" w:sz="8" w:color="auto"/>
            </w:tcBorders>
          </w:tcPr>
          <w:p>
            <w:pPr>
              <w:ind w:left="1780"/>
              <w:spacing w:after="0"/>
              <w:rPr>
                <w:sz w:val="20"/>
                <w:szCs w:val="20"/>
                <w:color w:val="auto"/>
              </w:rPr>
            </w:pPr>
            <w:r>
              <w:rPr>
                <w:rFonts w:ascii="Arial" w:cs="Arial" w:eastAsia="Arial" w:hAnsi="Arial"/>
                <w:sz w:val="12"/>
                <w:szCs w:val="12"/>
                <w:b w:val="1"/>
                <w:bCs w:val="1"/>
                <w:color w:val="auto"/>
              </w:rPr>
              <w:t>General Subject Matter</w:t>
            </w:r>
          </w:p>
        </w:tc>
        <w:tc>
          <w:tcPr>
            <w:tcW w:w="140" w:type="dxa"/>
            <w:vAlign w:val="bottom"/>
          </w:tcPr>
          <w:p>
            <w:pPr>
              <w:spacing w:after="0"/>
              <w:rPr>
                <w:sz w:val="13"/>
                <w:szCs w:val="13"/>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Expiration</w:t>
            </w:r>
          </w:p>
        </w:tc>
      </w:tr>
      <w:tr>
        <w:trPr>
          <w:trHeight w:val="142"/>
        </w:trPr>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7,763,466</w:t>
            </w:r>
          </w:p>
        </w:tc>
        <w:tc>
          <w:tcPr>
            <w:tcW w:w="14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Method to produce endoderm cells</w:t>
            </w:r>
          </w:p>
        </w:tc>
        <w:tc>
          <w:tcPr>
            <w:tcW w:w="140" w:type="dxa"/>
            <w:vAlign w:val="bottom"/>
            <w:shd w:val="clear" w:color="auto" w:fill="CCEEFF"/>
          </w:tcPr>
          <w:p>
            <w:pPr>
              <w:spacing w:after="0"/>
              <w:rPr>
                <w:sz w:val="12"/>
                <w:szCs w:val="12"/>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May 2025</w:t>
            </w:r>
          </w:p>
        </w:tc>
      </w:tr>
      <w:tr>
        <w:trPr>
          <w:trHeight w:val="144"/>
        </w:trPr>
        <w:tc>
          <w:tcPr>
            <w:tcW w:w="1980" w:type="dxa"/>
            <w:vAlign w:val="bottom"/>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tcPr>
          <w:p>
            <w:pPr>
              <w:jc w:val="right"/>
              <w:ind w:right="500"/>
              <w:spacing w:after="0"/>
              <w:rPr>
                <w:sz w:val="20"/>
                <w:szCs w:val="20"/>
                <w:color w:val="auto"/>
              </w:rPr>
            </w:pPr>
            <w:r>
              <w:rPr>
                <w:rFonts w:ascii="Arial" w:cs="Arial" w:eastAsia="Arial" w:hAnsi="Arial"/>
                <w:sz w:val="12"/>
                <w:szCs w:val="12"/>
                <w:color w:val="auto"/>
              </w:rPr>
              <w:t>7,955,849</w:t>
            </w:r>
          </w:p>
        </w:tc>
        <w:tc>
          <w:tcPr>
            <w:tcW w:w="140" w:type="dxa"/>
            <w:vAlign w:val="bottom"/>
          </w:tcPr>
          <w:p>
            <w:pPr>
              <w:spacing w:after="0"/>
              <w:rPr>
                <w:sz w:val="12"/>
                <w:szCs w:val="12"/>
                <w:color w:val="auto"/>
              </w:rPr>
            </w:pPr>
          </w:p>
        </w:tc>
        <w:tc>
          <w:tcPr>
            <w:tcW w:w="4780" w:type="dxa"/>
            <w:vAlign w:val="bottom"/>
          </w:tcPr>
          <w:p>
            <w:pPr>
              <w:spacing w:after="0"/>
              <w:rPr>
                <w:sz w:val="20"/>
                <w:szCs w:val="20"/>
                <w:color w:val="auto"/>
              </w:rPr>
            </w:pPr>
            <w:r>
              <w:rPr>
                <w:rFonts w:ascii="Arial" w:cs="Arial" w:eastAsia="Arial" w:hAnsi="Arial"/>
                <w:sz w:val="12"/>
                <w:szCs w:val="12"/>
                <w:color w:val="auto"/>
              </w:rPr>
              <w:t>Method of enriching population of mesoderm cells</w:t>
            </w:r>
          </w:p>
        </w:tc>
        <w:tc>
          <w:tcPr>
            <w:tcW w:w="14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2"/>
                <w:szCs w:val="12"/>
                <w:color w:val="auto"/>
                <w:w w:val="94"/>
              </w:rPr>
              <w:t>May 2023</w:t>
            </w:r>
          </w:p>
        </w:tc>
      </w:tr>
      <w:tr>
        <w:trPr>
          <w:trHeight w:val="144"/>
        </w:trPr>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8,143,009</w:t>
            </w:r>
          </w:p>
        </w:tc>
        <w:tc>
          <w:tcPr>
            <w:tcW w:w="14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Toxicity typing using liver stem cells</w:t>
            </w:r>
          </w:p>
        </w:tc>
        <w:tc>
          <w:tcPr>
            <w:tcW w:w="140" w:type="dxa"/>
            <w:vAlign w:val="bottom"/>
            <w:shd w:val="clear" w:color="auto" w:fill="CCEEFF"/>
          </w:tcPr>
          <w:p>
            <w:pPr>
              <w:spacing w:after="0"/>
              <w:rPr>
                <w:sz w:val="12"/>
                <w:szCs w:val="12"/>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June 2023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AV-101, we have filed three new U.S. patent applications.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Trade Secrets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Sponsored Research Collaborations and Intellectual Property Rights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University Health Network, McEwen Centre for Regenerative Medicine, Toronto, Ontario</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 xml:space="preserve">We have a long-term strategic stem cell research collaboration with our co-founder, Dr. Gordon Keller, Director of the UHN’s McEwen Centre, focused on, among other things, developing improved methods for differentiation of cardiomyocytes (heart cells) from pluripotent stem cells, and their uses in biological assay systems for drug discovery and drug development, including drug rescue. Pursuant to our sponsored research collaboration agreement with UHN, we have the right to acquire exclusive worldwide rights to any inventions arising from studies we sponsor, under pre-negotiated license terms. Such pre-negotiated terms provide for royalty payments equal to 3% of the first $25.0 million of certain revenues received under the agreement, and 2% thereafter, based on product sales that incorporate the licensed technology and milestone payments based on the achievement of certain events. Any </w:t>
      </w:r>
      <w:r>
        <w:rPr>
          <w:rFonts w:ascii="Arial" w:cs="Arial" w:eastAsia="Arial" w:hAnsi="Arial"/>
          <w:sz w:val="10"/>
          <w:szCs w:val="10"/>
          <w:i w:val="1"/>
          <w:iCs w:val="1"/>
          <w:color w:val="auto"/>
        </w:rPr>
        <w:t>Drug Rescue Variants</w:t>
      </w:r>
      <w:r>
        <w:rPr>
          <w:rFonts w:ascii="Arial" w:cs="Arial" w:eastAsia="Arial" w:hAnsi="Arial"/>
          <w:sz w:val="10"/>
          <w:szCs w:val="10"/>
          <w:color w:val="auto"/>
        </w:rPr>
        <w:t xml:space="preserve">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2" w:name="page73"/>
    <w:bookmarkEnd w:id="7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sponsored research collaboration agreement with UHN, as amended, has a term of ten years, ending on September 18, 2017. Our 2012/2013 sponsored research project budget under the agreement ended on September 30, 2013. We are currently in discussions with Dr. Keller and UHN regarding the scope of our future sponsored research projects under the agreement. We anticipate finalizing such discussions following consummation of this Offering.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UHN License for Stem Cell Culture Technology</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April 2012, we licensed stem cell culture technology from UHN’s McEwen Centre. We intend to utilize the licensed technology to develop hematopoietic precursor stem cells from human pluripotent stem cells, with the goal of developing drug discovery screening and regenerative medicine applications for human blood system disorders. This technology is included in a United States patent application. The terms of this agreement provide for a royalty payment equal to 3% of the first $25.0 million of certain revenues received from the licensed technology, and 2% thereafter. We believe this stem cell technology dramatically advances our ability to produce and purify this important blood stem cell precursor for both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for the first time, we are now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AV-101-Related Intellectual Property</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exclusive licenses to issued U.S. patents related to the use and function of AV-101, and various central nervous system (</w:t>
      </w:r>
      <w:r>
        <w:rPr>
          <w:rFonts w:ascii="Arial" w:cs="Arial" w:eastAsia="Arial" w:hAnsi="Arial"/>
          <w:sz w:val="11"/>
          <w:szCs w:val="11"/>
          <w:i w:val="1"/>
          <w:iCs w:val="1"/>
          <w:color w:val="auto"/>
        </w:rPr>
        <w:t>CNS</w:t>
      </w:r>
      <w:r>
        <w:rPr>
          <w:rFonts w:ascii="Arial" w:cs="Arial" w:eastAsia="Arial" w:hAnsi="Arial"/>
          <w:sz w:val="11"/>
          <w:szCs w:val="11"/>
          <w:color w:val="auto"/>
        </w:rPr>
        <w:t>)-active molecules related to AV-101. These patents are held by the University of Maryland, Baltimore, the Cornell Research Foundation, Inc. and Aventis, Inc. The principle U.S. method of use patent related to AV-101 has expired. Foreign counterparts to that U.S. patent also have expired. However, we have filed three U.S. patent applications relating to AV-101. In addition, among the key components of our commercial protection strategy with respect to AV-101 is the New Drug Product Exclusivity provided by the FDA under section 505(c)(3)(E) and 505(j)(5)(F) of the Federal Food, Drug, and Cosmetic Act (</w:t>
      </w:r>
      <w:r>
        <w:rPr>
          <w:rFonts w:ascii="Arial" w:cs="Arial" w:eastAsia="Arial" w:hAnsi="Arial"/>
          <w:sz w:val="11"/>
          <w:szCs w:val="11"/>
          <w:i w:val="1"/>
          <w:iCs w:val="1"/>
          <w:color w:val="auto"/>
        </w:rPr>
        <w:t>FDCA</w:t>
      </w:r>
      <w:r>
        <w:rPr>
          <w:rFonts w:ascii="Arial" w:cs="Arial" w:eastAsia="Arial" w:hAnsi="Arial"/>
          <w:sz w:val="11"/>
          <w:szCs w:val="11"/>
          <w:color w:val="auto"/>
        </w:rPr>
        <w:t>). The FDA’s New Drug Product Exclusivity is available for new chemical entities (</w:t>
      </w:r>
      <w:r>
        <w:rPr>
          <w:rFonts w:ascii="Arial" w:cs="Arial" w:eastAsia="Arial" w:hAnsi="Arial"/>
          <w:sz w:val="11"/>
          <w:szCs w:val="11"/>
          <w:i w:val="1"/>
          <w:iCs w:val="1"/>
          <w:color w:val="auto"/>
        </w:rPr>
        <w:t>NCEs</w:t>
      </w:r>
      <w:r>
        <w:rPr>
          <w:rFonts w:ascii="Arial" w:cs="Arial" w:eastAsia="Arial" w:hAnsi="Arial"/>
          <w:sz w:val="11"/>
          <w:szCs w:val="11"/>
          <w:color w:val="auto"/>
        </w:rPr>
        <w:t>) such as AV-101, which, by definition, are innovative and have not been approved previously by the FDA, either alone or in combination. The FDA’s New Drug Product Exclusivity protection provides the holder of an FDA-approved new drug application (</w:t>
      </w:r>
      <w:r>
        <w:rPr>
          <w:rFonts w:ascii="Arial" w:cs="Arial" w:eastAsia="Arial" w:hAnsi="Arial"/>
          <w:sz w:val="11"/>
          <w:szCs w:val="11"/>
          <w:i w:val="1"/>
          <w:iCs w:val="1"/>
          <w:color w:val="auto"/>
        </w:rPr>
        <w:t>NDA</w:t>
      </w:r>
      <w:r>
        <w:rPr>
          <w:rFonts w:ascii="Arial" w:cs="Arial" w:eastAsia="Arial" w:hAnsi="Arial"/>
          <w:sz w:val="11"/>
          <w:szCs w:val="11"/>
          <w:color w:val="auto"/>
        </w:rPr>
        <w:t>) up to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w:t>
      </w:r>
      <w:r>
        <w:rPr>
          <w:rFonts w:ascii="Arial" w:cs="Arial" w:eastAsia="Arial" w:hAnsi="Arial"/>
          <w:sz w:val="11"/>
          <w:szCs w:val="11"/>
          <w:i w:val="1"/>
          <w:iCs w:val="1"/>
          <w:color w:val="auto"/>
        </w:rPr>
        <w:t>ANDAs</w:t>
      </w:r>
      <w:r>
        <w:rPr>
          <w:rFonts w:ascii="Arial" w:cs="Arial" w:eastAsia="Arial" w:hAnsi="Arial"/>
          <w:sz w:val="11"/>
          <w:szCs w:val="11"/>
          <w:color w:val="auto"/>
        </w:rPr>
        <w:t>), during the up to five-year exclusivity period, except that such applications may be submitted after four years if they contain a certification of patent invalidity or non-infringement.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license agreement requires us to make royalty payments on 2% of net sales of products using the patent rights, including products containing compounds covered by the patent rights. Additionally, the license agreement requires us to pay a 1% royalty on net sales of combination products that use patent rights, or contain compounds covered by the patent rights. Consequently, future sales of AV-101 are subject to a 2% royalty obligation. There are no license, milestone or maintenance fees under the agreement. The agreement remains in force until the later of: (i) the expiration or invalidation of the last patent right; and (ii) 10 years after the first commercial sale of the first product that uses the patent rights or contains a compound covered by the patent rights.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3" w:name="page74"/>
    <w:bookmarkEnd w:id="7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believe that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safety testing, contract predictive toxicology drug screening services for third parties, internal drug discovery, development and rescue of new molecular entities (</w:t>
      </w:r>
      <w:r>
        <w:rPr>
          <w:rFonts w:ascii="Arial" w:cs="Arial" w:eastAsia="Arial" w:hAnsi="Arial"/>
          <w:sz w:val="12"/>
          <w:szCs w:val="12"/>
          <w:i w:val="1"/>
          <w:iCs w:val="1"/>
          <w:color w:val="auto"/>
        </w:rPr>
        <w:t>NMEs</w:t>
      </w:r>
      <w:r>
        <w:rPr>
          <w:rFonts w:ascii="Arial" w:cs="Arial" w:eastAsia="Arial" w:hAnsi="Arial"/>
          <w:sz w:val="12"/>
          <w:szCs w:val="12"/>
          <w:color w:val="auto"/>
        </w:rPr>
        <w:t xml:space="preserve">), and regenerative medicine, including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cell therapy research and development. A representative list of such biopharmaceutical companies pursuing one or more of these potential applications of adult and/or pluripotent stem cell technology includes the following: Acea Biosciences, Advanced Cell Technology, Athersys, BioTime, Cellectis Bioresearch, Cellular Dynamics, Cellerant Therapeutics, Cytori Therapeutics,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believe the best and most valuable near term commercial application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is internal production of NMEs, which we refer to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through small molecule drug rescue. We believe that the stem cell technologies underlying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and our primary focus on opportunities to produce small molecule NMEs through drug rescue provide us substantial competitive advantages associated with application of human biology at the front end of the drug development process, before animal and human testing. Although we believe that our model for the application of human pluripotent stem cell technology for drug rescue is novel, significant competition may arise or otherwise increase considerably as the acceptance and use of hPSC technology, the sale of hPSC-derived human heart and liver cells, and the availability of hPSC-related contract predictive toxicology screening services, for drug discovery, development and rescue, as well as cell therapy and regenerative medicine, continue to become more widespread throughout the academic research community and the pharmaceutical and biotechnology industries. In addition, significant competition may arise from those academic research institutions, contract research organizations, and biopharmaceutical companies currently producing or capable of producing, currently using or capable of using, hPSC-derived heart cells and liver cells for third-party sales, contract screening or cell therapy research and development, that elect or their customers elect to transform their current business operations to include internal drug rescue and development of small molecule NMEs in a manner similar to our drug rescue model.</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With respect to AV-101, we believe that a range of pharmaceutical and biotechnology companies have programs to develop small molecule drug candidates for the treatment of neuropathic pain, epilepsy, depression, Parkinson’s disease and other neurological conditions and diseases, including Abbott Laboratories, GlaxoSmithKline, Johnson &amp; Johnson, Novartis, and Pfizer. We expect that AV-101 will have to compete with a variety of therapeutic products and procedures. With respect to each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are able to produce, we anticipate that a range of pharmaceutical and biotechnology companies will have programs to develop small molecule drug candidates or biologics for the treatment of the diseases or conditions targeted by each such </w:t>
      </w:r>
      <w:r>
        <w:rPr>
          <w:rFonts w:ascii="Arial" w:cs="Arial" w:eastAsia="Arial" w:hAnsi="Arial"/>
          <w:sz w:val="12"/>
          <w:szCs w:val="12"/>
          <w:i w:val="1"/>
          <w:iCs w:val="1"/>
          <w:color w:val="auto"/>
        </w:rPr>
        <w:t>Drug Rescue Variant</w:t>
      </w:r>
      <w:r>
        <w:rPr>
          <w:rFonts w:ascii="Arial" w:cs="Arial" w:eastAsia="Arial" w:hAnsi="Arial"/>
          <w:sz w:val="12"/>
          <w:szCs w:val="12"/>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4" w:name="page75"/>
    <w:bookmarkEnd w:id="7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With respect to drug development, government authorities at the federal, state and local levels in the U.S. and other countries extensively regulate, among other things, the research, development, testing, manufacture, labeling, promotion, advertising, distribution, marketing, pricing and export and import of pharmaceutical products such as those we are developing. In the U.S., pharmaceuticals, biologics and medical devices are subject to rigorous FDA regulation. Federal and state statutes and regulations in the United States govern, among other things, the testing, manufacture, safety, efficacy, labeling, storage, export, record keeping, approval, marketing, advertising and promotion of our potential drug rescue variants. The information that must be submitted to the FDA in order to obtain approval to market a new drug varies depending on whether the drug is a new product whose safety and effectiveness has not previously been demonstrated in humans, or a drug whose active ingredient(s) and certain other properties are the same as those of a previously approved drug. Product development and approval within this regulatory framework takes a number of years and involves significant uncertainty combined with the expenditure of substantial resources.</w:t>
      </w:r>
    </w:p>
    <w:p>
      <w:pPr>
        <w:spacing w:after="0" w:line="147"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Companies seeking FDA approval to sell a new prescription drug in the United States must test it in various ways. Currently, first are laboratory and animal tests. Next are tests in humans to see if the drug candidate is safe and effective when used to treat or diagnose a disease. After testing the drug candidate, the company developing it then sends the FDA an application called a New Drug Application (</w:t>
      </w:r>
      <w:r>
        <w:rPr>
          <w:rFonts w:ascii="Arial" w:cs="Arial" w:eastAsia="Arial" w:hAnsi="Arial"/>
          <w:sz w:val="12"/>
          <w:szCs w:val="12"/>
          <w:i w:val="1"/>
          <w:iCs w:val="1"/>
          <w:color w:val="auto"/>
        </w:rPr>
        <w:t>NDA</w:t>
      </w:r>
      <w:r>
        <w:rPr>
          <w:rFonts w:ascii="Arial" w:cs="Arial" w:eastAsia="Arial" w:hAnsi="Arial"/>
          <w:sz w:val="12"/>
          <w:szCs w:val="12"/>
          <w:color w:val="auto"/>
        </w:rPr>
        <w:t>). Some drug candidates are made out of biologic materials, including human cells, such as the human cells derived from human pluripotent stem cells. Instead of an NDA, new biologic drug candidates are approved using a Biologics License Application (</w:t>
      </w:r>
      <w:r>
        <w:rPr>
          <w:rFonts w:ascii="Arial" w:cs="Arial" w:eastAsia="Arial" w:hAnsi="Arial"/>
          <w:sz w:val="12"/>
          <w:szCs w:val="12"/>
          <w:i w:val="1"/>
          <w:iCs w:val="1"/>
          <w:color w:val="auto"/>
        </w:rPr>
        <w:t>BLA</w:t>
      </w:r>
      <w:r>
        <w:rPr>
          <w:rFonts w:ascii="Arial" w:cs="Arial" w:eastAsia="Arial" w:hAnsi="Arial"/>
          <w:sz w:val="12"/>
          <w:szCs w:val="12"/>
          <w:color w:val="auto"/>
        </w:rPr>
        <w:t>). Whether an NDA or a BLA, the application includes:</w:t>
      </w:r>
    </w:p>
    <w:p>
      <w:pPr>
        <w:spacing w:after="0" w:line="143" w:lineRule="exact"/>
        <w:rPr>
          <w:sz w:val="20"/>
          <w:szCs w:val="20"/>
          <w:color w:val="auto"/>
        </w:rPr>
      </w:pPr>
    </w:p>
    <w:p>
      <w:pPr>
        <w:ind w:left="748" w:hanging="748"/>
        <w:spacing w:after="0"/>
        <w:tabs>
          <w:tab w:leader="none" w:pos="74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drug candidate’s test results;</w:t>
      </w:r>
    </w:p>
    <w:p>
      <w:pPr>
        <w:spacing w:after="0" w:line="150" w:lineRule="exact"/>
        <w:rPr>
          <w:rFonts w:ascii="Arial" w:cs="Arial" w:eastAsia="Arial" w:hAnsi="Arial"/>
          <w:sz w:val="12"/>
          <w:szCs w:val="12"/>
          <w:color w:val="auto"/>
        </w:rPr>
      </w:pPr>
    </w:p>
    <w:p>
      <w:pPr>
        <w:ind w:left="748" w:hanging="748"/>
        <w:spacing w:after="0"/>
        <w:tabs>
          <w:tab w:leader="none" w:pos="748" w:val="left"/>
        </w:tabs>
        <w:numPr>
          <w:ilvl w:val="0"/>
          <w:numId w:val="38"/>
        </w:numPr>
        <w:rPr>
          <w:rFonts w:ascii="Arial" w:cs="Arial" w:eastAsia="Arial" w:hAnsi="Arial"/>
          <w:sz w:val="12"/>
          <w:szCs w:val="12"/>
          <w:color w:val="auto"/>
        </w:rPr>
      </w:pPr>
      <w:r>
        <w:rPr>
          <w:rFonts w:ascii="Arial" w:cs="Arial" w:eastAsia="Arial" w:hAnsi="Arial"/>
          <w:sz w:val="12"/>
          <w:szCs w:val="12"/>
          <w:color w:val="auto"/>
        </w:rPr>
        <w:t>manufacturing information to demonstrate the company developing the drug candidate can properly manufacture it; and</w:t>
      </w:r>
    </w:p>
    <w:p>
      <w:pPr>
        <w:spacing w:after="0" w:line="150" w:lineRule="exact"/>
        <w:rPr>
          <w:rFonts w:ascii="Arial" w:cs="Arial" w:eastAsia="Arial" w:hAnsi="Arial"/>
          <w:sz w:val="12"/>
          <w:szCs w:val="12"/>
          <w:color w:val="auto"/>
        </w:rPr>
      </w:pPr>
    </w:p>
    <w:p>
      <w:pPr>
        <w:ind w:left="748" w:hanging="748"/>
        <w:spacing w:after="0"/>
        <w:tabs>
          <w:tab w:leader="none" w:pos="74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proposed label for the drug candidate, which provides necessary information about the drug candidate, including uses for which it has been shown to be effective, possible risks, and how to use it.</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If a review by FDA physicians and scientists shows the drug candidate's benefits outweigh its known risks and the drug candidate can be manufactured in a way that ensures a quality product, the drug candidate is approved and can be marketed in the United States.</w:t>
      </w:r>
    </w:p>
    <w:p>
      <w:pPr>
        <w:spacing w:after="0" w:line="133"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New drug and biological product development and approval takes many years, involves the expenditure of substantial resources and is uncertain to succeed. Many new drug and biological candidates appear promising in early stages of development but ultimately do not reach the market because they cannot meet FDA or other regulatory requirements. In addition, the current regulatory framework may change through regulatory, legislative or judicial actions or additional regulations may arise during development that may affect approval or delay the submission or review of an application.</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activities required before a new drug or biological candidate may be approved for marketing in the U.S. begin with nonclinical testing, which includes laboratory evaluation and animal studies to assess the potential safety and efficacy of the product as formulated. Results of nonclinical studies are summarized in an Investigational New Drug (</w:t>
      </w:r>
      <w:r>
        <w:rPr>
          <w:rFonts w:ascii="Arial" w:cs="Arial" w:eastAsia="Arial" w:hAnsi="Arial"/>
          <w:sz w:val="12"/>
          <w:szCs w:val="12"/>
          <w:i w:val="1"/>
          <w:iCs w:val="1"/>
          <w:color w:val="auto"/>
        </w:rPr>
        <w:t>IND</w:t>
      </w:r>
      <w:r>
        <w:rPr>
          <w:rFonts w:ascii="Arial" w:cs="Arial" w:eastAsia="Arial" w:hAnsi="Arial"/>
          <w:sz w:val="12"/>
          <w:szCs w:val="12"/>
          <w:color w:val="auto"/>
        </w:rPr>
        <w:t>) application to the FDA. Human clinical trials may begin 30 days following submission of an IND application, unless the FDA requires additional time to review the application or raise questions.</w:t>
      </w:r>
    </w:p>
    <w:p>
      <w:pPr>
        <w:spacing w:after="0" w:line="141"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Clinical testing involves the administration of the new drug or biological candidate to healthy human volunteers or to patients under the supervision of a qualified principal investigator, usually a physician, pursuant to an FDA-reviewed protocol. Each clinical study is conducted under the auspices of an institutional review board (</w:t>
      </w:r>
      <w:r>
        <w:rPr>
          <w:rFonts w:ascii="Arial" w:cs="Arial" w:eastAsia="Arial" w:hAnsi="Arial"/>
          <w:sz w:val="12"/>
          <w:szCs w:val="12"/>
          <w:i w:val="1"/>
          <w:iCs w:val="1"/>
          <w:color w:val="auto"/>
        </w:rPr>
        <w:t>IRB</w:t>
      </w:r>
      <w:r>
        <w:rPr>
          <w:rFonts w:ascii="Arial" w:cs="Arial" w:eastAsia="Arial" w:hAnsi="Arial"/>
          <w:sz w:val="12"/>
          <w:szCs w:val="12"/>
          <w:color w:val="auto"/>
        </w:rPr>
        <w:t>)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primarily consist of testing the product’s safety in a small number of patients or healthy volunteers. In Phase II trials, the safety and efficacy of the biological candidate is evaluated in a specific patient population. Phase III trials typically involve additional testing for safety and clinical efficacy in an expanded patient population at geographically dispersed sites. The FDA may order the temporary or permanent discontinuance of a nonclinical or clinical trial at any time for a variety of reasons, particularly if safety concerns exist.</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75" w:name="page76"/>
    <w:bookmarkEnd w:id="7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w:t>
      </w:r>
      <w:r>
        <w:rPr>
          <w:rFonts w:ascii="Arial" w:cs="Arial" w:eastAsia="Arial" w:hAnsi="Arial"/>
          <w:sz w:val="12"/>
          <w:szCs w:val="12"/>
          <w:i w:val="1"/>
          <w:iCs w:val="1"/>
          <w:color w:val="auto"/>
        </w:rPr>
        <w:t>ISSCR</w:t>
      </w:r>
      <w:r>
        <w:rPr>
          <w:rFonts w:ascii="Arial" w:cs="Arial" w:eastAsia="Arial" w:hAnsi="Arial"/>
          <w:sz w:val="12"/>
          <w:szCs w:val="12"/>
          <w:color w:val="auto"/>
        </w:rPr>
        <w:t>), or the NIH. These procedures and documentation have been reviewed by an external Stem Cell Research Oversight Committee, and all cell lines we use have been approved under one or more of these guidelines.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U.S. government and its agencies on July 7, 2009 published guidelines for the ethical derivation of hESCs required for receiving federal funding for hESC research. Should we seek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Canada</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2"/>
          <w:szCs w:val="12"/>
          <w:i w:val="1"/>
          <w:iCs w:val="1"/>
          <w:color w:val="auto"/>
        </w:rPr>
        <w:t>Guidelines</w:t>
      </w:r>
      <w:r>
        <w:rPr>
          <w:rFonts w:ascii="Arial" w:cs="Arial" w:eastAsia="Arial" w:hAnsi="Arial"/>
          <w:sz w:val="12"/>
          <w:szCs w:val="12"/>
          <w:color w:val="auto"/>
        </w:rPr>
        <w:t>) issued by the Canadian Institutes of Health Research; the Tri-Council Statement: Ethical Conduct for Research Involving Humans (</w:t>
      </w:r>
      <w:r>
        <w:rPr>
          <w:rFonts w:ascii="Arial" w:cs="Arial" w:eastAsia="Arial" w:hAnsi="Arial"/>
          <w:sz w:val="12"/>
          <w:szCs w:val="12"/>
          <w:i w:val="1"/>
          <w:iCs w:val="1"/>
          <w:color w:val="auto"/>
        </w:rPr>
        <w:t>TCPS</w:t>
      </w:r>
      <w:r>
        <w:rPr>
          <w:rFonts w:ascii="Arial" w:cs="Arial" w:eastAsia="Arial" w:hAnsi="Arial"/>
          <w:sz w:val="12"/>
          <w:szCs w:val="12"/>
          <w:color w:val="auto"/>
        </w:rPr>
        <w:t>); and the Assisted Human Reproduction Act (</w:t>
      </w:r>
      <w:r>
        <w:rPr>
          <w:rFonts w:ascii="Arial" w:cs="Arial" w:eastAsia="Arial" w:hAnsi="Arial"/>
          <w:sz w:val="12"/>
          <w:szCs w:val="12"/>
          <w:i w:val="1"/>
          <w:iCs w:val="1"/>
          <w:color w:val="auto"/>
        </w:rPr>
        <w:t>Act</w:t>
      </w:r>
      <w:r>
        <w:rPr>
          <w:rFonts w:ascii="Arial" w:cs="Arial" w:eastAsia="Arial" w:hAnsi="Arial"/>
          <w:sz w:val="12"/>
          <w:szCs w:val="12"/>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Act subjects all research conducted in Canada involving the human embryo, including hESC derivation (but not the stem cells once derived), to a licensing process overseen by a federal licensing agency. However, as of the date of this report, the provisions of the Act regarding the licensing of hESC derivation were not in force</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are not currently conducting stem cell research in Canada. We have, however, sponsored pluripotent stem cell research in Canada by Dr. Gordon Keller at UHN’s McEwen Centre. We anticipate conducting additional pluripotent stem cell research (with both hESCs and hiPSCs), in collaboration with Dr. Keller and his research team, at UHN’s McEwen Centre during 2014 and beyond pursuant to our long term sponsored research collaboration with Dr. Keller and UHN. Should the provisions of the Act come into force, we may have to apply for a license for all hESC research we may sponsor or conduct in Canada and ensure compliance of such research with the provisions of the Act.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addition to regulations in the U.S., we may be subject to a variety of foreign regulations governing clinical trials and commercial sales and distribution of our products outside of the U.S.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Subsidiaries and Inter-Corporate Relationships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Ontario, Canada including our collaboration with Dr. Keller and UHN should we elect to expand our U.S. operations into Canada; and Artemis Neuroscience, Inc., a corporation incorporated pursuant to the laws of the State of Maryland and focused on development of AV-101. The operations of VistaGen Therapeutics, Inc., a California corporation, and each of its two wholly owned subsidiaries are managed by our senior management team based in South San Francisco, California.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6" w:name="page77"/>
    <w:bookmarkEnd w:id="7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ten full-time employees, four of whom have doctorate degrees. We anticipate adding up to ten additional employees, including at least two of whom will have a doctorate degree, within the twelve months following completion of the Offering. Currently, seven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an as-needed basis, including human resources and payroll, accounting and public company reporting, information technology, facilities, legal, stock plan administration, investor relations and web site maintenance, regulatory affairs, and FDA program management. In addition, we currently conduct some of our research and development efforts through sponsored research relationships with stem cell scientists at academic research institutions in the U.S. and Canada, including Dr. Keller’s laboratories at UHN. See “</w:t>
      </w:r>
      <w:r>
        <w:rPr>
          <w:rFonts w:ascii="Arial" w:cs="Arial" w:eastAsia="Arial" w:hAnsi="Arial"/>
          <w:sz w:val="11"/>
          <w:szCs w:val="11"/>
          <w:i w:val="1"/>
          <w:iCs w:val="1"/>
          <w:color w:val="auto"/>
        </w:rPr>
        <w:t>Business – Strategic Transactions and Relationships</w:t>
      </w:r>
      <w:r>
        <w:rPr>
          <w:rFonts w:ascii="Arial" w:cs="Arial" w:eastAsia="Arial" w:hAnsi="Arial"/>
          <w:sz w:val="11"/>
          <w:szCs w:val="11"/>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None of our employees is represented by a labor union or is subject to a collective bargaining agreement. We believe that our current relationship with all of our employees is good.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Facilities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principal executive offices and laboratories are located in South San Francisco, California, where we occupy approximately 10,000 square feet of office and laboratory space under a lease that expires in July 2017. Upon completion of this Offering, we anticipate leasing approximately 10,000 square feet of additional office and laboratory space to facilitate our growth plans.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From time to time, we may be a party to litigation and subject to claims incident to the ordinary course of business. We are not currently a party to any legal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Securities Purchase Agreement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April 8, 2013, we entered into a Securities Purchase Agreement with Autilion, as amended, pursuant to which we agreed to sell to Autilion 72.0 million shares of our common stock for $0.50 per share, on or before April 30, 2013, resulting in gross proceeds to us of $36.0 million. The Securities Purchase Agreement also provides for the election of one Autilion designee to the Company’s Board of Directors. Prior to giving effect to the Offering, assuming consummation of the Autilion Financing, Autilion will beneficially own in excess of a majority of the our currently issued and outstanding common stock.</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Contemporaneous with the execution of the Securities Purchase Agreement, Autilion entered into a Voting Agreement, pursuant to which Autilion agreed to vote all shares of capital stock held by Autilion consistent with the recommendation of a majority of the members of our board of directors. In addition, in the event of a Change in Control of the Company, as defined in the Voting Agreement, or an extraordinary transaction outside of the ordinary course of the Company’s business, in each case approved by a majority of our board of directors, including the Autilion’s designee to the board of directors, as well as by the holders of a majority of the outstanding shares of common stock held by stockholders unaffiliated with Autilion (</w:t>
      </w:r>
      <w:r>
        <w:rPr>
          <w:rFonts w:ascii="Arial" w:cs="Arial" w:eastAsia="Arial" w:hAnsi="Arial"/>
          <w:sz w:val="11"/>
          <w:szCs w:val="11"/>
          <w:i w:val="1"/>
          <w:iCs w:val="1"/>
          <w:color w:val="auto"/>
        </w:rPr>
        <w:t>Approved Transaction</w:t>
      </w:r>
      <w:r>
        <w:rPr>
          <w:rFonts w:ascii="Arial" w:cs="Arial" w:eastAsia="Arial" w:hAnsi="Arial"/>
          <w:sz w:val="11"/>
          <w:szCs w:val="11"/>
          <w:color w:val="auto"/>
        </w:rPr>
        <w:t>), Autilion is required to vote all shares of capital stock held by Autilion for such Approved Transaction.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date, Autilion has completed only a nominal closing under the Securities Purchase Agreement. Autilion is therefore in default under the Securities Purchase Agreement, and no assurances can be given that Autilion will consummate any further investments under the Securities Purchase Agreement.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7" w:name="page78"/>
    <w:bookmarkEnd w:id="7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FOR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 and Dividend Policy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On June 21, 2011 our common stock began trading on the OTC Markets Group Inc.’s OTCQB tier (</w:t>
      </w:r>
      <w:r>
        <w:rPr>
          <w:rFonts w:ascii="Arial" w:cs="Arial" w:eastAsia="Arial" w:hAnsi="Arial"/>
          <w:sz w:val="12"/>
          <w:szCs w:val="12"/>
          <w:i w:val="1"/>
          <w:iCs w:val="1"/>
          <w:color w:val="auto"/>
        </w:rPr>
        <w:t>OTCQB</w:t>
      </w:r>
      <w:r>
        <w:rPr>
          <w:rFonts w:ascii="Arial" w:cs="Arial" w:eastAsia="Arial" w:hAnsi="Arial"/>
          <w:sz w:val="12"/>
          <w:szCs w:val="12"/>
          <w:color w:val="auto"/>
        </w:rPr>
        <w:t>) under the symbol “VSTA.” There was no established trading market for our common stock prior to that date.</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Shown below is the range of high and low sales prices for our common stock for the periods indicated as reported by the OTCQB. The market quotations reflect inter-dealer prices, without retail mark-up, markdown or commissions and may not necessarily represent actual transactions.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2"/>
                <w:szCs w:val="12"/>
                <w:b w:val="1"/>
                <w:bCs w:val="1"/>
                <w:color w:val="auto"/>
              </w:rPr>
              <w:t>High</w:t>
            </w:r>
          </w:p>
        </w:tc>
        <w:tc>
          <w:tcPr>
            <w:tcW w:w="260" w:type="dxa"/>
            <w:vAlign w:val="bottom"/>
          </w:tcPr>
          <w:p>
            <w:pPr>
              <w:spacing w:after="0"/>
              <w:rPr>
                <w:sz w:val="13"/>
                <w:szCs w:val="13"/>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Low</w:t>
            </w:r>
          </w:p>
        </w:tc>
      </w:tr>
      <w:tr>
        <w:trPr>
          <w:trHeight w:val="142"/>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2015</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0.74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0.28</w:t>
            </w:r>
          </w:p>
        </w:tc>
      </w:tr>
      <w:tr>
        <w:trPr>
          <w:trHeight w:val="288"/>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2014</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0.90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0.53</w:t>
            </w: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Second quarter ending September 30,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0.89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Third quarter ending December 31, 2013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0.61</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0.26</w:t>
            </w:r>
          </w:p>
        </w:tc>
      </w:tr>
      <w:tr>
        <w:trPr>
          <w:trHeight w:val="153"/>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Fourth quarter ending March 31, 2014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0.28</w:t>
            </w:r>
          </w:p>
        </w:tc>
      </w:tr>
      <w:tr>
        <w:trPr>
          <w:trHeight w:val="279"/>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0.16</w:t>
            </w: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Second quarter ending September 30, 2012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1.52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0.12</w:t>
            </w: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Third quarter ending December 31, 2012</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0.95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0.53</w:t>
            </w:r>
          </w:p>
        </w:tc>
      </w:tr>
      <w:tr>
        <w:trPr>
          <w:trHeight w:val="153"/>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Fourth quarter ending March 31,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0.90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0.56</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On August 5 , 2014 the closing price of our common stock on the OTCQB was $0.60 per share.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have never declared or paid any dividend. We may, as our Board of Directors deems appropriate, continue to retain all earnings to use in our business or may consider paying dividends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 at July 1,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Number of securities remaining available for</w:t>
            </w:r>
          </w:p>
        </w:tc>
      </w:tr>
      <w:tr>
        <w:trPr>
          <w:trHeight w:val="144"/>
        </w:trPr>
        <w:tc>
          <w:tcPr>
            <w:tcW w:w="36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future issuance under equity compensation</w:t>
            </w:r>
          </w:p>
        </w:tc>
      </w:tr>
      <w:tr>
        <w:trPr>
          <w:trHeight w:val="144"/>
        </w:trPr>
        <w:tc>
          <w:tcPr>
            <w:tcW w:w="3600" w:type="dxa"/>
            <w:vAlign w:val="bottom"/>
          </w:tcPr>
          <w:p>
            <w:pPr>
              <w:spacing w:after="0"/>
              <w:rPr>
                <w:sz w:val="12"/>
                <w:szCs w:val="12"/>
                <w:color w:val="auto"/>
              </w:rPr>
            </w:pPr>
          </w:p>
        </w:tc>
        <w:tc>
          <w:tcPr>
            <w:tcW w:w="26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Number of securities to be issued upon exercise</w:t>
            </w:r>
          </w:p>
        </w:tc>
        <w:tc>
          <w:tcPr>
            <w:tcW w:w="2640" w:type="dxa"/>
            <w:vAlign w:val="bottom"/>
            <w:gridSpan w:val="3"/>
          </w:tcPr>
          <w:p>
            <w:pPr>
              <w:spacing w:after="0"/>
              <w:rPr>
                <w:sz w:val="20"/>
                <w:szCs w:val="20"/>
                <w:color w:val="auto"/>
              </w:rPr>
            </w:pPr>
            <w:r>
              <w:rPr>
                <w:rFonts w:ascii="Arial" w:cs="Arial" w:eastAsia="Arial" w:hAnsi="Arial"/>
                <w:sz w:val="12"/>
                <w:szCs w:val="12"/>
                <w:b w:val="1"/>
                <w:bCs w:val="1"/>
                <w:color w:val="auto"/>
                <w:w w:val="95"/>
              </w:rPr>
              <w:t>Weighted-average exercise price of outstanding</w:t>
            </w: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plans (excluding securities reflected in column</w:t>
            </w:r>
          </w:p>
        </w:tc>
      </w:tr>
      <w:tr>
        <w:trPr>
          <w:trHeight w:val="144"/>
        </w:trPr>
        <w:tc>
          <w:tcPr>
            <w:tcW w:w="3600" w:type="dxa"/>
            <w:vAlign w:val="bottom"/>
          </w:tcPr>
          <w:p>
            <w:pPr>
              <w:spacing w:after="0"/>
              <w:rPr>
                <w:sz w:val="12"/>
                <w:szCs w:val="12"/>
                <w:color w:val="auto"/>
              </w:rPr>
            </w:pPr>
          </w:p>
        </w:tc>
        <w:tc>
          <w:tcPr>
            <w:tcW w:w="26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of outstanding options, warrants and rights</w:t>
            </w:r>
          </w:p>
        </w:tc>
        <w:tc>
          <w:tcPr>
            <w:tcW w:w="260" w:type="dxa"/>
            <w:vAlign w:val="bottom"/>
          </w:tcPr>
          <w:p>
            <w:pPr>
              <w:spacing w:after="0"/>
              <w:rPr>
                <w:sz w:val="12"/>
                <w:szCs w:val="12"/>
                <w:color w:val="auto"/>
              </w:rPr>
            </w:pPr>
          </w:p>
        </w:tc>
        <w:tc>
          <w:tcPr>
            <w:tcW w:w="2380" w:type="dxa"/>
            <w:vAlign w:val="bottom"/>
            <w:gridSpan w:val="2"/>
          </w:tcPr>
          <w:p>
            <w:pPr>
              <w:ind w:left="220"/>
              <w:spacing w:after="0"/>
              <w:rPr>
                <w:sz w:val="20"/>
                <w:szCs w:val="20"/>
                <w:color w:val="auto"/>
              </w:rPr>
            </w:pPr>
            <w:r>
              <w:rPr>
                <w:rFonts w:ascii="Arial" w:cs="Arial" w:eastAsia="Arial" w:hAnsi="Arial"/>
                <w:sz w:val="12"/>
                <w:szCs w:val="12"/>
                <w:b w:val="1"/>
                <w:bCs w:val="1"/>
                <w:color w:val="auto"/>
              </w:rPr>
              <w:t>options, warrants and rights</w:t>
            </w: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w:t>
            </w:r>
          </w:p>
        </w:tc>
      </w:tr>
      <w:tr>
        <w:trPr>
          <w:trHeight w:val="157"/>
        </w:trPr>
        <w:tc>
          <w:tcPr>
            <w:tcW w:w="3600" w:type="dxa"/>
            <w:vAlign w:val="bottom"/>
          </w:tcPr>
          <w:p>
            <w:pPr>
              <w:spacing w:after="0"/>
              <w:rPr>
                <w:sz w:val="20"/>
                <w:szCs w:val="20"/>
                <w:color w:val="auto"/>
              </w:rPr>
            </w:pPr>
            <w:r>
              <w:rPr>
                <w:rFonts w:ascii="Arial" w:cs="Arial" w:eastAsia="Arial" w:hAnsi="Arial"/>
                <w:sz w:val="12"/>
                <w:szCs w:val="12"/>
                <w:b w:val="1"/>
                <w:bCs w:val="1"/>
                <w:color w:val="auto"/>
              </w:rPr>
              <w:t>Plan category</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1100"/>
              <w:spacing w:after="0"/>
              <w:rPr>
                <w:sz w:val="20"/>
                <w:szCs w:val="20"/>
                <w:color w:val="auto"/>
              </w:rPr>
            </w:pPr>
            <w:r>
              <w:rPr>
                <w:rFonts w:ascii="Arial" w:cs="Arial" w:eastAsia="Arial" w:hAnsi="Arial"/>
                <w:sz w:val="12"/>
                <w:szCs w:val="12"/>
                <w:b w:val="1"/>
                <w:bCs w:val="1"/>
                <w:color w:val="auto"/>
              </w:rPr>
              <w:t>(b)</w:t>
            </w:r>
          </w:p>
        </w:tc>
        <w:tc>
          <w:tcPr>
            <w:tcW w:w="200" w:type="dxa"/>
            <w:vAlign w:val="bottom"/>
          </w:tcPr>
          <w:p>
            <w:pPr>
              <w:spacing w:after="0"/>
              <w:rPr>
                <w:sz w:val="13"/>
                <w:szCs w:val="13"/>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(c)</w:t>
            </w:r>
          </w:p>
        </w:tc>
        <w:tc>
          <w:tcPr>
            <w:tcW w:w="120" w:type="dxa"/>
            <w:vAlign w:val="bottom"/>
          </w:tcPr>
          <w:p>
            <w:pPr>
              <w:spacing w:after="0"/>
              <w:rPr>
                <w:sz w:val="13"/>
                <w:szCs w:val="13"/>
                <w:color w:val="auto"/>
              </w:rPr>
            </w:pPr>
          </w:p>
        </w:tc>
      </w:tr>
      <w:tr>
        <w:trPr>
          <w:trHeight w:val="142"/>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2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3,964,800</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0.50</w:t>
            </w:r>
          </w:p>
        </w:tc>
        <w:tc>
          <w:tcPr>
            <w:tcW w:w="2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735,200</w:t>
            </w:r>
          </w:p>
        </w:tc>
        <w:tc>
          <w:tcPr>
            <w:tcW w:w="120" w:type="dxa"/>
            <w:vAlign w:val="bottom"/>
            <w:shd w:val="clear" w:color="auto" w:fill="CCEEFF"/>
          </w:tcPr>
          <w:p>
            <w:pPr>
              <w:spacing w:after="0"/>
              <w:rPr>
                <w:sz w:val="12"/>
                <w:szCs w:val="12"/>
                <w:color w:val="auto"/>
              </w:rPr>
            </w:pPr>
          </w:p>
        </w:tc>
      </w:tr>
      <w:tr>
        <w:trPr>
          <w:trHeight w:val="144"/>
        </w:trPr>
        <w:tc>
          <w:tcPr>
            <w:tcW w:w="3600" w:type="dxa"/>
            <w:vAlign w:val="bottom"/>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262,557</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0.58</w:t>
            </w:r>
          </w:p>
        </w:tc>
        <w:tc>
          <w:tcPr>
            <w:tcW w:w="200" w:type="dxa"/>
            <w:vAlign w:val="bottom"/>
          </w:tcPr>
          <w:p>
            <w:pPr>
              <w:spacing w:after="0"/>
              <w:rPr>
                <w:sz w:val="12"/>
                <w:szCs w:val="12"/>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82"/>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2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4,227,537</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0.50</w:t>
            </w:r>
          </w:p>
        </w:tc>
        <w:tc>
          <w:tcPr>
            <w:tcW w:w="2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735,200</w:t>
            </w:r>
          </w:p>
        </w:tc>
        <w:tc>
          <w:tcPr>
            <w:tcW w:w="120" w:type="dxa"/>
            <w:vAlign w:val="bottom"/>
            <w:shd w:val="clear" w:color="auto" w:fill="CCEEFF"/>
          </w:tcPr>
          <w:p>
            <w:pPr>
              <w:spacing w:after="0"/>
              <w:rPr>
                <w:sz w:val="15"/>
                <w:szCs w:val="15"/>
                <w:color w:val="auto"/>
              </w:rPr>
            </w:pPr>
          </w:p>
        </w:tc>
      </w:tr>
      <w:tr>
        <w:trPr>
          <w:trHeight w:val="543"/>
        </w:trPr>
        <w:tc>
          <w:tcPr>
            <w:tcW w:w="3600" w:type="dxa"/>
            <w:vAlign w:val="bottom"/>
            <w:tcBorders>
              <w:top w:val="single" w:sz="8" w:color="CCEEFF"/>
            </w:tcBorders>
          </w:tcPr>
          <w:p>
            <w:pPr>
              <w:spacing w:after="0"/>
              <w:rPr>
                <w:sz w:val="24"/>
                <w:szCs w:val="24"/>
                <w:color w:val="auto"/>
              </w:rPr>
            </w:pPr>
          </w:p>
        </w:tc>
        <w:tc>
          <w:tcPr>
            <w:tcW w:w="244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-71-</w:t>
            </w: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3600" w:type="dxa"/>
            <w:vAlign w:val="bottom"/>
            <w:tcBorders>
              <w:bottom w:val="single" w:sz="8" w:color="808080"/>
            </w:tcBorders>
          </w:tcPr>
          <w:p>
            <w:pPr>
              <w:spacing w:after="0"/>
              <w:rPr>
                <w:sz w:val="6"/>
                <w:szCs w:val="6"/>
                <w:color w:val="auto"/>
              </w:rPr>
            </w:pPr>
          </w:p>
        </w:tc>
        <w:tc>
          <w:tcPr>
            <w:tcW w:w="24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1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4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8" w:name="page79"/>
    <w:bookmarkEnd w:id="7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 OF FINANCIAL CONDITION AND RESULTS OF OPERATIONS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are a biotechnology company with expertise applying human pluripotent stem cell technology for drug rescue and regenerative medicine.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is based on a combination of proprietary and exclusively licensed stem cell technologies focused on controlling stem cell differentiation and production of multiple types of mature, functional, adult human cells from pluripotent stem cells, with emphasis on the human heart cells and liver cells, and using the cells we produce to design customized biological assay systems for drug discovery and drug rescue, as well as regenerative medicine applications.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With mature heart cells produced from stem cells, we have developed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 novel bioassay system for assessing potential cardiotoxicity of new drug candidates.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capable of predicting the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cardiac effects, both toxic and non-toxic, of small molecule drug candidates before they are ever tested in animals or humans. With mature, functional hepatocytes (liver cells) we have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novel human liver cell-based bioassay system, for assessing potential liver toxicity and adverse drug-drug interactions early in development. We are now focused on correlating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with small molecule drugs with reported clinical results involving liver toxicity, including drug-induced liver injury and metabolism issues that can result in serious adverse drug-drug interactions. We believe our novel, customized human pluripotent stem cell-derived bioassay systems will allow us to assess the heart and liver safety profile of new small molecule drug candidates with greater speed and precision than nonclinical surrogate safety testing models currently used in drug development.</w:t>
      </w:r>
    </w:p>
    <w:p>
      <w:pPr>
        <w:spacing w:after="0" w:line="12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Our drug rescue business model involves using our novel,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medicinal chemistry to generate and either develop internally or out-license to third-parties, new, potentially safer proprietary variants of once-promising small molecule drug candidates that pharmaceutical companies and others have discovered, optimized for efficacy and evaluated as having commercial potential, but ultimately discontinued prior to market approval due to unexpected heart or liver safety concerns. We refer to these once-promising drug candidates we believe are now suitable for our drug rescue programs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we refer to the new, potentially safer proprietary variants we intend to generate in our drug rescue programs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Our drug rescue strategy is to leverage substantial prior investment in the discovery and optimization of </w:t>
      </w:r>
      <w:r>
        <w:rPr>
          <w:rFonts w:ascii="Arial" w:cs="Arial" w:eastAsia="Arial" w:hAnsi="Arial"/>
          <w:sz w:val="11"/>
          <w:szCs w:val="11"/>
          <w:i w:val="1"/>
          <w:iCs w:val="1"/>
          <w:color w:val="auto"/>
        </w:rPr>
        <w:t>Drug Rescue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Candidates </w:t>
      </w:r>
      <w:r>
        <w:rPr>
          <w:rFonts w:ascii="Arial" w:cs="Arial" w:eastAsia="Arial" w:hAnsi="Arial"/>
          <w:sz w:val="11"/>
          <w:szCs w:val="11"/>
          <w:color w:val="auto"/>
        </w:rPr>
        <w:t>by pharmaceutical companies and others, unique and new heart and liver biology insight regarding such</w:t>
      </w:r>
      <w:r>
        <w:rPr>
          <w:rFonts w:ascii="Arial" w:cs="Arial" w:eastAsia="Arial" w:hAnsi="Arial"/>
          <w:sz w:val="11"/>
          <w:szCs w:val="11"/>
          <w:i w:val="1"/>
          <w:iCs w:val="1"/>
          <w:color w:val="auto"/>
        </w:rPr>
        <w:t xml:space="preserve"> Drug Rescue Candidates </w:t>
      </w:r>
      <w:r>
        <w:rPr>
          <w:rFonts w:ascii="Arial" w:cs="Arial" w:eastAsia="Arial" w:hAnsi="Arial"/>
          <w:sz w:val="11"/>
          <w:szCs w:val="11"/>
          <w:color w:val="auto"/>
        </w:rPr>
        <w:t>we generate by screening them in</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 and/or</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 contract medicinal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chemistry expertise to generate novel,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internal development or out-license to pharmaceutical companies and others for development and commercialization.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are utilizing the vast amount of information available in the public domain with respect to identification of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 may also seek to in-license or acquire rights to certain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from third-parties, including biotechnology, medicinal chemistry and pharmaceutical companies, contract research organizations, and academic, governmental and nonprofit research institutions. We anticipate having economic rights in each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produce and internally develop or out-license, including, in the case of out-licensed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customary up-front payments, development milestone payments and, if approved for commercial sale, royalty payments on sales.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addition to our drug rescue programs, upon completion of this Offering, we are planning to initiate several exploratory nonclinical development programs with Dr. Gordon Keller, one of the world’s most experienced stem cell research scientists, relating to differentiation and production of multiple cell types for regenerative medicine purposes, including stem cell-based small molecule drug discovery, with an emphasis on blood, bone, cartilage, heart, liver and pancreas (insulin-producing beta-islet) cells. Each of these exploratory regenerative medicine programs would be based on the proprietary controlled differentiation and production capabilities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9" w:name="page80"/>
    <w:bookmarkEnd w:id="7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With grant funding from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we have successfully completed Phase 1 development of AV-101. AV-101 is an orally-available, non-sedating small molecule prodrug candidate aimed at the multi-billion dollar neurological disease and disorders market, including neuropathic pain, a serious and chronic condition causing pain after an injury or disease of the peripheral or central nervous system, epilepsy, depression and Parkinson’s disease. We were awarded over $8.8 million of grant funding from the NIH to support our nonclinical and Phase I clinical development of AV-101 for neuropathic pain. We intend to seek potential strategic partnering alternatives for further clinical development and commercialization of AV-101 for neuropathic pain, epilepsy, depression and Parkinson’s disease.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We are in the development stage and, since inception, have devoted substantially all of our time and efforts to hPSC research and bioassay development, small molecule drug development, creating, protecting and patenting intellectual property, recruiting personnel and raising working capital. As of March 31, 2014, we had an accumulated deficit of $70.6 million. Our net loss for the years ended March 31, 2014 and 2013 was $3.0 million and $12.9 million, respectively. We expect these conditions to continue for the foreseeable future as we expand our drug rescue activities and the capabilities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platform.</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of Fiscal Year 2014</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During fiscal 2014, our scientific personnel have continued to expand the drug rescue capabilities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further develop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internal scientific operations were curtailed somewhat during our second fiscal quarter as we decommissioned our former lab space in preparation for our move to expanded lab and office facilities at the end of July 2013, and completed the corresponding relocation, recalibration and recertification of our laboratories and equipment following the move. Limited cash resources following the move, resulting in part from a third-party institutional investor’s failure to close the financing described below, continued to restrict certain scientific activities and collaborations for the remainder of the fiscal year. Nevertheless, we have continued to advance the drug rescue capabilities of our heart and liver cells and cellular assay systems and pursue our internal evaluation of prospective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Rescue Candidates</w:t>
      </w:r>
      <w:r>
        <w:rPr>
          <w:rFonts w:ascii="Arial" w:cs="Arial" w:eastAsia="Arial" w:hAnsi="Arial"/>
          <w:sz w:val="11"/>
          <w:szCs w:val="11"/>
          <w:color w:val="auto"/>
        </w:rPr>
        <w:t>. We successfully completed Phase 1 clinical development of AV-101 during our fiscal year ended March 31, 2013 and directed effort during the first quarter of fiscal 2014 to finalizing AV-101 Phase 1b clinical study</w:t>
      </w:r>
      <w:r>
        <w:rPr>
          <w:rFonts w:ascii="Arial" w:cs="Arial" w:eastAsia="Arial" w:hAnsi="Arial"/>
          <w:sz w:val="11"/>
          <w:szCs w:val="11"/>
          <w:i w:val="1"/>
          <w:iCs w:val="1"/>
          <w:color w:val="auto"/>
        </w:rPr>
        <w:t xml:space="preserve"> </w:t>
      </w:r>
      <w:r>
        <w:rPr>
          <w:rFonts w:ascii="Arial" w:cs="Arial" w:eastAsia="Arial" w:hAnsi="Arial"/>
          <w:sz w:val="11"/>
          <w:szCs w:val="11"/>
          <w:color w:val="auto"/>
        </w:rPr>
        <w:t>reports, as required under the terms of our NIH grant awards and to facilitate further collaborative development of AV-101.</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Throughout fiscal 2014, our executive management has been significantly focused on providing sufficient operating capital to advance our research and development objectives while meeting our continuing operational needs. To that end, in April 2013, we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an institutional investor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under which Autilion is contractually obligated to purchase an aggregate of 72.0 million restricted shares of our common stock at a purchase price of $0.50 per share for aggregate cash proceeds to us of $36.0 million (</w:t>
      </w:r>
      <w:r>
        <w:rPr>
          <w:rFonts w:ascii="Arial" w:cs="Arial" w:eastAsia="Arial" w:hAnsi="Arial"/>
          <w:sz w:val="12"/>
          <w:szCs w:val="12"/>
          <w:i w:val="1"/>
          <w:iCs w:val="1"/>
          <w:color w:val="auto"/>
        </w:rPr>
        <w:t>Autilion Financing</w:t>
      </w:r>
      <w:r>
        <w:rPr>
          <w:rFonts w:ascii="Arial" w:cs="Arial" w:eastAsia="Arial" w:hAnsi="Arial"/>
          <w:sz w:val="12"/>
          <w:szCs w:val="12"/>
          <w:color w:val="auto"/>
        </w:rPr>
        <w:t>). To date, Autilion has completed only a nominal closing under the Securities Purchase Agreement. Autilion is therefore in default under the Securities Purchase Agreement, and no assurances can be given that Autilion will consummate any further investments under the Securities Purchase Agreement.</w:t>
      </w:r>
    </w:p>
    <w:p>
      <w:pPr>
        <w:spacing w:after="0" w:line="14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To meet our working capital needs as a result of Autilion’s default under the Securities Purchase Agreement, during June and July 2013, we offered certain warrant holders the opportunity to exercise outstanding warrants having an exercise price of $1.50 per share to purchase shares of our restricted common stock at a reduced exercise price of $0.50 per share. Participating warrant holders exercised modified warrants to purchase an aggregate of 528,370 restricted shares of our common stock and we received cash proceeds of $264,200. In addition, certain long-term warrant holders exercised modified warrants to purchase 16,646 restricted shares of our common stock in lieu of payment by us in satisfaction of amounts due for professional services in the aggregate amount of $8,300. Additionally, in July 2013, we issued to Platinum Long Term Growth Fund VII, LLC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our largest institutional investor, a senior secured convertible note in the face amount of $250,000 (the </w:t>
      </w:r>
      <w:r>
        <w:rPr>
          <w:rFonts w:ascii="Arial" w:cs="Arial" w:eastAsia="Arial" w:hAnsi="Arial"/>
          <w:sz w:val="11"/>
          <w:szCs w:val="11"/>
          <w:i w:val="1"/>
          <w:iCs w:val="1"/>
          <w:color w:val="auto"/>
        </w:rPr>
        <w:t>July 2013 Note</w:t>
      </w:r>
      <w:r>
        <w:rPr>
          <w:rFonts w:ascii="Arial" w:cs="Arial" w:eastAsia="Arial" w:hAnsi="Arial"/>
          <w:sz w:val="11"/>
          <w:szCs w:val="11"/>
          <w:color w:val="auto"/>
        </w:rPr>
        <w:t>) and a five-year warrant to purchase 250,000 restricted shares of our common stock at an exercise price of $0.50 per share. Between August 2013 and March 14, 2014, we entered into securities purchase agreements with certain accredited investors pursuant to which we sold units of our securities (</w:t>
      </w:r>
      <w:r>
        <w:rPr>
          <w:rFonts w:ascii="Arial" w:cs="Arial" w:eastAsia="Arial" w:hAnsi="Arial"/>
          <w:sz w:val="11"/>
          <w:szCs w:val="11"/>
          <w:i w:val="1"/>
          <w:iCs w:val="1"/>
          <w:color w:val="auto"/>
        </w:rPr>
        <w:t>Units</w:t>
      </w:r>
      <w:r>
        <w:rPr>
          <w:rFonts w:ascii="Arial" w:cs="Arial" w:eastAsia="Arial" w:hAnsi="Arial"/>
          <w:sz w:val="11"/>
          <w:szCs w:val="11"/>
          <w:color w:val="auto"/>
        </w:rPr>
        <w:t>) consisting, in aggregate, of: (i) 10% convertible notes maturing on July 30, 2014 in the aggregate face amount of $1,007,500; (ii) an aggregate of 2,015,000 restricted shares of our common stock; and (iii) warrants exercisable through July 30, 2016 to purchase an aggregate of 2,015,000 restricted shares of our common stock at an exercise price of $1.00 per share. We received cash proceeds of $1,007,500 from the sale of the Units, including $50,000 in lieu of repayment of previous advances made to us by one of our executive officers.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0" w:name="page81"/>
    <w:bookmarkEnd w:id="8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late-March 2014 and July 1, 2014, we entered into subscription agreements with accredited investors, including Platinum, pursuant to which we sold Units consisting, in aggregate, of: (i) 10% convertible notes maturing on March 31, 2015 in the aggregate face amount of $1,570,000; (ii) an aggregate of 1,570,000 restricted shares of our common stock; and (iii) warrants exercisable through December 31, 2016 to purchase an aggregate of 1,570,000 restricted shares of our common stock at an exercise price of $0.50 per share.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Given our working capital constraints during fiscal 2014, we attempted to minimize cash commitments and expenditures for external research and development and general and administrative services to the greatest extent possible, particularly during the later portion of the fiscal year. The following table summarizes the results of our operations for the fiscal years ended March 31, 2014 and 2013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2014</w:t>
            </w:r>
          </w:p>
        </w:tc>
        <w:tc>
          <w:tcPr>
            <w:tcW w:w="1060" w:type="dxa"/>
            <w:vAlign w:val="bottom"/>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Grant revenue</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2,481</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ind w:left="60"/>
              <w:spacing w:after="0"/>
              <w:rPr>
                <w:sz w:val="20"/>
                <w:szCs w:val="20"/>
                <w:color w:val="auto"/>
              </w:rPr>
            </w:pPr>
            <w:r>
              <w:rPr>
                <w:rFonts w:ascii="Arial" w:cs="Arial" w:eastAsia="Arial" w:hAnsi="Arial"/>
                <w:sz w:val="12"/>
                <w:szCs w:val="12"/>
                <w:color w:val="auto"/>
              </w:rPr>
              <w:t>Total operating expenses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5,029</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(5,029)</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Other expenses, net:</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 net</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(1,503)</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Change in warrant liabilities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3,567</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on early extinguishment of debt</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Other income</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(2,965)</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Income taxes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8840" w:type="dxa"/>
            <w:vAlign w:val="bottom"/>
          </w:tcPr>
          <w:p>
            <w:pPr>
              <w:ind w:left="60"/>
              <w:spacing w:after="0"/>
              <w:rPr>
                <w:sz w:val="20"/>
                <w:szCs w:val="20"/>
                <w:color w:val="auto"/>
              </w:rPr>
            </w:pPr>
            <w:r>
              <w:rPr>
                <w:rFonts w:ascii="Arial" w:cs="Arial" w:eastAsia="Arial" w:hAnsi="Arial"/>
                <w:sz w:val="12"/>
                <w:szCs w:val="12"/>
                <w:color w:val="auto"/>
              </w:rPr>
              <w:t>Deemed dividend on Series A Preferred Stock</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We have successfully completed our Phase I development of AV-101, our prodrug candidate for the treatment of neuropathic pain and, potentially, depression, epilepsy and Parkinson’s disease. Our NIH grant related to AV-101 expired in its normal course on June 30, 2012. We had drawn the maximum amount available under the grant prior to its expiration. Revenue associated with our earlier subcontract research arrangement terminated in May 2012. We had no other grant or contract revenue sources during the fiscal year ended March 31, 2014.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1" w:name="page82"/>
    <w:bookmarkEnd w:id="8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Research and development expense represented approximately 49% of our operating expenses for each of the years ended March 31, 2014 and 2013. Research and development costs are expensed as incurred. Research and development expense consists of both internal and external expenses incurred in sponsored stem cell research and drug development activities, costs associated with the development of AV-101 and costs related to the licensing, application and prosecution of our intellectual property. These expenses primarily consist of the following:</w:t>
      </w:r>
    </w:p>
    <w:p>
      <w:pPr>
        <w:spacing w:after="0" w:line="141" w:lineRule="exact"/>
        <w:rPr>
          <w:sz w:val="20"/>
          <w:szCs w:val="20"/>
          <w:color w:val="auto"/>
        </w:rPr>
      </w:pPr>
    </w:p>
    <w:p>
      <w:pPr>
        <w:ind w:left="740" w:hanging="411"/>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salaries, benefits, including stock-based compensation costs, travel and related expense for personnel associated with research and development activities;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fees to contract research organizations and other professional service providers for services related to the conduct and analysis of clinical trials and other development activities;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fees to third parties for access to licensed technology and costs associated with securing and maintaining patents related to such licensed technology and our internally generated inventions: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laboratory supplies and materials;</w:t>
      </w:r>
    </w:p>
    <w:p>
      <w:pPr>
        <w:spacing w:after="0" w:line="168" w:lineRule="exact"/>
        <w:rPr>
          <w:rFonts w:ascii="Arial" w:cs="Arial" w:eastAsia="Arial" w:hAnsi="Arial"/>
          <w:sz w:val="12"/>
          <w:szCs w:val="12"/>
          <w:color w:val="auto"/>
        </w:rPr>
      </w:pPr>
    </w:p>
    <w:p>
      <w:pPr>
        <w:ind w:left="740" w:hanging="416"/>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leasing and depreciation of laboratory equipment; and</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allocated costs of facilities and infrastructure.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General and administrative expense consists primarily of salaries and related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both fiscal 2014 and 2013, we incurred interest expense, including discount amortization with respect to certain notes, on the outstanding balances of our Senior Secured Convertible Promissory Notes issued to Platinum during fiscal 2013 and in July 2013, on the new and modified notes issued to Morrison &amp; Foerster, Cato Research Ltd. and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during August and September 2012, and on various notes issued to certain service providers during fiscal years 2011 and 2012. Additionally, in fiscal 2014, we incurred interest expense and related discount amortization attributable to the convertible notes issued in connection with the sale of Units between August 2013 and March 2014. In fiscal 2013, we incurred non-cash losses on extinguishment of debt resulting from the modification of indebtedness to Platinum, Morrison &amp; Foerster, Cato Research Ltd., and UHN, as well as the conversion by the holders of our 12% Convertible Promissory Notes issued in February 2012 into restricted shares of our common stock and warrants in November 2012. In fiscal 2014 and 2013, we recorded income and expense, respectively, related to the changes in the fair values of the warrants issued or issuable in connection with the various Senior Secured Convertible Promissory Notes issued to Platinum during fiscal 2013 and 2014.</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fiscal 2013, we also recorded a non-cash deemed dividend related to the modification of the exchange rights of our Series A Preferred Stock held by Platinum and the impact of the prospective issuance of a five-year warrant to purchase restricted shares of our common stock upon Platinum’s exercise of its Series A Preferred Stock exchange rights.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2" w:name="page83"/>
    <w:bookmarkEnd w:id="8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72" w:lineRule="exact"/>
        <w:rPr>
          <w:sz w:val="20"/>
          <w:szCs w:val="20"/>
          <w:color w:val="auto"/>
        </w:rPr>
      </w:pPr>
    </w:p>
    <w:p>
      <w:pPr>
        <w:jc w:val="both"/>
        <w:ind w:left="8"/>
        <w:spacing w:after="0" w:line="327" w:lineRule="auto"/>
        <w:rPr>
          <w:sz w:val="20"/>
          <w:szCs w:val="20"/>
          <w:color w:val="auto"/>
        </w:rPr>
      </w:pPr>
      <w:r>
        <w:rPr>
          <w:rFonts w:ascii="Arial" w:cs="Arial" w:eastAsia="Arial" w:hAnsi="Arial"/>
          <w:sz w:val="10"/>
          <w:szCs w:val="10"/>
          <w:color w:val="auto"/>
        </w:rPr>
        <w:t>We consider certain accounting policies related to revenue recognition, impairment of long-lived assets, research and development, stock-based compensation,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0"/>
          <w:szCs w:val="10"/>
          <w:i w:val="1"/>
          <w:iCs w:val="1"/>
          <w:color w:val="auto"/>
        </w:rPr>
        <w:t>GAAP</w:t>
      </w:r>
      <w:r>
        <w:rPr>
          <w:rFonts w:ascii="Arial" w:cs="Arial" w:eastAsia="Arial" w:hAnsi="Arial"/>
          <w:sz w:val="10"/>
          <w:szCs w:val="10"/>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Revenue Recognition</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1"/>
          <w:szCs w:val="11"/>
          <w:i w:val="1"/>
          <w:iCs w:val="1"/>
          <w:color w:val="auto"/>
        </w:rPr>
        <w:t>Revenue Recognition Revised and Updated</w:t>
      </w:r>
      <w:r>
        <w:rPr>
          <w:rFonts w:ascii="Arial" w:cs="Arial" w:eastAsia="Arial" w:hAnsi="Arial"/>
          <w:sz w:val="11"/>
          <w:szCs w:val="11"/>
          <w:color w:val="auto"/>
        </w:rPr>
        <w:t xml:space="preserve"> (</w:t>
      </w:r>
      <w:r>
        <w:rPr>
          <w:rFonts w:ascii="Arial" w:cs="Arial" w:eastAsia="Arial" w:hAnsi="Arial"/>
          <w:sz w:val="11"/>
          <w:szCs w:val="11"/>
          <w:i w:val="1"/>
          <w:iCs w:val="1"/>
          <w:color w:val="auto"/>
        </w:rPr>
        <w:t>SAB 104</w:t>
      </w:r>
      <w:r>
        <w:rPr>
          <w:rFonts w:ascii="Arial" w:cs="Arial" w:eastAsia="Arial" w:hAnsi="Arial"/>
          <w:sz w:val="11"/>
          <w:szCs w:val="11"/>
          <w:color w:val="auto"/>
        </w:rPr>
        <w:t>) and Accounting Standards Codification (</w:t>
      </w:r>
      <w:r>
        <w:rPr>
          <w:rFonts w:ascii="Arial" w:cs="Arial" w:eastAsia="Arial" w:hAnsi="Arial"/>
          <w:sz w:val="11"/>
          <w:szCs w:val="11"/>
          <w:i w:val="1"/>
          <w:iCs w:val="1"/>
          <w:color w:val="auto"/>
        </w:rPr>
        <w:t>ASC</w:t>
      </w:r>
      <w:r>
        <w:rPr>
          <w:rFonts w:ascii="Arial" w:cs="Arial" w:eastAsia="Arial" w:hAnsi="Arial"/>
          <w:sz w:val="11"/>
          <w:szCs w:val="11"/>
          <w:color w:val="auto"/>
        </w:rPr>
        <w:t xml:space="preserve">) 605-25, </w:t>
      </w:r>
      <w:r>
        <w:rPr>
          <w:rFonts w:ascii="Arial" w:cs="Arial" w:eastAsia="Arial" w:hAnsi="Arial"/>
          <w:sz w:val="11"/>
          <w:szCs w:val="11"/>
          <w:i w:val="1"/>
          <w:iCs w:val="1"/>
          <w:color w:val="auto"/>
        </w:rPr>
        <w:t>Revenue Arrangements-Multiple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Element Arrangements </w:t>
      </w:r>
      <w:r>
        <w:rPr>
          <w:rFonts w:ascii="Arial" w:cs="Arial" w:eastAsia="Arial" w:hAnsi="Arial"/>
          <w:sz w:val="11"/>
          <w:szCs w:val="11"/>
          <w:color w:val="auto"/>
        </w:rPr>
        <w:t>(</w:t>
      </w:r>
      <w:r>
        <w:rPr>
          <w:rFonts w:ascii="Arial" w:cs="Arial" w:eastAsia="Arial" w:hAnsi="Arial"/>
          <w:sz w:val="11"/>
          <w:szCs w:val="11"/>
          <w:i w:val="1"/>
          <w:iCs w:val="1"/>
          <w:color w:val="auto"/>
        </w:rPr>
        <w:t>ASC 605-25</w:t>
      </w:r>
      <w:r>
        <w:rPr>
          <w:rFonts w:ascii="Arial" w:cs="Arial" w:eastAsia="Arial" w:hAnsi="Arial"/>
          <w:sz w:val="11"/>
          <w:szCs w:val="11"/>
          <w:color w:val="auto"/>
        </w:rPr>
        <w:t>). Revenue for arrangements not having multiple deliverables, as outlined in ASC 605-25, is recognized once costs are incurred and collectability is reasonably assured.</w:t>
      </w:r>
    </w:p>
    <w:p>
      <w:pPr>
        <w:spacing w:after="0" w:line="12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2"/>
          <w:szCs w:val="12"/>
          <w:i w:val="1"/>
          <w:iCs w:val="1"/>
          <w:color w:val="auto"/>
        </w:rPr>
        <w:t>VSOE</w:t>
      </w:r>
      <w:r>
        <w:rPr>
          <w:rFonts w:ascii="Arial" w:cs="Arial" w:eastAsia="Arial" w:hAnsi="Arial"/>
          <w:sz w:val="12"/>
          <w:szCs w:val="12"/>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41"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428" w:hanging="428"/>
        <w:spacing w:after="0" w:line="281" w:lineRule="auto"/>
        <w:tabs>
          <w:tab w:leader="none" w:pos="428" w:val="left"/>
        </w:tabs>
        <w:numPr>
          <w:ilvl w:val="0"/>
          <w:numId w:val="40"/>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428" w:hanging="428"/>
        <w:spacing w:after="0" w:line="263" w:lineRule="auto"/>
        <w:tabs>
          <w:tab w:leader="none" w:pos="4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4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83" w:name="page84"/>
    <w:bookmarkEnd w:id="8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accordance with ASC 360-10</w:t>
      </w:r>
      <w:r>
        <w:rPr>
          <w:rFonts w:ascii="Arial" w:cs="Arial" w:eastAsia="Arial" w:hAnsi="Arial"/>
          <w:sz w:val="12"/>
          <w:szCs w:val="12"/>
          <w:i w:val="1"/>
          <w:iCs w:val="1"/>
          <w:color w:val="auto"/>
        </w:rPr>
        <w:t>, Property, Plant &amp; Equipment—Overall</w:t>
      </w:r>
      <w:r>
        <w:rPr>
          <w:rFonts w:ascii="Arial" w:cs="Arial" w:eastAsia="Arial" w:hAnsi="Arial"/>
          <w:sz w:val="12"/>
          <w:szCs w:val="12"/>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our lead drug candidate, and costs related to application and prosecution of patents related to our stem cell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and AV-101. All such costs are charged to expense as incurred.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account for stock-based payment arrangements in accordance with ASC 718, </w:t>
      </w: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 xml:space="preserve"> and ASC 505-50, </w:t>
      </w:r>
      <w:r>
        <w:rPr>
          <w:rFonts w:ascii="Arial" w:cs="Arial" w:eastAsia="Arial" w:hAnsi="Arial"/>
          <w:sz w:val="12"/>
          <w:szCs w:val="12"/>
          <w:i w:val="1"/>
          <w:iCs w:val="1"/>
          <w:color w:val="auto"/>
        </w:rPr>
        <w:t>Equity-Equity Based Payments to Non-Employees</w:t>
      </w:r>
      <w:r>
        <w:rPr>
          <w:rFonts w:ascii="Arial" w:cs="Arial" w:eastAsia="Arial" w:hAnsi="Arial"/>
          <w:sz w:val="12"/>
          <w:szCs w:val="12"/>
          <w:color w:val="auto"/>
        </w:rPr>
        <w:t xml:space="preserve"> which requires the recognition of compensation expense, using a fair-value based method, for all costs related to stock-based payments including stock options and restricted stock awards. We recognize compensation cost for all share-based awards to employees based on their grant date fair value. Share-based compensation expense is recognized over the period during which the employee is required to perform service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terms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See Note 3 to the consolidated financial statements included elsewhere in this prospectus for information on recent accounting pronouncements.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8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Results of Operations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Comparison of Years Ended March 31, 2014 and 2013</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i w:val="1"/>
                <w:iCs w:val="1"/>
                <w:color w:val="auto"/>
              </w:rPr>
              <w:t>Revenue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color w:val="auto"/>
              </w:rPr>
              <w:t>The following table compares our primary revenue sources between the periods (in thousands):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color w:val="auto"/>
              </w:rPr>
              <w:t>Fiscal Years Ended March 31,</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920" w:type="dxa"/>
            <w:vAlign w:val="bottom"/>
          </w:tcPr>
          <w:p>
            <w:pPr>
              <w:jc w:val="right"/>
              <w:ind w:right="165"/>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2013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NIH - AV-101 grant</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Subcontract revenue</w:t>
            </w: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Total Revenue</w:t>
            </w:r>
          </w:p>
        </w:tc>
        <w:tc>
          <w:tcPr>
            <w:tcW w:w="920" w:type="dxa"/>
            <w:vAlign w:val="bottom"/>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We have successfully completed our Phase I development of AV-101, our prodrug candidate for the treatment of neuropathic pain and, potentially, depression and other neurological conditions. Our NIH grant related to AV-101 expired in its normal course on June 30, 2012. We had drawn the maximum amount available under the grant prior to its expiration. Revenue associated with our earlier subcontract research arrangement terminated in May 2012.</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Research and development expense decreased by 28% or $900,000 to $2.5 million in fiscal 2014 compared to $3.4 million in fiscal 2013. The following table compares the primary components of research and development expense between the periods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UHN research under SRCA</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Consulting services</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Technology licenses and royalties</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Project-related third-party research and supplies:</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AV-101</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All other including CardioSafe and LiverSafe</w:t>
            </w:r>
          </w:p>
        </w:tc>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Rent</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All other</w:t>
            </w:r>
          </w:p>
        </w:tc>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Total Research and Development Expense</w:t>
            </w:r>
          </w:p>
        </w:tc>
        <w:tc>
          <w:tcPr>
            <w:tcW w:w="5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2,481</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860" w:type="dxa"/>
            <w:vAlign w:val="bottom"/>
            <w:vMerge w:val="restart"/>
          </w:tcPr>
          <w:p>
            <w:pPr>
              <w:jc w:val="right"/>
              <w:ind w:right="2940"/>
              <w:spacing w:after="0"/>
              <w:rPr>
                <w:sz w:val="20"/>
                <w:szCs w:val="20"/>
                <w:color w:val="auto"/>
              </w:rPr>
            </w:pPr>
            <w:r>
              <w:rPr>
                <w:rFonts w:ascii="Arial" w:cs="Arial" w:eastAsia="Arial" w:hAnsi="Arial"/>
                <w:sz w:val="12"/>
                <w:szCs w:val="12"/>
                <w:color w:val="auto"/>
              </w:rPr>
              <w:t>-78-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60" w:type="dxa"/>
            <w:vAlign w:val="bottom"/>
            <w:tcBorders>
              <w:bottom w:val="single" w:sz="8" w:color="808080"/>
            </w:tcBorders>
          </w:tcPr>
          <w:p>
            <w:pPr>
              <w:spacing w:after="0"/>
              <w:rPr>
                <w:sz w:val="6"/>
                <w:szCs w:val="6"/>
                <w:color w:val="auto"/>
              </w:rPr>
            </w:pPr>
          </w:p>
        </w:tc>
        <w:tc>
          <w:tcPr>
            <w:tcW w:w="48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85" w:name="page86"/>
    <w:bookmarkEnd w:id="8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The increase in research and development salaries and benefits expense reflects the impact of (i) the addition of a research technician in April 2013; (ii) the partial restoration in April 2013 of an earlier voluntary salary reduction to below his contractual pay rates taken by our President and Chief Scientific Officer; and (iii) general annual increases in employee benefits costs. In addition to the ratable amortization of stock-based compensation expense over the requisite service period of the respective grants made in fiscal 2014 and in prior years, stock-based compensation expense for fiscal 2014 includes approximately $82,000 as the impact of October 2013 and December 2013 modifications to reduce the exercise price of certain outstanding option grants to $0.40 per share or $0.50 per share, as well as approximately $157,000 attributable to the expense resulting from the March 2014 and March 2013 grants of warrants to our President and Chief Scientific Officer that vest over three years, subject to certain vesting acceleration events. Stock-based compensation expense for fiscal 2013 includes approximately $89,000 from the impact of October 2012 modifications reducing the exercise price to $0.75 per share and reducing any remaining vesting period to two years for certain option grants having exercise prices between $1.13 per share and $2.58 per share made to certain scientific employees and consultants in prior years and approximately $268,000 attributable to the expense resulting from the March 2013 grant of a warrant to our President and Chief Scientific Officer. Our 2012/2013 sponsored research project budget under the collaboration agreement with Dr. Gordon Keller’s laboratory at UHN ended on September 30, 2013. We are currently in discussions with Dr. Keller and UHN regarding the scope of our 2013/2014 sponsored research project budget under the agreement, and we anticipate finalizing such budget in the near term. The expense recorded in fiscal 2013 reflects our stem cell research collaboration in accordance with our agreements with UHN made in the third and fourth quarters of our fiscal year ended March 31, 2012 and in a further modification effective beginning in October 2012. Technology license expense increased significantly in fiscal 2014 as a result of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completing them by mid-year 2012. We recorded significant expense related to the trials during fiscal 2013. AV-101 expenses in fiscal 2014 reflect the costs associated with finalizing the AV-101 clinical trial results, preparing the final clinical trial and other reports required under the terms of the NIH grant and monitoring for feedback related to the reports, activities performed primarily through our contract research collaborator, Cato Research Ltd. We do not track internal research and development expenses, including compensation costs, by project as we do not currently believe that such project accounting is necessary given the level and overlap of project resources, including staffing, that are dedicated to our internal research and development projects. The increase in rent expense and depreciation in fiscal 2014 reflects increased rental costs and the amortization of tenant improvements related to our relocation to expanded facilities in late-July 2013.</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General and administrative expense decreased by 29% or $1.0 million to $2.5 million in fiscal 2014 compared to $3.6 million in fiscal 2013. The following table compares the primary components of general and administrative expense between the periods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color w:val="auto"/>
              </w:rPr>
              <w:t>Fiscal Years Ended March 31,</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2014</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2013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7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684</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731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340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Insurance</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Rent and utilities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139</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All other expenses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143</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574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2,548</w:t>
            </w:r>
          </w:p>
        </w:tc>
        <w:tc>
          <w:tcPr>
            <w:tcW w:w="100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940" w:type="dxa"/>
            <w:vAlign w:val="bottom"/>
            <w:vMerge w:val="restart"/>
          </w:tcPr>
          <w:p>
            <w:pPr>
              <w:jc w:val="right"/>
              <w:ind w:right="2940"/>
              <w:spacing w:after="0"/>
              <w:rPr>
                <w:sz w:val="20"/>
                <w:szCs w:val="20"/>
                <w:color w:val="auto"/>
              </w:rPr>
            </w:pPr>
            <w:r>
              <w:rPr>
                <w:rFonts w:ascii="Arial" w:cs="Arial" w:eastAsia="Arial" w:hAnsi="Arial"/>
                <w:sz w:val="12"/>
                <w:szCs w:val="12"/>
                <w:color w:val="auto"/>
              </w:rPr>
              <w:t>-79-</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49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6" w:name="page87"/>
    <w:bookmarkEnd w:id="8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07" w:lineRule="auto"/>
        <w:rPr>
          <w:sz w:val="20"/>
          <w:szCs w:val="20"/>
          <w:color w:val="auto"/>
        </w:rPr>
      </w:pPr>
      <w:r>
        <w:rPr>
          <w:rFonts w:ascii="Arial" w:cs="Arial" w:eastAsia="Arial" w:hAnsi="Arial"/>
          <w:sz w:val="10"/>
          <w:szCs w:val="10"/>
          <w:color w:val="auto"/>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consultant to employee status, and (iv) general annual increases in employee benefits costs; all offset by the impact of voluntary resignations of certain administrative personnel. In addition to the ratable amortization of stock-based compensation expense over the requisite service period of the respective grants made in fiscal 2014 and in prior years, stock-based compensation expense for fiscal 2014 includes approximately $170,000 as the impact of October 2013 and December 2013 modifications to reduce the exercise price of certain outstanding option grants to $0.40 per share or $0.50 per share, as well as approximately $299,000 attributable to the expense resulting from the March 2014 and March 2013 grants of warrants vesting over three years, subject to certain vesting acceleration events, to certain members of our senior management and to the independent members of our Board of Directors. Stock-based compensation expense for fiscal 2013 includes approximately $44,000 reflecting the impact of October 2012 modifications reducing the exercise price to $0.75 per share and reducing any remaining vesting period to two years for certain option grants having exercise prices between $1.13 per share and $2.58 per share made to certain administrative employees and consultants in prior years, and approximately $535,000 attributable to the expense resulting from the March 2013 grants of warrants to certain members of our senior management and to the independent members of our Board of Directors. The reduction in legal, accounting and other professional fees reflects the impact of converting our Chief Financial Officer from part-time consultant to full-time employee status, as noted above, a reduction in legal expenses and the absence in fiscal 2014 of non-cash expense related to the granting of warrants to certain administrative consultants and service providers. During fiscal 2013, we engaged third parties to provide us with investor relations services and to conduct market awareness initiatives, however, for strategic purposes, we significantly scaled back those initiatives during fiscal 2014. The fiscal 2014 increase in rent and utilities expenses reflects higher costs related to our relocation to expanded facilities in late-July 2013. Warrant modification expense for fiscal 2014 reflects the impact of October 2013, December 2013 and February 2014 strategic reductions in the exercise price of certain outstanding warrants, generally from $1.75 per share or $1.50 per share, to $0.50 per share, and in certain cases, the extension of the term of outstanding warrants by approximately one year. In fiscal 2013, we recorded warrant modification expense also related to the reduction of the exercise price of certain outstanding warrants. The increase in other expenses for 2013 includes one-time costs associated with our late-July 2013 relocation to new facilities.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both fiscal 2014 and 2013, other expenses, net includes interest expense, including non-cash discount amortization, on our outstanding promissory notes, net of interest income, as well as the non-cash impact of changes in the fair value of the warrant liabilities related to warrants issued or issuable to Platinum as a result of the October 2012 Agreement with Platinum, as amended, and, in fiscal 2014, the warrant issued to Platinum in July 2013. In fiscal 2013, other expenses, net additionally includes the non-cash loss on extinguishment of debt resulting from the modification of indebtedness to Platinum, Morrison &amp; Foerster, Cato Research Ltd., and University Health Network, as well as the conversion by the holders of our 12% Convertible Promissory Notes issued in February 2012 into restricted shares of our common stock and warrants in November 2012.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60" w:type="dxa"/>
            <w:vAlign w:val="bottom"/>
            <w:gridSpan w:val="2"/>
          </w:tcPr>
          <w:p>
            <w:pPr>
              <w:spacing w:after="0"/>
              <w:rPr>
                <w:sz w:val="20"/>
                <w:szCs w:val="20"/>
                <w:color w:val="auto"/>
              </w:rPr>
            </w:pPr>
            <w:r>
              <w:rPr>
                <w:rFonts w:ascii="Arial" w:cs="Arial" w:eastAsia="Arial" w:hAnsi="Arial"/>
                <w:sz w:val="12"/>
                <w:szCs w:val="12"/>
                <w:color w:val="auto"/>
                <w:w w:val="91"/>
              </w:rPr>
              <w:t>The following table compares the primary components of net interest expense between the periods (in thousands):</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on promissory notes, including discount amortization</w:t>
            </w:r>
          </w:p>
        </w:tc>
        <w:tc>
          <w:tcPr>
            <w:tcW w:w="3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fair value of replacement warrants issued in connection</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with exercise of modified warrants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related to losses on accounts payable settled by issuance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of common stock or notes payable</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investment banker warrants related to February 2012 Convertible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promissory notes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legal fees related to issuance of Senior Secured Promissory</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Notes to Platinum under June and October 2012 agreements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(49)</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tcBorders>
              <w:top w:val="single" w:sz="8" w:color="CCEEFF"/>
            </w:tcBorders>
          </w:tcPr>
          <w:p>
            <w:pPr>
              <w:spacing w:after="0"/>
              <w:rPr>
                <w:sz w:val="12"/>
                <w:szCs w:val="12"/>
                <w:color w:val="auto"/>
              </w:rPr>
            </w:pPr>
          </w:p>
        </w:tc>
        <w:tc>
          <w:tcPr>
            <w:tcW w:w="32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3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5540" w:type="dxa"/>
            <w:vAlign w:val="bottom"/>
            <w:tcBorders>
              <w:top w:val="single" w:sz="8" w:color="CCEEFF"/>
            </w:tcBorders>
          </w:tcPr>
          <w:p>
            <w:pPr>
              <w:spacing w:after="0"/>
              <w:rPr>
                <w:sz w:val="24"/>
                <w:szCs w:val="24"/>
                <w:color w:val="auto"/>
              </w:rPr>
            </w:pPr>
          </w:p>
        </w:tc>
        <w:tc>
          <w:tcPr>
            <w:tcW w:w="3280" w:type="dxa"/>
            <w:vAlign w:val="bottom"/>
            <w:tcBorders>
              <w:top w:val="single" w:sz="8" w:color="CCEEFF"/>
            </w:tcBorders>
          </w:tcPr>
          <w:p>
            <w:pPr>
              <w:jc w:val="right"/>
              <w:ind w:right="2940"/>
              <w:spacing w:after="0"/>
              <w:rPr>
                <w:sz w:val="20"/>
                <w:szCs w:val="20"/>
                <w:color w:val="auto"/>
              </w:rPr>
            </w:pPr>
            <w:r>
              <w:rPr>
                <w:rFonts w:ascii="Arial" w:cs="Arial" w:eastAsia="Arial" w:hAnsi="Arial"/>
                <w:sz w:val="12"/>
                <w:szCs w:val="12"/>
                <w:color w:val="auto"/>
              </w:rPr>
              <w:t>-80-</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540" w:type="dxa"/>
            <w:vAlign w:val="bottom"/>
            <w:tcBorders>
              <w:bottom w:val="single" w:sz="8" w:color="808080"/>
            </w:tcBorders>
          </w:tcPr>
          <w:p>
            <w:pPr>
              <w:spacing w:after="0"/>
              <w:rPr>
                <w:sz w:val="6"/>
                <w:szCs w:val="6"/>
                <w:color w:val="auto"/>
              </w:rPr>
            </w:pPr>
          </w:p>
        </w:tc>
        <w:tc>
          <w:tcPr>
            <w:tcW w:w="32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7" w:name="page88"/>
    <w:bookmarkEnd w:id="8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in the Consolidated Financial Statements included elsewhere in this prospectus.</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and in connection with the similar senior secured convertible promissory note and related warrant issued to Platinum in July 2013, (as described more completely in Note 9, </w:t>
      </w:r>
      <w:r>
        <w:rPr>
          <w:rFonts w:ascii="Arial" w:cs="Arial" w:eastAsia="Arial" w:hAnsi="Arial"/>
          <w:sz w:val="11"/>
          <w:szCs w:val="11"/>
          <w:i w:val="1"/>
          <w:iCs w:val="1"/>
          <w:color w:val="auto"/>
        </w:rPr>
        <w:t>Convertible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Promissory Notes and Other Notes Payable, </w:t>
      </w:r>
      <w:r>
        <w:rPr>
          <w:rFonts w:ascii="Arial" w:cs="Arial" w:eastAsia="Arial" w:hAnsi="Arial"/>
          <w:sz w:val="11"/>
          <w:szCs w:val="11"/>
          <w:color w:val="auto"/>
        </w:rPr>
        <w:t>in the Consolidated Financial Statements included elsewhere in this prospectus), and the contingent issuance of the Series A Exchange Warrant to Platinum upon Platinum’s exchange of shares</w:t>
      </w:r>
      <w:r>
        <w:rPr>
          <w:rFonts w:ascii="Arial" w:cs="Arial" w:eastAsia="Arial" w:hAnsi="Arial"/>
          <w:sz w:val="11"/>
          <w:szCs w:val="11"/>
          <w:i w:val="1"/>
          <w:iCs w:val="1"/>
          <w:color w:val="auto"/>
        </w:rPr>
        <w:t xml:space="preserve"> </w:t>
      </w:r>
      <w:r>
        <w:rPr>
          <w:rFonts w:ascii="Arial" w:cs="Arial" w:eastAsia="Arial" w:hAnsi="Arial"/>
          <w:sz w:val="11"/>
          <w:szCs w:val="11"/>
          <w:color w:val="auto"/>
        </w:rPr>
        <w:t>of our Series A Preferred held by Platinum into shares of our common stock,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fiscal 2014, we recognized non-cash income of $3,566,900 related to the net decrease in the estimated fair value of these liabilities since March 31, 2013, or issuance in the case of the warrant issued in July 2013, which resulted from a combination of both the decrease in the market price of our common stock during that period and an agreement with Platinum in May 2013 pursuant to which the stated exercise price of the warrants was reduced from $1.50 per share to $0.50 per share. During fiscal 2013, we recognized non-cash expense of $1,635,800 attributable to the net increase in the fair value of these liabilities between the issuance date of the warrants and March 31, 2013, primarily as the result of the increase in the market price of our common stock during that period.</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During fiscal 2013, we recognized non-cash losses on the early extinguishment of debt in the aggregate amount of $3.6 million primarily as a result of the restructuring of notes payable to Platinum and Cato Holding Company, and the restructuring of accounts payable to Cato Research, Ltd. and UHN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in the Consolidated Financial Statements included elsewhere in this prospectus.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 fiscal 2013, in connection with the October 2012 Note Exchange and Purchase Agreement we entered with Platinum, as described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10, </w:t>
      </w:r>
      <w:r>
        <w:rPr>
          <w:rFonts w:ascii="Arial" w:cs="Arial" w:eastAsia="Arial" w:hAnsi="Arial"/>
          <w:sz w:val="12"/>
          <w:szCs w:val="12"/>
          <w:i w:val="1"/>
          <w:iCs w:val="1"/>
          <w:color w:val="auto"/>
        </w:rPr>
        <w:t>Capital Stock</w:t>
      </w:r>
      <w:r>
        <w:rPr>
          <w:rFonts w:ascii="Arial" w:cs="Arial" w:eastAsia="Arial" w:hAnsi="Arial"/>
          <w:sz w:val="12"/>
          <w:szCs w:val="12"/>
          <w:color w:val="auto"/>
        </w:rPr>
        <w:t>, in the Consolidated Financial Statements included elsewhere in this prospectus, we recorded a non-cash deemed dividend of $10.2 million as a result of the modification of the exchange rights for the Series A Preferred held by Platinum and the related contingent issuance of a five-year warrant to purchase shares of our common stock upon Platinum’s exercise of its Series A Preferred exchange rights.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Since our inception in May 1998 through March 31, 2014, we have financed our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we have issued equity securities with an approximate aggregate value at issuance of $12.6 million, primarily as compensation for professional services rendered to us since inception. At March 31, 2014, we had negligible cash and cash equivalents. To meet our cash needs and fund our working capital requirements after March 31, 2014 and prior to the expected completion of the Autilion Financing or an alternate debt- or equity-based financing, through July 1, 2014, we entered into securities purchase agreements with accredited investors pursuant to which we sold to such accredited investors certain Units for aggregate cash proceeds of $1,520,000, consisting of: (i) 10% subordinate convertible promissory notes in the aggregate face amount of $1,520,000 maturing on March 31, 2015; (ii) an aggregate of 1,520,000 restricted shares of our common stock; and (iii) warrants exercisable through December 31, 2016 to purchase an aggregate of 1,520,000 restricted shares of our common stock at an exercise price of $0.50 per share. We anticipate that our cash expenditures during the next twelve months will be approximately $4.0 to $6.0 million.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April 2013, we entered into the Securities Purchase Agreement with Autilion, under which Autilion is contractually obligated to purchase an aggregate of 72.0 million restricted shares of our common stock at a purchase price of $0.50 per share for aggregate cash proceeds to us of $36.0 million. To date, Autilion has completed only a nominal closing under the Securities Purchase Agreement. Autilion is therefore in default under the Securities Purchase Agreement, and no assurances can be given that Autilion will consummate additional investments under the Securities Purchase Agreement. In the event that Autilion does not complete a material closing under the Securities Purchase Agreement in the near term, we anticipate that we will need to raise between $4.0 million and $6.0 million from alternative financing sources to execute our current business plan, which we intend to obtain as a result of the consummation of the Offering, although no assurances can be given that we will raise the maximum Offering amount or a sufficient amount to fund our operations and satisfy our outstanding obligations. Substantial additional financing may not be available to us on a timely basis, on terms acceptable to us, or at all. In the event we are unable to obtain substantial additional financing on a timely basis, our business, financial condition, and results of operations may be harmed, the price of our stock may decline, and we may not be able to continue as a going concern.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8" w:name="page89"/>
    <w:bookmarkEnd w:id="8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event Autilion completes a closing under the Securities Purchase Agreement in an amount exceeding $13.0 million, and we issue to Autilion over 26 million shares of our restricted common stock in connection with such closing, without giving effect to any closings in connection with the Offering, Autilion will control in excess of 50% of our issued and outstanding common stock, resulting in a change in control of the Company. In addition, substantial dilution to existing stockholders will occur upon completion of a material portion of the Autilion Financing, or completion of an alternate equity-based financing.</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If and as necessary, we may seek to complete a combination of additional private placements or public offerings of our securities, which may include both debt and equity securities, stem cell technology-based research and development collaborations, stem cell technology and drug candidate license fees and government grant awards. Although we have been successful since May 1998 with raising sufficient capital for our operations, and we will continue to pursue additional financing opportunities as necessary to meet our business objectives, there can be no assurance that substantial additional capital will be available to us in sufficient amounts, on terms favorable to us, and without substantial dilution to our current stockholders, if at all. If we are unable to complete one or more private placements or public offerings, or otherwise obtain sufficient financing through strategic collaborations or government grant awards, we may be required to delay, scale back or discontinue certain drug rescue and/or research and development activities, and this may adversely affect our ability to continue as a going concern. If we obtain additional financing by selling our equity or debt securities, we anticipate that substantial dilution to our existing stockholders will result. Our future working capital requirements will depend on many factors, including, without limitation, the scope and nature of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 To further advance drug rescue applications of our stem cell technology platform, as well as support our operating activities, we plan to continue to carefully manage our monthly operating costs associated with salaries and benefits, regulatory and public company consulting, contract research and development, legal, accounting and other working capital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The following table summarizes changes in cash and cash equivalents for the periods stated (in thousands):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Fiscal Years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(638)</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wholly-owned subsidiaries, Artemis Neuroscience, Inc., a Maryland corporation, and VistaStem Canada, Inc., an Ontario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9" w:name="page90"/>
    <w:bookmarkEnd w:id="89"/>
    <w:tbl>
      <w:tblPr>
        <w:tblLayout w:type="fixed"/>
        <w:tblInd w:w="8" w:type="dxa"/>
        <w:tblCellMar>
          <w:top w:w="0" w:type="dxa"/>
          <w:left w:w="0" w:type="dxa"/>
          <w:bottom w:w="0" w:type="dxa"/>
          <w:right w:w="0" w:type="dxa"/>
        </w:tblCellMar>
      </w:tblPr>
      <w:tr>
        <w:trPr>
          <w:trHeight w:val="126"/>
        </w:trPr>
        <w:tc>
          <w:tcPr>
            <w:tcW w:w="37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80" w:type="dxa"/>
            <w:vAlign w:val="bottom"/>
            <w:gridSpan w:val="2"/>
          </w:tcPr>
          <w:p>
            <w:pPr>
              <w:ind w:left="180"/>
              <w:spacing w:after="0"/>
              <w:rPr>
                <w:sz w:val="20"/>
                <w:szCs w:val="20"/>
                <w:color w:val="auto"/>
              </w:rPr>
            </w:pPr>
            <w:r>
              <w:rPr>
                <w:rFonts w:ascii="Arial" w:cs="Arial" w:eastAsia="Arial" w:hAnsi="Arial"/>
                <w:sz w:val="12"/>
                <w:szCs w:val="12"/>
                <w:b w:val="1"/>
                <w:bCs w:val="1"/>
                <w:color w:val="auto"/>
              </w:rPr>
              <w:t>MANAGEMENT</w:t>
            </w: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Directors and Executive Officers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color w:val="auto"/>
              </w:rPr>
              <w:t>Our directors and executive officers are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3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88"/>
              </w:rPr>
              <w:t>Age</w:t>
            </w:r>
          </w:p>
        </w:tc>
        <w:tc>
          <w:tcPr>
            <w:tcW w:w="6380" w:type="dxa"/>
            <w:vAlign w:val="bottom"/>
            <w:gridSpan w:val="2"/>
          </w:tcPr>
          <w:p>
            <w:pPr>
              <w:ind w:left="32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51</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Chief Executive Officer and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tcPr>
          <w:p>
            <w:pPr>
              <w:spacing w:after="0"/>
              <w:rPr>
                <w:sz w:val="20"/>
                <w:szCs w:val="20"/>
                <w:color w:val="auto"/>
              </w:rPr>
            </w:pPr>
            <w:r>
              <w:rPr>
                <w:rFonts w:ascii="Arial" w:cs="Arial" w:eastAsia="Arial" w:hAnsi="Arial"/>
                <w:sz w:val="12"/>
                <w:szCs w:val="12"/>
                <w:color w:val="auto"/>
              </w:rPr>
              <w:t>H. Ralph Snodgrass, Ph.D.</w:t>
            </w:r>
          </w:p>
        </w:tc>
        <w:tc>
          <w:tcPr>
            <w:tcW w:w="1380" w:type="dxa"/>
            <w:vAlign w:val="bottom"/>
            <w:gridSpan w:val="2"/>
          </w:tcPr>
          <w:p>
            <w:pPr>
              <w:jc w:val="center"/>
              <w:ind w:left="240"/>
              <w:spacing w:after="0"/>
              <w:rPr>
                <w:sz w:val="20"/>
                <w:szCs w:val="20"/>
                <w:color w:val="auto"/>
              </w:rPr>
            </w:pPr>
            <w:r>
              <w:rPr>
                <w:rFonts w:ascii="Arial" w:cs="Arial" w:eastAsia="Arial" w:hAnsi="Arial"/>
                <w:sz w:val="12"/>
                <w:szCs w:val="12"/>
                <w:color w:val="auto"/>
                <w:w w:val="89"/>
              </w:rPr>
              <w:t>64</w:t>
            </w:r>
          </w:p>
        </w:tc>
        <w:tc>
          <w:tcPr>
            <w:tcW w:w="6380" w:type="dxa"/>
            <w:vAlign w:val="bottom"/>
            <w:gridSpan w:val="2"/>
          </w:tcPr>
          <w:p>
            <w:pPr>
              <w:ind w:left="320"/>
              <w:spacing w:after="0"/>
              <w:rPr>
                <w:sz w:val="20"/>
                <w:szCs w:val="20"/>
                <w:color w:val="auto"/>
              </w:rPr>
            </w:pPr>
            <w:r>
              <w:rPr>
                <w:rFonts w:ascii="Arial" w:cs="Arial" w:eastAsia="Arial" w:hAnsi="Arial"/>
                <w:sz w:val="12"/>
                <w:szCs w:val="12"/>
                <w:color w:val="auto"/>
              </w:rPr>
              <w:t>Founder, President, Chief Scientific Officer and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380" w:type="dxa"/>
            <w:vAlign w:val="bottom"/>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61</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Vice President, Chief Financial Officer and Secretary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line="153"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bscript"/>
              </w:rPr>
              <w:t>(1)</w:t>
            </w:r>
          </w:p>
        </w:tc>
        <w:tc>
          <w:tcPr>
            <w:tcW w:w="1380" w:type="dxa"/>
            <w:vAlign w:val="bottom"/>
            <w:gridSpan w:val="2"/>
          </w:tcPr>
          <w:p>
            <w:pPr>
              <w:jc w:val="center"/>
              <w:ind w:left="240"/>
              <w:spacing w:after="0"/>
              <w:rPr>
                <w:sz w:val="20"/>
                <w:szCs w:val="20"/>
                <w:color w:val="auto"/>
              </w:rPr>
            </w:pPr>
            <w:r>
              <w:rPr>
                <w:rFonts w:ascii="Arial" w:cs="Arial" w:eastAsia="Arial" w:hAnsi="Arial"/>
                <w:sz w:val="12"/>
                <w:szCs w:val="12"/>
                <w:color w:val="auto"/>
                <w:w w:val="89"/>
              </w:rPr>
              <w:t>78</w:t>
            </w:r>
          </w:p>
        </w:tc>
        <w:tc>
          <w:tcPr>
            <w:tcW w:w="6380" w:type="dxa"/>
            <w:vAlign w:val="bottom"/>
            <w:gridSpan w:val="2"/>
          </w:tcPr>
          <w:p>
            <w:pPr>
              <w:ind w:left="32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shd w:val="clear" w:color="auto" w:fill="CCEEFF"/>
          </w:tcPr>
          <w:p>
            <w:pPr>
              <w:spacing w:after="0" w:line="153" w:lineRule="exact"/>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bscript"/>
              </w:rPr>
              <w:t>(2)</w:t>
            </w:r>
          </w:p>
        </w:tc>
        <w:tc>
          <w:tcPr>
            <w:tcW w:w="1380" w:type="dxa"/>
            <w:vAlign w:val="bottom"/>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73</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Chairman of the audit committee and member of the compensation committee and corporate governance and nominating committee.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Member of the audit committee and chairman of the compensation committee and corporate governance and nominating committee.</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Executive Officers</w:t>
      </w:r>
    </w:p>
    <w:p>
      <w:pPr>
        <w:spacing w:after="0" w:line="172"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b w:val="1"/>
          <w:bCs w:val="1"/>
          <w:i w:val="1"/>
          <w:iCs w:val="1"/>
          <w:color w:val="auto"/>
        </w:rPr>
        <w:t xml:space="preserve">Shawn K. Singh, J.D. </w:t>
      </w:r>
      <w:r>
        <w:rPr>
          <w:rFonts w:ascii="Arial" w:cs="Arial" w:eastAsia="Arial" w:hAnsi="Arial"/>
          <w:sz w:val="11"/>
          <w:szCs w:val="11"/>
          <w:color w:val="auto"/>
        </w:rPr>
        <w:t>has served as our Chief Executive Officer since August 2009; he joined our Board of Directors in 2000 and served on our management team (part-time) from late-2003, following our acquisition of Artemis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(CRO)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13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133"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b w:val="1"/>
          <w:bCs w:val="1"/>
          <w:i w:val="1"/>
          <w:iCs w:val="1"/>
          <w:color w:val="auto"/>
        </w:rPr>
        <w:t xml:space="preserve">H. Ralph Snodgrass, Ph.D. </w:t>
      </w:r>
      <w:r>
        <w:rPr>
          <w:rFonts w:ascii="Arial" w:cs="Arial" w:eastAsia="Arial" w:hAnsi="Arial"/>
          <w:sz w:val="12"/>
          <w:szCs w:val="12"/>
          <w:color w:val="auto"/>
        </w:rPr>
        <w:t>co-founded VistaGen with Dr. Gordon Keller in 1998 and served as our Chief Executive Officer until August 2009. Dr. Snodgrass has served as our President and Chief Scientific Officer since August 2009. 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2"/>
          <w:szCs w:val="12"/>
          <w:i w:val="1"/>
          <w:iCs w:val="1"/>
          <w:color w:val="auto"/>
        </w:rPr>
        <w:t>BIO</w:t>
      </w:r>
      <w:r>
        <w:rPr>
          <w:rFonts w:ascii="Arial" w:cs="Arial" w:eastAsia="Arial" w:hAnsi="Arial"/>
          <w:sz w:val="12"/>
          <w:szCs w:val="12"/>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90" w:name="page91"/>
    <w:bookmarkEnd w:id="9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 as Corporate Controller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Jon S. Saxe, J.D. </w:t>
      </w:r>
      <w:r>
        <w:rPr>
          <w:rFonts w:ascii="Arial" w:cs="Arial" w:eastAsia="Arial" w:hAnsi="Arial"/>
          <w:sz w:val="12"/>
          <w:szCs w:val="12"/>
          <w:color w:val="auto"/>
        </w:rPr>
        <w:t>has served as Chairman of our Board of Directors since 2000. He also serves as the Chairman of our Audit Committee. Mr. Saxe is the retired President and was a director of PDL BioPharma from 1989 to 2008.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including Arbor Vita Corporation and Arcuo Medical, LLC.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has served as Managing Director of Lumira Capital Corp. since September 1997, having started in the venture capital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1" w:name="page92"/>
    <w:bookmarkEnd w:id="9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Election of Executive Officers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Composition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following the completion of this Offering. All actions of the board of directors require the approval of a majority of the directors in attendance at a meeting at which a quorum is present.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Independence</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2" w:name="page93"/>
    <w:bookmarkEnd w:id="9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Audit Committee</w:t>
      </w:r>
    </w:p>
    <w:p>
      <w:pPr>
        <w:spacing w:after="0" w:line="168"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41" w:lineRule="exact"/>
        <w:rPr>
          <w:sz w:val="20"/>
          <w:szCs w:val="20"/>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overseeing our accounting and financial reporting process;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selecting, retaining and replacing our independent auditors and evaluating their qualifications, independence and performance;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reviewing and approving scope of the annual audit and audit fees;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monitoring rotation of partners of independent auditors on engagement team as required by law;</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discussing with management and independent auditors the results of annual audit and review of quarterly financial statements;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reviewing adequacy and effectiveness of internal control policies and procedures;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approving retention of independent auditors to perform any proposed permissible non-audit services;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overseeing internal audit functions and annually reviewing audit committee charter and committee performance;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preparing the audit committee report that the SEC requires in our annual proxy statement.</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Compensation Committee</w:t>
      </w:r>
    </w:p>
    <w:p>
      <w:pPr>
        <w:spacing w:after="0" w:line="16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133" w:lineRule="exact"/>
        <w:rPr>
          <w:sz w:val="20"/>
          <w:szCs w:val="20"/>
          <w:color w:val="auto"/>
        </w:rPr>
      </w:pPr>
    </w:p>
    <w:p>
      <w:pPr>
        <w:ind w:left="428" w:hanging="428"/>
        <w:spacing w:after="0" w:line="323" w:lineRule="auto"/>
        <w:tabs>
          <w:tab w:leader="none" w:pos="428" w:val="left"/>
        </w:tabs>
        <w:numPr>
          <w:ilvl w:val="0"/>
          <w:numId w:val="43"/>
        </w:numPr>
        <w:rPr>
          <w:rFonts w:ascii="Arial" w:cs="Arial" w:eastAsia="Arial" w:hAnsi="Arial"/>
          <w:sz w:val="11"/>
          <w:szCs w:val="11"/>
          <w:color w:val="auto"/>
        </w:rPr>
      </w:pPr>
      <w:r>
        <w:rPr>
          <w:rFonts w:ascii="Arial" w:cs="Arial" w:eastAsia="Arial" w:hAnsi="Arial"/>
          <w:sz w:val="11"/>
          <w:szCs w:val="11"/>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09" w:lineRule="exact"/>
        <w:rPr>
          <w:rFonts w:ascii="Arial" w:cs="Arial" w:eastAsia="Arial" w:hAnsi="Arial"/>
          <w:sz w:val="11"/>
          <w:szCs w:val="11"/>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Determining the objectives of our executive officer compensation programs;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Ensuring corporate performance measures and goals regarding executive officer compensation are set and determining the extent to which they are achieved and any related compensation earned;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Establishing goals and objectives relevant to CEO compensation, evaluating CEO performance in light of such goals and objectives, and determining CEO compensation based on the evaluation;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Endeavoring to ensure that our executive compensation programs are effective in attracting and retaining key employees and reinforcing business strategies and objectives for enhancing stockholder value;</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3" w:name="page94"/>
    <w:bookmarkEnd w:id="9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Monitoring the administration of incentive-compensation plans and equity-based incentive plans as in effect and as adopted from time to time by the board;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Reviewing and approving any new equity compensation plan or any material change to an existing plan; and</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Corporate Governance and Nominating Committee</w:t>
      </w:r>
    </w:p>
    <w:p>
      <w:pPr>
        <w:spacing w:after="0" w:line="16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33" w:lineRule="exact"/>
        <w:rPr>
          <w:sz w:val="20"/>
          <w:szCs w:val="20"/>
          <w:color w:val="auto"/>
        </w:rPr>
      </w:pPr>
    </w:p>
    <w:p>
      <w:pPr>
        <w:ind w:left="428" w:hanging="428"/>
        <w:spacing w:after="0"/>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Monitoring the size and composition of the board;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Making recommendations to the board with respect to the nominations or elections of our directors;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Reviewing the adequacy of our corporate governance policies and procedures and our Code of Business Conduct and Ethics, and recommending any proposed changes to the board for approval; and</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Code of Business Conduct and Ethics</w:t>
      </w:r>
    </w:p>
    <w:p>
      <w:pPr>
        <w:spacing w:after="0" w:line="17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We have adopted a Code of Business Conduct and Ethics applicable to our employees, officers and directors. Our Code of Business Conduct and Ethics is available on our website. We intend to disclose any future amendments to certain provisions of our Code of Business Conduct and Ethics, or waivers of these provisions, on our website at www.vistagen.com or in filings with the SEC under the Exchange Act.</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4" w:name="page95"/>
    <w:bookmarkEnd w:id="9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EXECUTIVE COMPENSATION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Summary Compensation Table for Fiscal Years 2014 and 2013</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This section provides compensation information about the following individuals:</w:t>
      </w:r>
    </w:p>
    <w:p>
      <w:pPr>
        <w:spacing w:after="0" w:line="168" w:lineRule="exact"/>
        <w:rPr>
          <w:sz w:val="20"/>
          <w:szCs w:val="20"/>
          <w:color w:val="auto"/>
        </w:rPr>
      </w:pPr>
    </w:p>
    <w:p>
      <w:pPr>
        <w:ind w:left="428" w:hanging="428"/>
        <w:spacing w:after="0"/>
        <w:tabs>
          <w:tab w:leader="none" w:pos="428" w:val="left"/>
        </w:tabs>
        <w:numPr>
          <w:ilvl w:val="0"/>
          <w:numId w:val="46"/>
        </w:numPr>
        <w:rPr>
          <w:rFonts w:ascii="Arial" w:cs="Arial" w:eastAsia="Arial" w:hAnsi="Arial"/>
          <w:sz w:val="12"/>
          <w:szCs w:val="12"/>
          <w:color w:val="auto"/>
        </w:rPr>
      </w:pPr>
      <w:r>
        <w:rPr>
          <w:rFonts w:ascii="Arial" w:cs="Arial" w:eastAsia="Arial" w:hAnsi="Arial"/>
          <w:sz w:val="12"/>
          <w:szCs w:val="12"/>
          <w:color w:val="auto"/>
        </w:rPr>
        <w:t>Shawn K. Singh, J.D., our Chief Executive Officer (</w:t>
      </w:r>
      <w:r>
        <w:rPr>
          <w:rFonts w:ascii="Arial" w:cs="Arial" w:eastAsia="Arial" w:hAnsi="Arial"/>
          <w:sz w:val="12"/>
          <w:szCs w:val="12"/>
          <w:i w:val="1"/>
          <w:iCs w:val="1"/>
          <w:color w:val="auto"/>
        </w:rPr>
        <w:t>CEO</w:t>
      </w:r>
      <w:r>
        <w:rPr>
          <w:rFonts w:ascii="Arial" w:cs="Arial" w:eastAsia="Arial" w:hAnsi="Arial"/>
          <w:sz w:val="12"/>
          <w:szCs w:val="12"/>
          <w:color w:val="auto"/>
        </w:rPr>
        <w:t>) and director;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6"/>
        </w:numPr>
        <w:rPr>
          <w:rFonts w:ascii="Arial" w:cs="Arial" w:eastAsia="Arial" w:hAnsi="Arial"/>
          <w:sz w:val="12"/>
          <w:szCs w:val="12"/>
          <w:color w:val="auto"/>
        </w:rPr>
      </w:pPr>
      <w:r>
        <w:rPr>
          <w:rFonts w:ascii="Arial" w:cs="Arial" w:eastAsia="Arial" w:hAnsi="Arial"/>
          <w:sz w:val="12"/>
          <w:szCs w:val="12"/>
          <w:color w:val="auto"/>
        </w:rPr>
        <w:t>H. Ralph Snodgrass, Ph.D., our President,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and director;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6"/>
        </w:numPr>
        <w:rPr>
          <w:rFonts w:ascii="Arial" w:cs="Arial" w:eastAsia="Arial" w:hAnsi="Arial"/>
          <w:sz w:val="12"/>
          <w:szCs w:val="12"/>
          <w:color w:val="auto"/>
        </w:rPr>
      </w:pPr>
      <w:r>
        <w:rPr>
          <w:rFonts w:ascii="Arial" w:cs="Arial" w:eastAsia="Arial" w:hAnsi="Arial"/>
          <w:sz w:val="12"/>
          <w:szCs w:val="12"/>
          <w:color w:val="auto"/>
        </w:rPr>
        <w:t>Jerrold D. Dotson, CPA, our Vice President, Chief Financial Officer (</w:t>
      </w:r>
      <w:r>
        <w:rPr>
          <w:rFonts w:ascii="Arial" w:cs="Arial" w:eastAsia="Arial" w:hAnsi="Arial"/>
          <w:sz w:val="12"/>
          <w:szCs w:val="12"/>
          <w:i w:val="1"/>
          <w:iCs w:val="1"/>
          <w:color w:val="auto"/>
        </w:rPr>
        <w:t>CFO</w:t>
      </w:r>
      <w:r>
        <w:rPr>
          <w:rFonts w:ascii="Arial" w:cs="Arial" w:eastAsia="Arial" w:hAnsi="Arial"/>
          <w:sz w:val="12"/>
          <w:szCs w:val="12"/>
          <w:color w:val="auto"/>
        </w:rPr>
        <w:t>) and Secretary</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the discussion below, we refer to this group of executives as the named executive officers (</w:t>
      </w:r>
      <w:r>
        <w:rPr>
          <w:rFonts w:ascii="Arial" w:cs="Arial" w:eastAsia="Arial" w:hAnsi="Arial"/>
          <w:sz w:val="12"/>
          <w:szCs w:val="12"/>
          <w:i w:val="1"/>
          <w:iCs w:val="1"/>
          <w:color w:val="auto"/>
        </w:rPr>
        <w:t>NEOs</w:t>
      </w:r>
      <w:r>
        <w:rPr>
          <w:rFonts w:ascii="Arial" w:cs="Arial" w:eastAsia="Arial" w:hAnsi="Arial"/>
          <w:sz w:val="12"/>
          <w:szCs w:val="12"/>
          <w:color w:val="auto"/>
        </w:rPr>
        <w:t>). This group includes the executive officers for whom disclosure is required under the applicable rules of the SEC.</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shows information regarding the compensation of our named executive officers for services performed in the fiscal years ended March 31, 2014 and 2013:</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Option and Warrant</w:t>
            </w:r>
          </w:p>
        </w:tc>
        <w:tc>
          <w:tcPr>
            <w:tcW w:w="12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All Other</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40" w:type="dxa"/>
            <w:vAlign w:val="bottom"/>
            <w:gridSpan w:val="2"/>
          </w:tcPr>
          <w:p>
            <w:pPr>
              <w:spacing w:after="0"/>
              <w:rPr>
                <w:sz w:val="20"/>
                <w:szCs w:val="20"/>
                <w:color w:val="auto"/>
              </w:rPr>
            </w:pPr>
            <w:r>
              <w:rPr>
                <w:rFonts w:ascii="Arial" w:cs="Arial" w:eastAsia="Arial" w:hAnsi="Arial"/>
                <w:sz w:val="12"/>
                <w:szCs w:val="12"/>
                <w:b w:val="1"/>
                <w:bCs w:val="1"/>
                <w:color w:val="auto"/>
              </w:rPr>
              <w:t>Name and Principal Position</w:t>
            </w:r>
          </w:p>
        </w:tc>
        <w:tc>
          <w:tcPr>
            <w:tcW w:w="1820" w:type="dxa"/>
            <w:vAlign w:val="bottom"/>
          </w:tcPr>
          <w:p>
            <w:pPr>
              <w:jc w:val="center"/>
              <w:ind w:right="80"/>
              <w:spacing w:after="0"/>
              <w:rPr>
                <w:sz w:val="20"/>
                <w:szCs w:val="20"/>
                <w:color w:val="auto"/>
              </w:rPr>
            </w:pPr>
            <w:r>
              <w:rPr>
                <w:rFonts w:ascii="Arial" w:cs="Arial" w:eastAsia="Arial" w:hAnsi="Arial"/>
                <w:sz w:val="12"/>
                <w:szCs w:val="12"/>
                <w:b w:val="1"/>
                <w:bCs w:val="1"/>
                <w:color w:val="auto"/>
                <w:w w:val="88"/>
              </w:rPr>
              <w:t>Fiscal Year</w:t>
            </w:r>
          </w:p>
        </w:tc>
        <w:tc>
          <w:tcPr>
            <w:tcW w:w="100" w:type="dxa"/>
            <w:vAlign w:val="bottom"/>
          </w:tcPr>
          <w:p>
            <w:pPr>
              <w:spacing w:after="0"/>
              <w:rPr>
                <w:sz w:val="13"/>
                <w:szCs w:val="13"/>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Salary ($)</w:t>
            </w:r>
          </w:p>
        </w:tc>
        <w:tc>
          <w:tcPr>
            <w:tcW w:w="1340" w:type="dxa"/>
            <w:vAlign w:val="bottom"/>
            <w:gridSpan w:val="2"/>
          </w:tcPr>
          <w:p>
            <w:pPr>
              <w:ind w:left="320"/>
              <w:spacing w:after="0"/>
              <w:rPr>
                <w:sz w:val="20"/>
                <w:szCs w:val="20"/>
                <w:color w:val="auto"/>
              </w:rPr>
            </w:pPr>
            <w:r>
              <w:rPr>
                <w:rFonts w:ascii="Arial" w:cs="Arial" w:eastAsia="Arial" w:hAnsi="Arial"/>
                <w:sz w:val="12"/>
                <w:szCs w:val="12"/>
                <w:b w:val="1"/>
                <w:bCs w:val="1"/>
                <w:color w:val="auto"/>
              </w:rPr>
              <w:t>Bonus ($)</w:t>
            </w:r>
          </w:p>
        </w:tc>
        <w:tc>
          <w:tcPr>
            <w:tcW w:w="14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Awards (7) ($)</w:t>
            </w:r>
          </w:p>
        </w:tc>
        <w:tc>
          <w:tcPr>
            <w:tcW w:w="12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8"/>
              </w:rPr>
              <w:t>Compensation ($)</w:t>
            </w:r>
          </w:p>
        </w:tc>
        <w:tc>
          <w:tcPr>
            <w:tcW w:w="1720" w:type="dxa"/>
            <w:vAlign w:val="bottom"/>
          </w:tcPr>
          <w:p>
            <w:pPr>
              <w:jc w:val="right"/>
              <w:ind w:right="580"/>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Shawn K. Singh, J.D. </w:t>
            </w:r>
            <w:r>
              <w:rPr>
                <w:rFonts w:ascii="Arial" w:cs="Arial" w:eastAsia="Arial" w:hAnsi="Arial"/>
                <w:sz w:val="16"/>
                <w:szCs w:val="16"/>
                <w:color w:val="auto"/>
                <w:vertAlign w:val="subscript"/>
              </w:rPr>
              <w:t>(1)</w:t>
            </w:r>
          </w:p>
        </w:tc>
        <w:tc>
          <w:tcPr>
            <w:tcW w:w="18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89"/>
              </w:rPr>
              <w:t>2014</w:t>
            </w:r>
          </w:p>
        </w:tc>
        <w:tc>
          <w:tcPr>
            <w:tcW w:w="1480" w:type="dxa"/>
            <w:vAlign w:val="bottom"/>
            <w:gridSpan w:val="3"/>
            <w:shd w:val="clear" w:color="auto" w:fill="CCEEFF"/>
          </w:tcPr>
          <w:p>
            <w:pPr>
              <w:jc w:val="right"/>
              <w:ind w:right="120"/>
              <w:spacing w:after="0" w:line="153" w:lineRule="exact"/>
              <w:rPr>
                <w:sz w:val="20"/>
                <w:szCs w:val="20"/>
                <w:color w:val="auto"/>
              </w:rPr>
            </w:pPr>
            <w:r>
              <w:rPr>
                <w:rFonts w:ascii="Arial" w:cs="Arial" w:eastAsia="Arial" w:hAnsi="Arial"/>
                <w:sz w:val="12"/>
                <w:szCs w:val="12"/>
                <w:color w:val="auto"/>
              </w:rPr>
              <w:t>250,000</w:t>
            </w:r>
            <w:r>
              <w:rPr>
                <w:rFonts w:ascii="Arial" w:cs="Arial" w:eastAsia="Arial" w:hAnsi="Arial"/>
                <w:sz w:val="16"/>
                <w:szCs w:val="16"/>
                <w:color w:val="auto"/>
                <w:vertAlign w:val="subscript"/>
              </w:rPr>
              <w:t>(4)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2"/>
                <w:szCs w:val="12"/>
                <w:color w:val="auto"/>
              </w:rPr>
              <w:t>159,802</w:t>
            </w:r>
            <w:r>
              <w:rPr>
                <w:rFonts w:ascii="Arial" w:cs="Arial" w:eastAsia="Arial" w:hAnsi="Arial"/>
                <w:sz w:val="16"/>
                <w:szCs w:val="16"/>
                <w:color w:val="auto"/>
                <w:vertAlign w:val="subscript"/>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409,802</w:t>
            </w:r>
          </w:p>
        </w:tc>
        <w:tc>
          <w:tcPr>
            <w:tcW w:w="0" w:type="dxa"/>
            <w:vAlign w:val="bottom"/>
          </w:tcPr>
          <w:p>
            <w:pPr>
              <w:spacing w:after="0"/>
              <w:rPr>
                <w:sz w:val="1"/>
                <w:szCs w:val="1"/>
                <w:color w:val="auto"/>
              </w:rPr>
            </w:pPr>
          </w:p>
        </w:tc>
      </w:tr>
      <w:tr>
        <w:trPr>
          <w:trHeight w:val="180"/>
        </w:trPr>
        <w:tc>
          <w:tcPr>
            <w:tcW w:w="2440" w:type="dxa"/>
            <w:vAlign w:val="bottom"/>
            <w:gridSpan w:val="2"/>
          </w:tcPr>
          <w:p>
            <w:pPr>
              <w:spacing w:after="0"/>
              <w:rPr>
                <w:sz w:val="20"/>
                <w:szCs w:val="20"/>
                <w:color w:val="auto"/>
              </w:rPr>
            </w:pPr>
            <w:r>
              <w:rPr>
                <w:rFonts w:ascii="Arial" w:cs="Arial" w:eastAsia="Arial" w:hAnsi="Arial"/>
                <w:sz w:val="12"/>
                <w:szCs w:val="12"/>
                <w:i w:val="1"/>
                <w:iCs w:val="1"/>
                <w:color w:val="auto"/>
              </w:rPr>
              <w:t>Chief Executive Officer</w:t>
            </w:r>
          </w:p>
        </w:tc>
        <w:tc>
          <w:tcPr>
            <w:tcW w:w="1820" w:type="dxa"/>
            <w:vAlign w:val="bottom"/>
          </w:tcPr>
          <w:p>
            <w:pPr>
              <w:jc w:val="center"/>
              <w:ind w:right="80"/>
              <w:spacing w:after="0"/>
              <w:rPr>
                <w:sz w:val="20"/>
                <w:szCs w:val="20"/>
                <w:color w:val="auto"/>
              </w:rPr>
            </w:pPr>
            <w:r>
              <w:rPr>
                <w:rFonts w:ascii="Arial" w:cs="Arial" w:eastAsia="Arial" w:hAnsi="Arial"/>
                <w:sz w:val="12"/>
                <w:szCs w:val="12"/>
                <w:color w:val="auto"/>
                <w:w w:val="89"/>
              </w:rPr>
              <w:t>2013</w:t>
            </w:r>
          </w:p>
        </w:tc>
        <w:tc>
          <w:tcPr>
            <w:tcW w:w="1480" w:type="dxa"/>
            <w:vAlign w:val="bottom"/>
            <w:gridSpan w:val="3"/>
          </w:tcPr>
          <w:p>
            <w:pPr>
              <w:jc w:val="right"/>
              <w:ind w:right="220"/>
              <w:spacing w:after="0"/>
              <w:rPr>
                <w:sz w:val="20"/>
                <w:szCs w:val="20"/>
                <w:color w:val="auto"/>
              </w:rPr>
            </w:pPr>
            <w:r>
              <w:rPr>
                <w:rFonts w:ascii="Arial" w:cs="Arial" w:eastAsia="Arial" w:hAnsi="Arial"/>
                <w:sz w:val="12"/>
                <w:szCs w:val="12"/>
                <w:color w:val="auto"/>
              </w:rPr>
              <w:t>201,646</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20"/>
              <w:spacing w:after="0" w:line="180" w:lineRule="exact"/>
              <w:rPr>
                <w:sz w:val="20"/>
                <w:szCs w:val="20"/>
                <w:color w:val="auto"/>
              </w:rPr>
            </w:pPr>
            <w:r>
              <w:rPr>
                <w:rFonts w:ascii="Arial" w:cs="Arial" w:eastAsia="Arial" w:hAnsi="Arial"/>
                <w:sz w:val="12"/>
                <w:szCs w:val="12"/>
                <w:color w:val="auto"/>
              </w:rPr>
              <w:t>802,411</w:t>
            </w:r>
            <w:r>
              <w:rPr>
                <w:rFonts w:ascii="Arial" w:cs="Arial" w:eastAsia="Arial" w:hAnsi="Arial"/>
                <w:sz w:val="16"/>
                <w:szCs w:val="16"/>
                <w:color w:val="auto"/>
                <w:vertAlign w:val="subscript"/>
              </w:rPr>
              <w:t>(10)</w:t>
            </w:r>
            <w:r>
              <w:rPr>
                <w:rFonts w:ascii="Arial" w:cs="Arial" w:eastAsia="Arial" w:hAnsi="Arial"/>
                <w:sz w:val="16"/>
                <w:szCs w:val="16"/>
                <w:color w:val="auto"/>
                <w:vertAlign w:val="superscript"/>
              </w:rPr>
              <w:t>(9)</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1,004,057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20" w:type="dxa"/>
            <w:vAlign w:val="bottom"/>
          </w:tcPr>
          <w:p>
            <w:pPr>
              <w:spacing w:after="0" w:line="153" w:lineRule="exact"/>
              <w:rPr>
                <w:sz w:val="20"/>
                <w:szCs w:val="20"/>
                <w:color w:val="auto"/>
              </w:rPr>
            </w:pPr>
            <w:r>
              <w:rPr>
                <w:rFonts w:ascii="Arial" w:cs="Arial" w:eastAsia="Arial" w:hAnsi="Arial"/>
                <w:sz w:val="12"/>
                <w:szCs w:val="12"/>
                <w:color w:val="auto"/>
              </w:rPr>
              <w:t xml:space="preserve">H. Ralph Snodgrass, Ph.D. </w:t>
            </w:r>
            <w:r>
              <w:rPr>
                <w:rFonts w:ascii="Arial" w:cs="Arial" w:eastAsia="Arial" w:hAnsi="Arial"/>
                <w:sz w:val="16"/>
                <w:szCs w:val="16"/>
                <w:color w:val="auto"/>
                <w:vertAlign w:val="subscript"/>
              </w:rPr>
              <w:t>(2)</w:t>
            </w:r>
          </w:p>
        </w:tc>
        <w:tc>
          <w:tcPr>
            <w:tcW w:w="1820" w:type="dxa"/>
            <w:vAlign w:val="bottom"/>
          </w:tcPr>
          <w:p>
            <w:pPr>
              <w:jc w:val="center"/>
              <w:ind w:right="80"/>
              <w:spacing w:after="0"/>
              <w:rPr>
                <w:sz w:val="20"/>
                <w:szCs w:val="20"/>
                <w:color w:val="auto"/>
              </w:rPr>
            </w:pPr>
            <w:r>
              <w:rPr>
                <w:rFonts w:ascii="Arial" w:cs="Arial" w:eastAsia="Arial" w:hAnsi="Arial"/>
                <w:sz w:val="12"/>
                <w:szCs w:val="12"/>
                <w:color w:val="auto"/>
                <w:w w:val="89"/>
              </w:rPr>
              <w:t>2014</w:t>
            </w:r>
          </w:p>
        </w:tc>
        <w:tc>
          <w:tcPr>
            <w:tcW w:w="1480" w:type="dxa"/>
            <w:vAlign w:val="bottom"/>
            <w:gridSpan w:val="3"/>
          </w:tcPr>
          <w:p>
            <w:pPr>
              <w:jc w:val="right"/>
              <w:ind w:right="120"/>
              <w:spacing w:after="0" w:line="153" w:lineRule="exact"/>
              <w:rPr>
                <w:sz w:val="20"/>
                <w:szCs w:val="20"/>
                <w:color w:val="auto"/>
              </w:rPr>
            </w:pPr>
            <w:r>
              <w:rPr>
                <w:rFonts w:ascii="Arial" w:cs="Arial" w:eastAsia="Arial" w:hAnsi="Arial"/>
                <w:sz w:val="12"/>
                <w:szCs w:val="12"/>
                <w:color w:val="auto"/>
              </w:rPr>
              <w:t>250,000</w:t>
            </w:r>
            <w:r>
              <w:rPr>
                <w:rFonts w:ascii="Arial" w:cs="Arial" w:eastAsia="Arial" w:hAnsi="Arial"/>
                <w:sz w:val="16"/>
                <w:szCs w:val="16"/>
                <w:color w:val="auto"/>
                <w:vertAlign w:val="subscript"/>
              </w:rPr>
              <w:t>(5)</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60"/>
              <w:spacing w:after="0" w:line="153" w:lineRule="exact"/>
              <w:rPr>
                <w:sz w:val="20"/>
                <w:szCs w:val="20"/>
                <w:color w:val="auto"/>
              </w:rPr>
            </w:pPr>
            <w:r>
              <w:rPr>
                <w:rFonts w:ascii="Arial" w:cs="Arial" w:eastAsia="Arial" w:hAnsi="Arial"/>
                <w:sz w:val="12"/>
                <w:szCs w:val="12"/>
                <w:color w:val="auto"/>
              </w:rPr>
              <w:t>102,353</w:t>
            </w:r>
            <w:r>
              <w:rPr>
                <w:rFonts w:ascii="Arial" w:cs="Arial" w:eastAsia="Arial" w:hAnsi="Arial"/>
                <w:sz w:val="16"/>
                <w:szCs w:val="16"/>
                <w:color w:val="auto"/>
                <w:vertAlign w:val="subscript"/>
              </w:rPr>
              <w:t>(8)</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352,353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President, Chief Scientific Officer</w:t>
            </w:r>
          </w:p>
        </w:tc>
        <w:tc>
          <w:tcPr>
            <w:tcW w:w="18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89"/>
              </w:rPr>
              <w:t>2013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203,086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2"/>
                <w:szCs w:val="12"/>
                <w:color w:val="auto"/>
              </w:rPr>
              <w:t>534,941</w:t>
            </w:r>
            <w:r>
              <w:rPr>
                <w:rFonts w:ascii="Arial" w:cs="Arial" w:eastAsia="Arial" w:hAnsi="Arial"/>
                <w:sz w:val="16"/>
                <w:szCs w:val="16"/>
                <w:color w:val="auto"/>
                <w:vertAlign w:val="subscript"/>
              </w:rPr>
              <w:t>(10)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738,027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Jerrold D. Dotson </w:t>
            </w:r>
            <w:r>
              <w:rPr>
                <w:rFonts w:ascii="Arial" w:cs="Arial" w:eastAsia="Arial" w:hAnsi="Arial"/>
                <w:sz w:val="16"/>
                <w:szCs w:val="16"/>
                <w:color w:val="auto"/>
                <w:vertAlign w:val="subscript"/>
              </w:rPr>
              <w:t>(3)</w:t>
            </w:r>
          </w:p>
        </w:tc>
        <w:tc>
          <w:tcPr>
            <w:tcW w:w="18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89"/>
              </w:rPr>
              <w:t>2014</w:t>
            </w:r>
          </w:p>
        </w:tc>
        <w:tc>
          <w:tcPr>
            <w:tcW w:w="1480" w:type="dxa"/>
            <w:vAlign w:val="bottom"/>
            <w:gridSpan w:val="3"/>
            <w:shd w:val="clear" w:color="auto" w:fill="CCEEFF"/>
          </w:tcPr>
          <w:p>
            <w:pPr>
              <w:jc w:val="right"/>
              <w:ind w:right="120"/>
              <w:spacing w:after="0" w:line="153" w:lineRule="exact"/>
              <w:rPr>
                <w:sz w:val="20"/>
                <w:szCs w:val="20"/>
                <w:color w:val="auto"/>
              </w:rPr>
            </w:pPr>
            <w:r>
              <w:rPr>
                <w:rFonts w:ascii="Arial" w:cs="Arial" w:eastAsia="Arial" w:hAnsi="Arial"/>
                <w:sz w:val="12"/>
                <w:szCs w:val="12"/>
                <w:color w:val="auto"/>
              </w:rPr>
              <w:t>200,000</w:t>
            </w:r>
            <w:r>
              <w:rPr>
                <w:rFonts w:ascii="Arial" w:cs="Arial" w:eastAsia="Arial" w:hAnsi="Arial"/>
                <w:sz w:val="16"/>
                <w:szCs w:val="16"/>
                <w:color w:val="auto"/>
                <w:vertAlign w:val="subscript"/>
              </w:rPr>
              <w:t>(6)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2"/>
                <w:szCs w:val="12"/>
                <w:color w:val="auto"/>
              </w:rPr>
              <w:t>36,846</w:t>
            </w:r>
            <w:r>
              <w:rPr>
                <w:rFonts w:ascii="Arial" w:cs="Arial" w:eastAsia="Arial" w:hAnsi="Arial"/>
                <w:sz w:val="16"/>
                <w:szCs w:val="16"/>
                <w:color w:val="auto"/>
                <w:vertAlign w:val="subscript"/>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6" w:lineRule="exact"/>
              <w:rPr>
                <w:sz w:val="20"/>
                <w:szCs w:val="20"/>
                <w:color w:val="auto"/>
              </w:rPr>
            </w:pPr>
            <w:r>
              <w:rPr>
                <w:rFonts w:ascii="Arial" w:cs="Arial" w:eastAsia="Arial" w:hAnsi="Arial"/>
                <w:sz w:val="12"/>
                <w:szCs w:val="12"/>
                <w:i w:val="1"/>
                <w:iCs w:val="1"/>
                <w:color w:val="auto"/>
              </w:rPr>
              <w:t>Vice President, Chief Financial Officer,</w:t>
            </w: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440" w:type="dxa"/>
            <w:vAlign w:val="bottom"/>
            <w:gridSpan w:val="2"/>
          </w:tcPr>
          <w:p>
            <w:pPr>
              <w:spacing w:after="0"/>
              <w:rPr>
                <w:sz w:val="20"/>
                <w:szCs w:val="20"/>
                <w:color w:val="auto"/>
              </w:rPr>
            </w:pPr>
            <w:r>
              <w:rPr>
                <w:rFonts w:ascii="Arial" w:cs="Arial" w:eastAsia="Arial" w:hAnsi="Arial"/>
                <w:sz w:val="12"/>
                <w:szCs w:val="12"/>
                <w:i w:val="1"/>
                <w:iCs w:val="1"/>
                <w:color w:val="auto"/>
              </w:rPr>
              <w:t>Secretary</w:t>
            </w:r>
          </w:p>
        </w:tc>
        <w:tc>
          <w:tcPr>
            <w:tcW w:w="1820" w:type="dxa"/>
            <w:vAlign w:val="bottom"/>
          </w:tcPr>
          <w:p>
            <w:pPr>
              <w:jc w:val="center"/>
              <w:ind w:right="80"/>
              <w:spacing w:after="0"/>
              <w:rPr>
                <w:sz w:val="20"/>
                <w:szCs w:val="20"/>
                <w:color w:val="auto"/>
              </w:rPr>
            </w:pPr>
            <w:r>
              <w:rPr>
                <w:rFonts w:ascii="Arial" w:cs="Arial" w:eastAsia="Arial" w:hAnsi="Arial"/>
                <w:sz w:val="12"/>
                <w:szCs w:val="12"/>
                <w:color w:val="auto"/>
                <w:w w:val="89"/>
              </w:rPr>
              <w:t>2013</w:t>
            </w:r>
          </w:p>
        </w:tc>
        <w:tc>
          <w:tcPr>
            <w:tcW w:w="1480" w:type="dxa"/>
            <w:vAlign w:val="bottom"/>
            <w:gridSpan w:val="3"/>
          </w:tcPr>
          <w:p>
            <w:pPr>
              <w:jc w:val="right"/>
              <w:ind w:right="220"/>
              <w:spacing w:after="0"/>
              <w:rPr>
                <w:sz w:val="20"/>
                <w:szCs w:val="20"/>
                <w:color w:val="auto"/>
              </w:rPr>
            </w:pPr>
            <w:r>
              <w:rPr>
                <w:rFonts w:ascii="Arial" w:cs="Arial" w:eastAsia="Arial" w:hAnsi="Arial"/>
                <w:sz w:val="12"/>
                <w:szCs w:val="12"/>
                <w:color w:val="auto"/>
              </w:rPr>
              <w:t>97,269</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134,316</w:t>
            </w:r>
            <w:r>
              <w:rPr>
                <w:rFonts w:ascii="Arial" w:cs="Arial" w:eastAsia="Arial" w:hAnsi="Arial"/>
                <w:sz w:val="16"/>
                <w:szCs w:val="16"/>
                <w:color w:val="auto"/>
                <w:vertAlign w:val="subscript"/>
              </w:rPr>
              <w:t>(11)</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62,333</w:t>
            </w:r>
            <w:r>
              <w:rPr>
                <w:rFonts w:ascii="Arial" w:cs="Arial" w:eastAsia="Arial" w:hAnsi="Arial"/>
                <w:sz w:val="16"/>
                <w:szCs w:val="16"/>
                <w:color w:val="auto"/>
                <w:vertAlign w:val="subscript"/>
              </w:rPr>
              <w:t>(12)</w:t>
            </w:r>
          </w:p>
        </w:tc>
        <w:tc>
          <w:tcPr>
            <w:tcW w:w="1720" w:type="dxa"/>
            <w:vAlign w:val="bottom"/>
          </w:tcPr>
          <w:p>
            <w:pPr>
              <w:jc w:val="right"/>
              <w:spacing w:after="0"/>
              <w:rPr>
                <w:sz w:val="20"/>
                <w:szCs w:val="20"/>
                <w:color w:val="auto"/>
              </w:rPr>
            </w:pPr>
            <w:r>
              <w:rPr>
                <w:rFonts w:ascii="Arial" w:cs="Arial" w:eastAsia="Arial" w:hAnsi="Arial"/>
                <w:sz w:val="12"/>
                <w:szCs w:val="12"/>
                <w:color w:val="auto"/>
              </w:rPr>
              <w:t>293,918</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248" w:right="20" w:hanging="248"/>
        <w:spacing w:after="0" w:line="257" w:lineRule="auto"/>
        <w:tabs>
          <w:tab w:leader="none" w:pos="248"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 Singh became VistaGen California’s Chief Executive Officer on August 20, 2009 and our Chief Executive Officer in May 2011, in connection with the Merger. In our fiscal years ended March 31, 2014 and 2013, Mr. Singh’s annual base cash salary, excluding potential cash bonus amounts, pursuant to his January 2010 employment agreement was contractually set at $347,500. However, to conserve cash for our operations during our fiscal years ended March 31, 2014 and 2013, Mr. Singh voluntarily reduced his base cash salary in each of such fiscal years to the amounts indicated. In addition, pursuant to his employment agreement, Mr. Singh is eligible to receive an annual incentive bonus of up to fifty percent (50%) of his base cash salary. However to conserve cash for our operations during our fiscal years ended March 31, 2014 and 2013, Mr. Singh voluntarily refrained from receiving any cash bonus from us.</w:t>
      </w:r>
    </w:p>
    <w:p>
      <w:pPr>
        <w:spacing w:after="0" w:line="125" w:lineRule="exact"/>
        <w:rPr>
          <w:rFonts w:ascii="Arial" w:cs="Arial" w:eastAsia="Arial" w:hAnsi="Arial"/>
          <w:sz w:val="12"/>
          <w:szCs w:val="12"/>
          <w:color w:val="auto"/>
        </w:rPr>
      </w:pPr>
    </w:p>
    <w:p>
      <w:pPr>
        <w:jc w:val="both"/>
        <w:ind w:left="248" w:right="20" w:hanging="248"/>
        <w:spacing w:after="0" w:line="286" w:lineRule="auto"/>
        <w:tabs>
          <w:tab w:leader="none" w:pos="248"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2014 and 2013, Dr. Snodgrass’ annual base cash salary, excluding potential cash bonus amounts, pursuant to his January 2010 employment agreement was contractually set at $305,000. However, to conserve cash for our operations during our fiscal years ended March 31, 2014 and 2013, Dr. Snodgrass voluntarily reduced his base cash salary in each of such fiscal years to the amounts indicated. In addition, pursuant to his employment agreement, Dr. Snodgrass is eligible to receive an annual incentive bonus of up to fifty percent (50%) of his base cash salary. However to conserve cash for our operations during our fiscal years ended March 31, 2014 and 2012, Dr. Snodgrass voluntarily refrained from receiving any cash bonus from us.</w:t>
      </w:r>
    </w:p>
    <w:p>
      <w:pPr>
        <w:spacing w:after="0" w:line="111" w:lineRule="exact"/>
        <w:rPr>
          <w:rFonts w:ascii="Arial" w:cs="Arial" w:eastAsia="Arial" w:hAnsi="Arial"/>
          <w:sz w:val="11"/>
          <w:szCs w:val="11"/>
          <w:color w:val="auto"/>
        </w:rPr>
      </w:pPr>
    </w:p>
    <w:p>
      <w:pPr>
        <w:ind w:left="248" w:hanging="248"/>
        <w:spacing w:after="0"/>
        <w:tabs>
          <w:tab w:leader="none" w:pos="248"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a full-time employee of the Company.</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5" w:name="page96"/>
    <w:bookmarkEnd w:id="95"/>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ind w:left="248" w:hanging="248"/>
        <w:spacing w:after="0"/>
        <w:tabs>
          <w:tab w:leader="none" w:pos="248" w:val="left"/>
        </w:tabs>
        <w:numPr>
          <w:ilvl w:val="0"/>
          <w:numId w:val="48"/>
        </w:numPr>
        <w:rPr>
          <w:rFonts w:ascii="Arial" w:cs="Arial" w:eastAsia="Arial" w:hAnsi="Arial"/>
          <w:sz w:val="12"/>
          <w:szCs w:val="12"/>
          <w:color w:val="auto"/>
        </w:rPr>
      </w:pPr>
      <w:r>
        <w:rPr>
          <w:rFonts w:ascii="Arial" w:cs="Arial" w:eastAsia="Arial" w:hAnsi="Arial"/>
          <w:sz w:val="12"/>
          <w:szCs w:val="12"/>
          <w:color w:val="auto"/>
        </w:rPr>
        <w:t>Of this amount, Mr. Singh received only $125,000 in cash; the remaining balance has been accrued for future payment.</w:t>
      </w:r>
    </w:p>
    <w:p>
      <w:pPr>
        <w:spacing w:after="0" w:line="150" w:lineRule="exact"/>
        <w:rPr>
          <w:rFonts w:ascii="Arial" w:cs="Arial" w:eastAsia="Arial" w:hAnsi="Arial"/>
          <w:sz w:val="12"/>
          <w:szCs w:val="12"/>
          <w:color w:val="auto"/>
        </w:rPr>
      </w:pPr>
    </w:p>
    <w:p>
      <w:pPr>
        <w:ind w:left="248" w:hanging="248"/>
        <w:spacing w:after="0"/>
        <w:tabs>
          <w:tab w:leader="none" w:pos="248" w:val="left"/>
        </w:tabs>
        <w:numPr>
          <w:ilvl w:val="0"/>
          <w:numId w:val="48"/>
        </w:numPr>
        <w:rPr>
          <w:rFonts w:ascii="Arial" w:cs="Arial" w:eastAsia="Arial" w:hAnsi="Arial"/>
          <w:sz w:val="12"/>
          <w:szCs w:val="12"/>
          <w:color w:val="auto"/>
        </w:rPr>
      </w:pPr>
      <w:r>
        <w:rPr>
          <w:rFonts w:ascii="Arial" w:cs="Arial" w:eastAsia="Arial" w:hAnsi="Arial"/>
          <w:sz w:val="12"/>
          <w:szCs w:val="12"/>
          <w:color w:val="auto"/>
        </w:rPr>
        <w:t>Of this amount, Dr. Snodgrass received only $149,606 in cash; the remaining balance has been accrued for future payment.</w:t>
      </w:r>
    </w:p>
    <w:p>
      <w:pPr>
        <w:spacing w:after="0" w:line="150" w:lineRule="exact"/>
        <w:rPr>
          <w:rFonts w:ascii="Arial" w:cs="Arial" w:eastAsia="Arial" w:hAnsi="Arial"/>
          <w:sz w:val="12"/>
          <w:szCs w:val="12"/>
          <w:color w:val="auto"/>
        </w:rPr>
      </w:pPr>
    </w:p>
    <w:p>
      <w:pPr>
        <w:ind w:left="248" w:hanging="248"/>
        <w:spacing w:after="0"/>
        <w:tabs>
          <w:tab w:leader="none" w:pos="248" w:val="left"/>
        </w:tabs>
        <w:numPr>
          <w:ilvl w:val="0"/>
          <w:numId w:val="48"/>
        </w:numPr>
        <w:rPr>
          <w:rFonts w:ascii="Arial" w:cs="Arial" w:eastAsia="Arial" w:hAnsi="Arial"/>
          <w:sz w:val="12"/>
          <w:szCs w:val="12"/>
          <w:color w:val="auto"/>
        </w:rPr>
      </w:pPr>
      <w:r>
        <w:rPr>
          <w:rFonts w:ascii="Arial" w:cs="Arial" w:eastAsia="Arial" w:hAnsi="Arial"/>
          <w:sz w:val="12"/>
          <w:szCs w:val="12"/>
          <w:color w:val="auto"/>
        </w:rPr>
        <w:t>Of this amount, Mr. Dotson received only $143,333 in cash; the remaining balance has been accrued for future payment.</w:t>
      </w:r>
    </w:p>
    <w:p>
      <w:pPr>
        <w:spacing w:after="0" w:line="150" w:lineRule="exact"/>
        <w:rPr>
          <w:rFonts w:ascii="Arial" w:cs="Arial" w:eastAsia="Arial" w:hAnsi="Arial"/>
          <w:sz w:val="12"/>
          <w:szCs w:val="12"/>
          <w:color w:val="auto"/>
        </w:rPr>
      </w:pPr>
    </w:p>
    <w:p>
      <w:pPr>
        <w:jc w:val="both"/>
        <w:ind w:left="248" w:right="20" w:hanging="248"/>
        <w:spacing w:after="0" w:line="255" w:lineRule="auto"/>
        <w:tabs>
          <w:tab w:leader="none" w:pos="248"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amounts in Option and Warrant Awards column do not represent any cash payments actually received by Mr. Singh, Dr. Snodgrass or Mr. Dotson with respect to any of the options or warrants to purchase restricted shares of our common stock awarded to them or modified during the periods presented. Rather, the amounts in the Option and Warrant Awards column represent the deemed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Arial" w:cs="Arial" w:eastAsia="Arial" w:hAnsi="Arial"/>
          <w:sz w:val="12"/>
          <w:szCs w:val="12"/>
          <w:i w:val="1"/>
          <w:iCs w:val="1"/>
          <w:color w:val="auto"/>
        </w:rPr>
        <w:t>ASC 718</w:t>
      </w:r>
      <w:r>
        <w:rPr>
          <w:rFonts w:ascii="Arial" w:cs="Arial" w:eastAsia="Arial" w:hAnsi="Arial"/>
          <w:sz w:val="12"/>
          <w:szCs w:val="12"/>
          <w:color w:val="auto"/>
        </w:rPr>
        <w:t>). Except as indicated in note (9) below, to date, Mr. Singh, Dr. Snodgrass and Mr. Dotson have not exercised such options or warrants to purchase common stock, and there can be no assurance that any of them will ever realize any of the ASC 718 grant date fair value amounts presented in the Option and Warrant Awards column.</w:t>
      </w:r>
    </w:p>
    <w:p>
      <w:pPr>
        <w:spacing w:after="0" w:line="147"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2"/>
                <w:szCs w:val="12"/>
                <w:color w:val="auto"/>
                <w:w w:val="92"/>
              </w:rPr>
              <w:t>Option/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Option</w:t>
            </w:r>
          </w:p>
        </w:tc>
        <w:tc>
          <w:tcPr>
            <w:tcW w:w="180" w:type="dxa"/>
            <w:vAlign w:val="bottom"/>
          </w:tcPr>
          <w:p>
            <w:pPr>
              <w:spacing w:after="0"/>
              <w:rPr>
                <w:sz w:val="12"/>
                <w:szCs w:val="12"/>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2"/>
                <w:szCs w:val="12"/>
                <w:color w:val="auto"/>
                <w:w w:val="88"/>
              </w:rPr>
              <w:t>Warrant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96"/>
              </w:rPr>
              <w:t>Option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left="400"/>
              <w:spacing w:after="0"/>
              <w:rPr>
                <w:sz w:val="20"/>
                <w:szCs w:val="20"/>
                <w:color w:val="auto"/>
              </w:rPr>
            </w:pPr>
            <w:r>
              <w:rPr>
                <w:rFonts w:ascii="Arial" w:cs="Arial" w:eastAsia="Arial" w:hAnsi="Arial"/>
                <w:sz w:val="12"/>
                <w:szCs w:val="12"/>
                <w:color w:val="auto"/>
                <w:w w:val="88"/>
              </w:rPr>
              <w:t>Warrant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2"/>
                <w:szCs w:val="12"/>
                <w:color w:val="auto"/>
                <w:w w:val="88"/>
              </w:rPr>
              <w:t>Warrant Exchange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Grant</w:t>
            </w:r>
          </w:p>
        </w:tc>
        <w:tc>
          <w:tcPr>
            <w:tcW w:w="18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2"/>
                <w:szCs w:val="12"/>
                <w:color w:val="auto"/>
                <w:w w:val="86"/>
              </w:rPr>
              <w:t>Grant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96"/>
              </w:rPr>
              <w:t>Modification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left="420"/>
              <w:spacing w:after="0"/>
              <w:rPr>
                <w:sz w:val="20"/>
                <w:szCs w:val="20"/>
                <w:color w:val="auto"/>
              </w:rPr>
            </w:pPr>
            <w:r>
              <w:rPr>
                <w:rFonts w:ascii="Arial" w:cs="Arial" w:eastAsia="Arial" w:hAnsi="Arial"/>
                <w:sz w:val="12"/>
                <w:szCs w:val="12"/>
                <w:color w:val="auto"/>
                <w:w w:val="99"/>
              </w:rPr>
              <w:t>Modification</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2"/>
                <w:szCs w:val="12"/>
                <w:color w:val="auto"/>
                <w:w w:val="95"/>
              </w:rPr>
              <w:t>(a)</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00"/>
              <w:spacing w:after="0"/>
              <w:rPr>
                <w:sz w:val="20"/>
                <w:szCs w:val="20"/>
                <w:color w:val="auto"/>
              </w:rPr>
            </w:pPr>
            <w:r>
              <w:rPr>
                <w:rFonts w:ascii="Arial" w:cs="Arial" w:eastAsia="Arial" w:hAnsi="Arial"/>
                <w:sz w:val="12"/>
                <w:szCs w:val="12"/>
                <w:color w:val="auto"/>
                <w:w w:val="89"/>
              </w:rPr>
              <w:t>10/27/2013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00"/>
              <w:spacing w:after="0"/>
              <w:rPr>
                <w:sz w:val="20"/>
                <w:szCs w:val="20"/>
                <w:color w:val="auto"/>
              </w:rPr>
            </w:pPr>
            <w:r>
              <w:rPr>
                <w:rFonts w:ascii="Arial" w:cs="Arial" w:eastAsia="Arial" w:hAnsi="Arial"/>
                <w:sz w:val="12"/>
                <w:szCs w:val="12"/>
                <w:color w:val="auto"/>
                <w:w w:val="93"/>
              </w:rPr>
              <w:t>3/19/2014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89"/>
              </w:rPr>
              <w:t>12/20/2013</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center"/>
              <w:ind w:left="400"/>
              <w:spacing w:after="0"/>
              <w:rPr>
                <w:sz w:val="20"/>
                <w:szCs w:val="20"/>
                <w:color w:val="auto"/>
              </w:rPr>
            </w:pPr>
            <w:r>
              <w:rPr>
                <w:rFonts w:ascii="Arial" w:cs="Arial" w:eastAsia="Arial" w:hAnsi="Arial"/>
                <w:sz w:val="12"/>
                <w:szCs w:val="12"/>
                <w:color w:val="auto"/>
                <w:w w:val="89"/>
              </w:rPr>
              <w:t>12/20/2013</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60"/>
              <w:spacing w:after="0"/>
              <w:rPr>
                <w:sz w:val="20"/>
                <w:szCs w:val="20"/>
                <w:color w:val="auto"/>
              </w:rPr>
            </w:pPr>
            <w:r>
              <w:rPr>
                <w:rFonts w:ascii="Arial" w:cs="Arial" w:eastAsia="Arial" w:hAnsi="Arial"/>
                <w:sz w:val="12"/>
                <w:szCs w:val="12"/>
                <w:color w:val="auto"/>
                <w:w w:val="89"/>
              </w:rPr>
              <w:t>3/19/2014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Singh</w:t>
            </w: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134,436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25,366</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159,802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Snodgrass</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14,560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56,835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30,958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102,353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Dotson</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6,380</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29,120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36,846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6,380</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43,680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192,617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25,366</w:t>
            </w: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30,958</w:t>
            </w:r>
          </w:p>
        </w:tc>
        <w:tc>
          <w:tcPr>
            <w:tcW w:w="1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299,001</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2"/>
                <w:szCs w:val="12"/>
                <w:color w:val="auto"/>
              </w:rPr>
              <w:t>Before</w:t>
            </w: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20"/>
              <w:spacing w:after="0"/>
              <w:rPr>
                <w:sz w:val="20"/>
                <w:szCs w:val="20"/>
                <w:color w:val="auto"/>
              </w:rPr>
            </w:pPr>
            <w:r>
              <w:rPr>
                <w:rFonts w:ascii="Arial" w:cs="Arial" w:eastAsia="Arial" w:hAnsi="Arial"/>
                <w:sz w:val="12"/>
                <w:szCs w:val="12"/>
                <w:color w:val="auto"/>
              </w:rPr>
              <w:t>After</w:t>
            </w:r>
          </w:p>
        </w:tc>
        <w:tc>
          <w:tcPr>
            <w:tcW w:w="220" w:type="dxa"/>
            <w:vAlign w:val="bottom"/>
            <w:tcBorders>
              <w:top w:val="single" w:sz="8" w:color="CCEEFF"/>
            </w:tcBorders>
            <w:gridSpan w:val="2"/>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2"/>
                <w:szCs w:val="12"/>
                <w:color w:val="auto"/>
              </w:rPr>
              <w:t>Before</w:t>
            </w: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rPr>
              <w:t>After</w:t>
            </w:r>
          </w:p>
        </w:tc>
        <w:tc>
          <w:tcPr>
            <w:tcW w:w="200" w:type="dxa"/>
            <w:vAlign w:val="bottom"/>
            <w:tcBorders>
              <w:top w:val="single" w:sz="8" w:color="CCEEFF"/>
            </w:tcBorders>
            <w:gridSpan w:val="2"/>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Before</w:t>
            </w:r>
          </w:p>
        </w:tc>
        <w:tc>
          <w:tcPr>
            <w:tcW w:w="180" w:type="dxa"/>
            <w:vAlign w:val="bottom"/>
            <w:tcBorders>
              <w:top w:val="single" w:sz="8" w:color="CCEEFF"/>
            </w:tcBorders>
            <w:gridSpan w:val="2"/>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After</w:t>
            </w: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0.40</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0.46</w:t>
            </w: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0.40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0.40</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0.40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180" w:type="dxa"/>
            <w:vAlign w:val="bottom"/>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0.40</w:t>
            </w: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0.50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$0.75 to $2.10</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$0.50 to $1.75</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ind w:right="180"/>
              <w:spacing w:after="0"/>
              <w:rPr>
                <w:sz w:val="20"/>
                <w:szCs w:val="20"/>
                <w:color w:val="auto"/>
              </w:rPr>
            </w:pPr>
            <w:r>
              <w:rPr>
                <w:rFonts w:ascii="Arial" w:cs="Arial" w:eastAsia="Arial" w:hAnsi="Arial"/>
                <w:sz w:val="12"/>
                <w:szCs w:val="12"/>
                <w:color w:val="auto"/>
              </w:rPr>
              <w:t>0.50</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0.50</w:t>
            </w:r>
          </w:p>
        </w:tc>
        <w:tc>
          <w:tcPr>
            <w:tcW w:w="2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0.50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0.07% to</w:t>
            </w:r>
          </w:p>
        </w:tc>
        <w:tc>
          <w:tcPr>
            <w:tcW w:w="2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0.75% to</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1.675%</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0.7% to 2.68%</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4"/>
              </w:rPr>
              <w:t>0.12% to 2.68%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w:t>
            </w:r>
          </w:p>
        </w:tc>
        <w:tc>
          <w:tcPr>
            <w:tcW w:w="2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0.106%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68.76% to</w:t>
            </w:r>
          </w:p>
        </w:tc>
        <w:tc>
          <w:tcPr>
            <w:tcW w:w="280" w:type="dxa"/>
            <w:vAlign w:val="bottom"/>
          </w:tcPr>
          <w:p>
            <w:pPr>
              <w:spacing w:after="0"/>
              <w:rPr>
                <w:sz w:val="11"/>
                <w:szCs w:val="11"/>
                <w:color w:val="auto"/>
              </w:rPr>
            </w:pPr>
          </w:p>
        </w:tc>
        <w:tc>
          <w:tcPr>
            <w:tcW w:w="960" w:type="dxa"/>
            <w:vAlign w:val="bottom"/>
            <w:gridSpan w:val="3"/>
          </w:tcPr>
          <w:p>
            <w:pPr>
              <w:jc w:val="right"/>
              <w:ind w:right="180"/>
              <w:spacing w:after="0" w:line="136" w:lineRule="exact"/>
              <w:rPr>
                <w:sz w:val="20"/>
                <w:szCs w:val="20"/>
                <w:color w:val="auto"/>
              </w:rPr>
            </w:pPr>
            <w:r>
              <w:rPr>
                <w:rFonts w:ascii="Arial" w:cs="Arial" w:eastAsia="Arial" w:hAnsi="Arial"/>
                <w:sz w:val="12"/>
                <w:szCs w:val="12"/>
                <w:color w:val="auto"/>
              </w:rPr>
              <w:t>76.51% to</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60" w:type="dxa"/>
            <w:vAlign w:val="bottom"/>
            <w:gridSpan w:val="2"/>
          </w:tcPr>
          <w:p>
            <w:pPr>
              <w:spacing w:after="0"/>
              <w:rPr>
                <w:sz w:val="20"/>
                <w:szCs w:val="20"/>
                <w:color w:val="auto"/>
              </w:rPr>
            </w:pPr>
            <w:r>
              <w:rPr>
                <w:rFonts w:ascii="Arial" w:cs="Arial" w:eastAsia="Arial" w:hAnsi="Arial"/>
                <w:sz w:val="12"/>
                <w:szCs w:val="12"/>
                <w:color w:val="auto"/>
              </w:rPr>
              <w:t>Volatility</w:t>
            </w:r>
          </w:p>
        </w:tc>
        <w:tc>
          <w:tcPr>
            <w:tcW w:w="1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99.53%</w:t>
            </w: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80.57%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68.8% to 97.6%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w w:val="99"/>
              </w:rPr>
              <w:t>68.8% to 97.6%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78.21%</w:t>
            </w:r>
          </w:p>
        </w:tc>
        <w:tc>
          <w:tcPr>
            <w:tcW w:w="280" w:type="dxa"/>
            <w:vAlign w:val="bottom"/>
          </w:tcPr>
          <w:p>
            <w:pPr>
              <w:spacing w:after="0"/>
              <w:rPr>
                <w:sz w:val="13"/>
                <w:szCs w:val="13"/>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2"/>
                <w:szCs w:val="12"/>
                <w:color w:val="auto"/>
              </w:rPr>
              <w:t>78.21%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2"/>
                <w:szCs w:val="12"/>
                <w:color w:val="auto"/>
              </w:rPr>
              <w:t>68.96 %</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80.57%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0.87 to</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0.03 to</w:t>
            </w:r>
          </w:p>
        </w:tc>
        <w:tc>
          <w:tcPr>
            <w:tcW w:w="2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3.03 to</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6.25</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0.25 to 8.86</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3.96</w:t>
            </w:r>
          </w:p>
        </w:tc>
        <w:tc>
          <w:tcPr>
            <w:tcW w:w="2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3.96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0.63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Dividend rate</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280" w:type="dxa"/>
            <w:vAlign w:val="bottom"/>
          </w:tcPr>
          <w:p>
            <w:pPr>
              <w:spacing w:after="0"/>
              <w:rPr>
                <w:sz w:val="12"/>
                <w:szCs w:val="1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2"/>
                <w:szCs w:val="12"/>
                <w:color w:val="auto"/>
              </w:rPr>
              <w:t>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2"/>
                <w:szCs w:val="12"/>
                <w:color w:val="auto"/>
              </w:rPr>
              <w:t>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0.32</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0.29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$0.00 to $0.32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$0.07 to $0.34</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$0.00 to $0.11</w:t>
            </w:r>
          </w:p>
        </w:tc>
        <w:tc>
          <w:tcPr>
            <w:tcW w:w="2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w w:val="98"/>
              </w:rPr>
              <w:t>$0.18 to $0.21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0.08</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Aggregate shares</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150,000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2,322,500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2,322,500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166,052</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166,052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150,000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2"/>
                <w:szCs w:val="12"/>
                <w:color w:val="auto"/>
              </w:rPr>
              <w:t>-89-</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9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6" w:name="page97"/>
    <w:bookmarkEnd w:id="96"/>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jc w:val="both"/>
        <w:ind w:left="8" w:hanging="8"/>
        <w:spacing w:after="0" w:line="259" w:lineRule="auto"/>
        <w:tabs>
          <w:tab w:leader="none" w:pos="21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On March 19, 2014, the Board and Dr. Snodgrass agreed to cancel a fully-vested option to purchase 150,000 shares of our restricted common stock at a price of $0.50 per share and expiring on November 4, 2014 in exchange for the grant of a five-year warrant to purchase 150,000 shares of our restricted common stock at a price of $0.50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143" w:lineRule="exact"/>
        <w:rPr>
          <w:sz w:val="20"/>
          <w:szCs w:val="20"/>
          <w:color w:val="auto"/>
        </w:rPr>
      </w:pPr>
    </w:p>
    <w:p>
      <w:pPr>
        <w:ind w:left="348" w:right="20" w:hanging="348"/>
        <w:spacing w:after="0" w:line="276" w:lineRule="auto"/>
        <w:tabs>
          <w:tab w:leader="none" w:pos="348"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 June and October 2013, Mr. Singh exercised warrants granted to him in March 2013, described in Note 10, below, to purchase an aggregate of 60,000 shares of our restricted common stock at $0.64 per share. Mr. Singh continues to hold the shares of our restricted common stock issued upon his exercise of the warrants.</w:t>
      </w:r>
    </w:p>
    <w:p>
      <w:pPr>
        <w:spacing w:after="0" w:line="82" w:lineRule="exact"/>
        <w:rPr>
          <w:rFonts w:ascii="Arial" w:cs="Arial" w:eastAsia="Arial" w:hAnsi="Arial"/>
          <w:sz w:val="12"/>
          <w:szCs w:val="12"/>
          <w:color w:val="auto"/>
        </w:rPr>
      </w:pPr>
    </w:p>
    <w:p>
      <w:pPr>
        <w:ind w:left="288" w:hanging="288"/>
        <w:spacing w:after="0"/>
        <w:tabs>
          <w:tab w:leader="none" w:pos="288" w:val="left"/>
        </w:tabs>
        <w:numPr>
          <w:ilvl w:val="0"/>
          <w:numId w:val="50"/>
        </w:numPr>
        <w:rPr>
          <w:rFonts w:ascii="Arial" w:cs="Arial" w:eastAsia="Arial" w:hAnsi="Arial"/>
          <w:sz w:val="24"/>
          <w:szCs w:val="24"/>
          <w:color w:val="auto"/>
          <w:vertAlign w:val="superscript"/>
        </w:rPr>
      </w:pPr>
      <w:r>
        <w:rPr>
          <w:rFonts w:ascii="Arial" w:cs="Arial" w:eastAsia="Arial" w:hAnsi="Arial"/>
          <w:sz w:val="12"/>
          <w:szCs w:val="12"/>
          <w:color w:val="auto"/>
        </w:rPr>
        <w:t>We used the Black Scholes Option Pricing Model and the following assumptions for determining the grant date fair value of the warrants to purchase shares of our common stock granted in March 2013.</w:t>
      </w: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4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14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Expected Term (years)</w:t>
            </w:r>
          </w:p>
        </w:tc>
        <w:tc>
          <w:tcPr>
            <w:tcW w:w="1480" w:type="dxa"/>
            <w:vAlign w:val="bottom"/>
          </w:tcPr>
          <w:p>
            <w:pPr>
              <w:spacing w:after="0"/>
              <w:rPr>
                <w:sz w:val="12"/>
                <w:szCs w:val="12"/>
                <w:color w:val="auto"/>
              </w:rPr>
            </w:pP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Dividend rate</w:t>
            </w:r>
          </w:p>
        </w:tc>
        <w:tc>
          <w:tcPr>
            <w:tcW w:w="14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Grant date fair value per share</w:t>
            </w:r>
          </w:p>
        </w:tc>
        <w:tc>
          <w:tcPr>
            <w:tcW w:w="14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0.53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160" w:type="dxa"/>
            <w:vAlign w:val="bottom"/>
          </w:tcPr>
          <w:p>
            <w:pPr>
              <w:ind w:left="260"/>
              <w:spacing w:after="0"/>
              <w:rPr>
                <w:sz w:val="20"/>
                <w:szCs w:val="20"/>
                <w:color w:val="auto"/>
              </w:rPr>
            </w:pPr>
            <w:r>
              <w:rPr>
                <w:rFonts w:ascii="Arial" w:cs="Arial" w:eastAsia="Arial" w:hAnsi="Arial"/>
                <w:sz w:val="12"/>
                <w:szCs w:val="12"/>
                <w:color w:val="auto"/>
              </w:rPr>
              <w:t>Mr. Singh, Dr. Snodgrass and Mr. Dotson were granted warrants to purchase 1,500,000, 1,000,000 and 200,000 restricted shares of our common stock, respectively.</w:t>
            </w: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(11)</w:t>
      </w:r>
    </w:p>
    <w:p>
      <w:pPr>
        <w:spacing w:after="0" w:line="78" w:lineRule="exact"/>
        <w:rPr>
          <w:sz w:val="20"/>
          <w:szCs w:val="20"/>
          <w:color w:val="auto"/>
        </w:rPr>
      </w:pPr>
    </w:p>
    <w:p>
      <w:pPr>
        <w:jc w:val="both"/>
        <w:ind w:left="288"/>
        <w:spacing w:after="0" w:line="257" w:lineRule="auto"/>
        <w:rPr>
          <w:sz w:val="20"/>
          <w:szCs w:val="20"/>
          <w:color w:val="auto"/>
        </w:rPr>
      </w:pPr>
      <w:r>
        <w:rPr>
          <w:rFonts w:ascii="Arial" w:cs="Arial" w:eastAsia="Arial" w:hAnsi="Arial"/>
          <w:sz w:val="12"/>
          <w:szCs w:val="12"/>
          <w:color w:val="auto"/>
        </w:rPr>
        <w:t>In October 2012, we modified the stock option award granted to Mr. Dotson in September 2011 to reduce the exercise price of the option from $2.58 per share to $0.75 per share and granted him a new stock option to purchase an additional 50,000 restricted shares of our common stock. We used the Black Scholes Option Pricing Model and the following assumptions to determine incremental fair value of the modified option and the grant date fair value of $0.51 per share for the new option: market price per share: $0.71; exercise price per share: $0.75; risk-free interest rate: 1.00%; expected term: 6.25 years; volatility 85.35%; dividend rate: 0%. The figure reported includes (i) the grant date fair value of the warrant granted to Mr. Dotson, determined in accordance with the assumptions described in note 5 above, $106,988; (ii) the fair value of the new option, $25,385; and (iii) the incremental fair value resulting from the modification of the September 2011 stock option grant, $1,943.</w:t>
      </w:r>
    </w:p>
    <w:p>
      <w:pPr>
        <w:spacing w:after="0" w:line="200" w:lineRule="exact"/>
        <w:rPr>
          <w:sz w:val="20"/>
          <w:szCs w:val="20"/>
          <w:color w:val="auto"/>
        </w:rPr>
      </w:pPr>
    </w:p>
    <w:p>
      <w:pPr>
        <w:spacing w:after="0" w:line="214" w:lineRule="exact"/>
        <w:rPr>
          <w:sz w:val="20"/>
          <w:szCs w:val="20"/>
          <w:color w:val="auto"/>
        </w:rPr>
      </w:pPr>
    </w:p>
    <w:p>
      <w:pPr>
        <w:ind w:left="8" w:right="2300" w:hanging="8"/>
        <w:spacing w:after="0" w:line="444" w:lineRule="auto"/>
        <w:tabs>
          <w:tab w:leader="none" w:pos="305" w:val="left"/>
        </w:tabs>
        <w:numPr>
          <w:ilvl w:val="0"/>
          <w:numId w:val="51"/>
        </w:numPr>
        <w:rPr>
          <w:rFonts w:ascii="Arial" w:cs="Arial" w:eastAsia="Arial" w:hAnsi="Arial"/>
          <w:sz w:val="24"/>
          <w:szCs w:val="24"/>
          <w:color w:val="auto"/>
          <w:vertAlign w:val="superscript"/>
        </w:rPr>
      </w:pPr>
      <w:r>
        <w:rPr>
          <w:rFonts w:ascii="Arial" w:cs="Arial" w:eastAsia="Arial" w:hAnsi="Arial"/>
          <w:sz w:val="12"/>
          <w:szCs w:val="12"/>
          <w:color w:val="auto"/>
        </w:rPr>
        <w:t>Amount shown represent cash compensation paid to Mr. Dotson under the terms of the consulting agreement between us and Mr. Dotson for the period April 2012 through August 2012. None of the NEOs is entitled to perquisites or other personal benefits that, in the aggregate, are worth over $50,000 or over 10% of their base salary.</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7" w:name="page98"/>
    <w:bookmarkEnd w:id="9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Options and Warrants Granted to Named Executive Officers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information regarding each unexercised stock option and warrant to purchase restricted shares of our common stock held by each of the named executive officers as of March 31, 2014:</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ind w:left="1520"/>
              <w:spacing w:after="0"/>
              <w:rPr>
                <w:sz w:val="20"/>
                <w:szCs w:val="20"/>
                <w:color w:val="auto"/>
              </w:rPr>
            </w:pPr>
            <w:r>
              <w:rPr>
                <w:rFonts w:ascii="Arial" w:cs="Arial" w:eastAsia="Arial" w:hAnsi="Arial"/>
                <w:sz w:val="12"/>
                <w:szCs w:val="12"/>
                <w:b w:val="1"/>
                <w:bCs w:val="1"/>
                <w:color w:val="auto"/>
              </w:rPr>
              <w:t>Stock Options</w:t>
            </w:r>
          </w:p>
        </w:tc>
        <w:tc>
          <w:tcPr>
            <w:tcW w:w="1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84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3"/>
              </w:rPr>
              <w:t>Number of</w:t>
            </w:r>
          </w:p>
        </w:tc>
        <w:tc>
          <w:tcPr>
            <w:tcW w:w="2480" w:type="dxa"/>
            <w:vAlign w:val="bottom"/>
            <w:gridSpan w:val="3"/>
          </w:tcPr>
          <w:p>
            <w:pPr>
              <w:jc w:val="center"/>
              <w:ind w:right="760"/>
              <w:spacing w:after="0" w:line="129" w:lineRule="exact"/>
              <w:rPr>
                <w:sz w:val="20"/>
                <w:szCs w:val="20"/>
                <w:color w:val="auto"/>
              </w:rPr>
            </w:pPr>
            <w:r>
              <w:rPr>
                <w:rFonts w:ascii="Arial" w:cs="Arial" w:eastAsia="Arial" w:hAnsi="Arial"/>
                <w:sz w:val="12"/>
                <w:szCs w:val="12"/>
                <w:b w:val="1"/>
                <w:bCs w:val="1"/>
                <w:color w:val="auto"/>
                <w:w w:val="93"/>
              </w:rPr>
              <w:t>Number of</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Securities</w:t>
            </w:r>
          </w:p>
        </w:tc>
        <w:tc>
          <w:tcPr>
            <w:tcW w:w="2480" w:type="dxa"/>
            <w:vAlign w:val="bottom"/>
            <w:gridSpan w:val="3"/>
          </w:tcPr>
          <w:p>
            <w:pPr>
              <w:jc w:val="center"/>
              <w:ind w:right="780"/>
              <w:spacing w:after="0"/>
              <w:rPr>
                <w:sz w:val="20"/>
                <w:szCs w:val="20"/>
                <w:color w:val="auto"/>
              </w:rPr>
            </w:pPr>
            <w:r>
              <w:rPr>
                <w:rFonts w:ascii="Arial" w:cs="Arial" w:eastAsia="Arial" w:hAnsi="Arial"/>
                <w:sz w:val="12"/>
                <w:szCs w:val="12"/>
                <w:b w:val="1"/>
                <w:bCs w:val="1"/>
                <w:color w:val="auto"/>
                <w:w w:val="87"/>
              </w:rPr>
              <w:t>Securities</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Underlying</w:t>
            </w:r>
          </w:p>
        </w:tc>
        <w:tc>
          <w:tcPr>
            <w:tcW w:w="2480" w:type="dxa"/>
            <w:vAlign w:val="bottom"/>
            <w:gridSpan w:val="3"/>
          </w:tcPr>
          <w:p>
            <w:pPr>
              <w:jc w:val="center"/>
              <w:ind w:right="780"/>
              <w:spacing w:after="0"/>
              <w:rPr>
                <w:sz w:val="20"/>
                <w:szCs w:val="20"/>
                <w:color w:val="auto"/>
              </w:rPr>
            </w:pPr>
            <w:r>
              <w:rPr>
                <w:rFonts w:ascii="Arial" w:cs="Arial" w:eastAsia="Arial" w:hAnsi="Arial"/>
                <w:sz w:val="12"/>
                <w:szCs w:val="12"/>
                <w:b w:val="1"/>
                <w:bCs w:val="1"/>
                <w:color w:val="auto"/>
                <w:w w:val="92"/>
              </w:rPr>
              <w:t>Underlying</w:t>
            </w:r>
          </w:p>
        </w:tc>
        <w:tc>
          <w:tcPr>
            <w:tcW w:w="154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2"/>
              </w:rPr>
              <w:t>Option</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Unexercised</w:t>
            </w:r>
          </w:p>
        </w:tc>
        <w:tc>
          <w:tcPr>
            <w:tcW w:w="248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auto"/>
                <w:w w:val="89"/>
              </w:rPr>
              <w:t>Unexercised</w:t>
            </w:r>
          </w:p>
        </w:tc>
        <w:tc>
          <w:tcPr>
            <w:tcW w:w="154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84"/>
              </w:rPr>
              <w:t>Exercise</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Options (#)</w:t>
            </w:r>
          </w:p>
        </w:tc>
        <w:tc>
          <w:tcPr>
            <w:tcW w:w="248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auto"/>
                <w:w w:val="88"/>
              </w:rPr>
              <w:t>Options (#)</w:t>
            </w:r>
          </w:p>
        </w:tc>
        <w:tc>
          <w:tcPr>
            <w:tcW w:w="154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88"/>
              </w:rPr>
              <w:t>Price</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1"/>
              </w:rPr>
              <w:t>Expiration</w:t>
            </w:r>
          </w:p>
        </w:tc>
        <w:tc>
          <w:tcPr>
            <w:tcW w:w="0" w:type="dxa"/>
            <w:vAlign w:val="bottom"/>
          </w:tcPr>
          <w:p>
            <w:pPr>
              <w:spacing w:after="0"/>
              <w:rPr>
                <w:sz w:val="1"/>
                <w:szCs w:val="1"/>
                <w:color w:val="auto"/>
              </w:rPr>
            </w:pPr>
          </w:p>
        </w:tc>
      </w:tr>
      <w:tr>
        <w:trPr>
          <w:trHeight w:val="157"/>
        </w:trPr>
        <w:tc>
          <w:tcPr>
            <w:tcW w:w="40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Exercisable</w:t>
            </w:r>
          </w:p>
        </w:tc>
        <w:tc>
          <w:tcPr>
            <w:tcW w:w="248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auto"/>
                <w:w w:val="88"/>
              </w:rPr>
              <w:t>Unexercisable</w:t>
            </w:r>
          </w:p>
        </w:tc>
        <w:tc>
          <w:tcPr>
            <w:tcW w:w="1300" w:type="dxa"/>
            <w:vAlign w:val="bottom"/>
          </w:tcPr>
          <w:p>
            <w:pPr>
              <w:jc w:val="center"/>
              <w:ind w:right="340"/>
              <w:spacing w:after="0"/>
              <w:rPr>
                <w:sz w:val="20"/>
                <w:szCs w:val="20"/>
                <w:color w:val="auto"/>
              </w:rPr>
            </w:pPr>
            <w:r>
              <w:rPr>
                <w:rFonts w:ascii="Arial" w:cs="Arial" w:eastAsia="Arial" w:hAnsi="Arial"/>
                <w:sz w:val="12"/>
                <w:szCs w:val="12"/>
                <w:color w:val="auto"/>
                <w:w w:val="95"/>
              </w:rPr>
              <w:t>($)</w:t>
            </w:r>
          </w:p>
        </w:tc>
        <w:tc>
          <w:tcPr>
            <w:tcW w:w="2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12/21/2016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40,000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0.72</w:t>
            </w:r>
          </w:p>
        </w:tc>
        <w:tc>
          <w:tcPr>
            <w:tcW w:w="1600" w:type="dxa"/>
            <w:vAlign w:val="bottom"/>
          </w:tcPr>
          <w:p>
            <w:pPr>
              <w:spacing w:after="0"/>
              <w:rPr>
                <w:sz w:val="20"/>
                <w:szCs w:val="20"/>
                <w:color w:val="auto"/>
              </w:rPr>
            </w:pPr>
            <w:r>
              <w:rPr>
                <w:rFonts w:ascii="Arial" w:cs="Arial" w:eastAsia="Arial" w:hAnsi="Arial"/>
                <w:sz w:val="12"/>
                <w:szCs w:val="12"/>
                <w:color w:val="auto"/>
              </w:rPr>
              <w:t>5/17/2017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20,000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22,500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6/17/2019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11/4/2019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425,000</w:t>
            </w:r>
          </w:p>
        </w:tc>
        <w:tc>
          <w:tcPr>
            <w:tcW w:w="220" w:type="dxa"/>
            <w:vAlign w:val="bottom"/>
          </w:tcPr>
          <w:p>
            <w:pPr>
              <w:spacing w:after="0"/>
              <w:rPr>
                <w:sz w:val="12"/>
                <w:szCs w:val="12"/>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72,916</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27,084</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80,338</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35,714</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50,000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12/6/2017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7/30/2016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690,000</w:t>
            </w:r>
          </w:p>
        </w:tc>
        <w:tc>
          <w:tcPr>
            <w:tcW w:w="220" w:type="dxa"/>
            <w:vAlign w:val="bottom"/>
          </w:tcPr>
          <w:p>
            <w:pPr>
              <w:spacing w:after="0"/>
              <w:rPr>
                <w:sz w:val="12"/>
                <w:szCs w:val="12"/>
                <w:color w:val="auto"/>
              </w:rPr>
            </w:pPr>
          </w:p>
        </w:tc>
        <w:tc>
          <w:tcPr>
            <w:tcW w:w="2080" w:type="dxa"/>
            <w:vAlign w:val="bottom"/>
            <w:gridSpan w:val="2"/>
          </w:tcPr>
          <w:p>
            <w:pPr>
              <w:jc w:val="right"/>
              <w:ind w:right="240"/>
              <w:spacing w:after="0" w:line="144" w:lineRule="exact"/>
              <w:rPr>
                <w:sz w:val="20"/>
                <w:szCs w:val="20"/>
                <w:color w:val="auto"/>
              </w:rPr>
            </w:pPr>
            <w:r>
              <w:rPr>
                <w:rFonts w:ascii="Arial" w:cs="Arial" w:eastAsia="Arial" w:hAnsi="Arial"/>
                <w:sz w:val="12"/>
                <w:szCs w:val="12"/>
                <w:color w:val="auto"/>
              </w:rPr>
              <w:t>750,000</w:t>
            </w:r>
            <w:r>
              <w:rPr>
                <w:rFonts w:ascii="Arial" w:cs="Arial" w:eastAsia="Arial" w:hAnsi="Arial"/>
                <w:sz w:val="16"/>
                <w:szCs w:val="16"/>
                <w:color w:val="auto"/>
                <w:vertAlign w:val="subscript"/>
              </w:rPr>
              <w:t>(1)</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1600" w:type="dxa"/>
            <w:vAlign w:val="bottom"/>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2,636,468</w:t>
            </w:r>
          </w:p>
        </w:tc>
        <w:tc>
          <w:tcPr>
            <w:tcW w:w="220" w:type="dxa"/>
            <w:vAlign w:val="bottom"/>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777,084</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H. Ralph Snodgrass, Ph.D.</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25,000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6/17/2014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6,362</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0.88</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12/20/2016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250,000</w:t>
            </w:r>
          </w:p>
        </w:tc>
        <w:tc>
          <w:tcPr>
            <w:tcW w:w="220" w:type="dxa"/>
            <w:vAlign w:val="bottom"/>
          </w:tcPr>
          <w:p>
            <w:pPr>
              <w:spacing w:after="0"/>
              <w:rPr>
                <w:sz w:val="12"/>
                <w:szCs w:val="12"/>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72,916</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27,084</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500,000</w:t>
            </w:r>
          </w:p>
        </w:tc>
        <w:tc>
          <w:tcPr>
            <w:tcW w:w="220" w:type="dxa"/>
            <w:vAlign w:val="bottom"/>
          </w:tcPr>
          <w:p>
            <w:pPr>
              <w:spacing w:after="0"/>
              <w:rPr>
                <w:sz w:val="12"/>
                <w:szCs w:val="12"/>
                <w:color w:val="auto"/>
              </w:rPr>
            </w:pPr>
          </w:p>
        </w:tc>
        <w:tc>
          <w:tcPr>
            <w:tcW w:w="2080" w:type="dxa"/>
            <w:vAlign w:val="bottom"/>
            <w:gridSpan w:val="2"/>
          </w:tcPr>
          <w:p>
            <w:pPr>
              <w:jc w:val="right"/>
              <w:ind w:right="240"/>
              <w:spacing w:after="0" w:line="144" w:lineRule="exact"/>
              <w:rPr>
                <w:sz w:val="20"/>
                <w:szCs w:val="20"/>
                <w:color w:val="auto"/>
              </w:rPr>
            </w:pPr>
            <w:r>
              <w:rPr>
                <w:rFonts w:ascii="Arial" w:cs="Arial" w:eastAsia="Arial" w:hAnsi="Arial"/>
                <w:sz w:val="12"/>
                <w:szCs w:val="12"/>
                <w:color w:val="auto"/>
              </w:rPr>
              <w:t>500,000</w:t>
            </w:r>
            <w:r>
              <w:rPr>
                <w:rFonts w:ascii="Arial" w:cs="Arial" w:eastAsia="Arial" w:hAnsi="Arial"/>
                <w:sz w:val="16"/>
                <w:szCs w:val="16"/>
                <w:color w:val="auto"/>
                <w:vertAlign w:val="subscript"/>
              </w:rPr>
              <w:t>(1)</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1600" w:type="dxa"/>
            <w:vAlign w:val="bottom"/>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2"/>
                <w:szCs w:val="12"/>
                <w:color w:val="auto"/>
              </w:rPr>
              <w:t>50,000</w:t>
            </w:r>
            <w:r>
              <w:rPr>
                <w:rFonts w:ascii="Arial" w:cs="Arial" w:eastAsia="Arial" w:hAnsi="Arial"/>
                <w:sz w:val="16"/>
                <w:szCs w:val="16"/>
                <w:color w:val="auto"/>
                <w:vertAlign w:val="subscript"/>
              </w:rPr>
              <w:t>(2)</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80" w:type="dxa"/>
            <w:vAlign w:val="bottom"/>
            <w:gridSpan w:val="2"/>
          </w:tcPr>
          <w:p>
            <w:pPr>
              <w:jc w:val="right"/>
              <w:ind w:right="240"/>
              <w:spacing w:after="0" w:line="144" w:lineRule="exact"/>
              <w:rPr>
                <w:sz w:val="20"/>
                <w:szCs w:val="20"/>
                <w:color w:val="auto"/>
              </w:rPr>
            </w:pPr>
            <w:r>
              <w:rPr>
                <w:rFonts w:ascii="Arial" w:cs="Arial" w:eastAsia="Arial" w:hAnsi="Arial"/>
                <w:sz w:val="12"/>
                <w:szCs w:val="12"/>
                <w:color w:val="auto"/>
              </w:rPr>
              <w:t>150,000</w:t>
            </w:r>
            <w:r>
              <w:rPr>
                <w:rFonts w:ascii="Arial" w:cs="Arial" w:eastAsia="Arial" w:hAnsi="Arial"/>
                <w:sz w:val="16"/>
                <w:szCs w:val="16"/>
                <w:color w:val="auto"/>
                <w:vertAlign w:val="subscript"/>
              </w:rPr>
              <w:t>(2)</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904,278</w:t>
            </w:r>
          </w:p>
        </w:tc>
        <w:tc>
          <w:tcPr>
            <w:tcW w:w="220" w:type="dxa"/>
            <w:vAlign w:val="bottom"/>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727,084</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74,782</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25,218</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10/30/2022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4,166</w:t>
            </w:r>
          </w:p>
        </w:tc>
        <w:tc>
          <w:tcPr>
            <w:tcW w:w="220" w:type="dxa"/>
            <w:vAlign w:val="bottom"/>
          </w:tcPr>
          <w:p>
            <w:pPr>
              <w:spacing w:after="0"/>
              <w:rPr>
                <w:sz w:val="12"/>
                <w:szCs w:val="12"/>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15,834</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0.40</w:t>
            </w:r>
          </w:p>
        </w:tc>
        <w:tc>
          <w:tcPr>
            <w:tcW w:w="1600" w:type="dxa"/>
            <w:vAlign w:val="bottom"/>
          </w:tcPr>
          <w:p>
            <w:pPr>
              <w:spacing w:after="0"/>
              <w:rPr>
                <w:sz w:val="20"/>
                <w:szCs w:val="20"/>
                <w:color w:val="auto"/>
              </w:rPr>
            </w:pPr>
            <w:r>
              <w:rPr>
                <w:rFonts w:ascii="Arial" w:cs="Arial" w:eastAsia="Arial" w:hAnsi="Arial"/>
                <w:sz w:val="12"/>
                <w:szCs w:val="12"/>
                <w:color w:val="auto"/>
              </w:rPr>
              <w:t>10/27/2023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2"/>
                <w:szCs w:val="12"/>
                <w:color w:val="auto"/>
              </w:rPr>
              <w:t>100,000</w:t>
            </w:r>
            <w:r>
              <w:rPr>
                <w:rFonts w:ascii="Arial" w:cs="Arial" w:eastAsia="Arial" w:hAnsi="Arial"/>
                <w:sz w:val="16"/>
                <w:szCs w:val="16"/>
                <w:color w:val="auto"/>
                <w:vertAlign w:val="subscript"/>
              </w:rPr>
              <w:t>(1)</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0.64</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80" w:type="dxa"/>
            <w:vAlign w:val="bottom"/>
            <w:gridSpan w:val="2"/>
          </w:tcPr>
          <w:p>
            <w:pPr>
              <w:jc w:val="right"/>
              <w:ind w:right="240"/>
              <w:spacing w:after="0" w:line="144" w:lineRule="exact"/>
              <w:rPr>
                <w:sz w:val="20"/>
                <w:szCs w:val="20"/>
                <w:color w:val="auto"/>
              </w:rPr>
            </w:pPr>
            <w:r>
              <w:rPr>
                <w:rFonts w:ascii="Arial" w:cs="Arial" w:eastAsia="Arial" w:hAnsi="Arial"/>
                <w:sz w:val="12"/>
                <w:szCs w:val="12"/>
                <w:color w:val="auto"/>
              </w:rPr>
              <w:t>100,000</w:t>
            </w:r>
            <w:r>
              <w:rPr>
                <w:rFonts w:ascii="Arial" w:cs="Arial" w:eastAsia="Arial" w:hAnsi="Arial"/>
                <w:sz w:val="16"/>
                <w:szCs w:val="16"/>
                <w:color w:val="auto"/>
                <w:vertAlign w:val="subscript"/>
              </w:rPr>
              <w:t>(2)</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178,948</w:t>
            </w:r>
          </w:p>
        </w:tc>
        <w:tc>
          <w:tcPr>
            <w:tcW w:w="220" w:type="dxa"/>
            <w:vAlign w:val="bottom"/>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241,052</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608" w:right="20" w:hanging="608"/>
        <w:spacing w:after="0" w:line="263" w:lineRule="auto"/>
        <w:tabs>
          <w:tab w:leader="none" w:pos="6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on March 3, 2013 at the market price of our common stock on the grant date. At March 31, 2014, the warrant is exercisable for 50% of the shares and becomes exercisable for 25% of the shares on April 1, 2014 and will become fully vested on April 1, 2015 or upon a change in control of the Company, as defined, or upon the consummation by the Company and a third party of a license or sale transaction involving at least one new Drug Rescue Variant</w:t>
      </w:r>
      <w:r>
        <w:rPr>
          <w:rFonts w:ascii="Arial" w:cs="Arial" w:eastAsia="Arial" w:hAnsi="Arial"/>
          <w:sz w:val="12"/>
          <w:szCs w:val="12"/>
          <w:i w:val="1"/>
          <w:iCs w:val="1"/>
          <w:color w:val="auto"/>
        </w:rPr>
        <w:t>.</w:t>
      </w:r>
    </w:p>
    <w:p>
      <w:pPr>
        <w:spacing w:after="0" w:line="122" w:lineRule="exact"/>
        <w:rPr>
          <w:rFonts w:ascii="Arial" w:cs="Arial" w:eastAsia="Arial" w:hAnsi="Arial"/>
          <w:sz w:val="12"/>
          <w:szCs w:val="12"/>
          <w:color w:val="auto"/>
        </w:rPr>
      </w:pPr>
    </w:p>
    <w:p>
      <w:pPr>
        <w:jc w:val="both"/>
        <w:ind w:left="608" w:right="20" w:hanging="578"/>
        <w:spacing w:after="0" w:line="263" w:lineRule="auto"/>
        <w:tabs>
          <w:tab w:leader="none" w:pos="608" w:val="left"/>
        </w:tabs>
        <w:numPr>
          <w:ilvl w:val="1"/>
          <w:numId w:val="52"/>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on March 19, 2014 when the market price of our common stock was $0.46 per share. The warrant becomes exercisable for 50% of the shares on April 1, 2014, 25% of the shares on April 1, 2015 and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8" w:name="page99"/>
    <w:bookmarkEnd w:id="9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Employment or Severance Agreements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employment agreements with Mr. Singh and Dr. Snodgrass.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Singh Agreement</w:t>
      </w:r>
    </w:p>
    <w:p>
      <w:pPr>
        <w:spacing w:after="0" w:line="168" w:lineRule="exact"/>
        <w:rPr>
          <w:sz w:val="20"/>
          <w:szCs w:val="20"/>
          <w:color w:val="auto"/>
        </w:rPr>
      </w:pPr>
    </w:p>
    <w:p>
      <w:pPr>
        <w:jc w:val="both"/>
        <w:ind w:left="8"/>
        <w:spacing w:after="0" w:line="327" w:lineRule="auto"/>
        <w:rPr>
          <w:sz w:val="20"/>
          <w:szCs w:val="20"/>
          <w:color w:val="auto"/>
        </w:rPr>
      </w:pPr>
      <w:r>
        <w:rPr>
          <w:rFonts w:ascii="Arial" w:cs="Arial" w:eastAsia="Arial" w:hAnsi="Arial"/>
          <w:sz w:val="10"/>
          <w:szCs w:val="10"/>
          <w:color w:val="auto"/>
        </w:rPr>
        <w:t>We entered into an employment agreement with Mr. Singh on April 28, 2010. Under the agreement, as amended on May 9, 2011, Mr. Singh’s base salary is $347,500 per year. However, Mr. Singh has not received his full base salary in any fiscal year since he entered into his agreement in 2010. In each of our fiscal years ended March 31, 2014, 2013, 2012 and 2011, Mr. Singh voluntarily reduced his base salary to $250,000, $201,646, 292,268 and $168,274, respectively, to conserve cash for our operations. Although, under his agreement, Mr. Singh is eligible to receive an annual incentive cash bonus of up to 50% of his base salary, he has voluntarily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12" w:lineRule="exact"/>
        <w:rPr>
          <w:sz w:val="20"/>
          <w:szCs w:val="20"/>
          <w:color w:val="auto"/>
        </w:rPr>
      </w:pPr>
    </w:p>
    <w:p>
      <w:pPr>
        <w:ind w:left="608" w:hanging="608"/>
        <w:spacing w:after="0"/>
        <w:tabs>
          <w:tab w:leader="none" w:pos="608" w:val="left"/>
        </w:tabs>
        <w:numPr>
          <w:ilvl w:val="0"/>
          <w:numId w:val="53"/>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3"/>
        </w:numPr>
        <w:rPr>
          <w:rFonts w:ascii="Arial" w:cs="Arial" w:eastAsia="Arial" w:hAnsi="Arial"/>
          <w:sz w:val="12"/>
          <w:szCs w:val="12"/>
          <w:color w:val="auto"/>
        </w:rPr>
      </w:pPr>
      <w:r>
        <w:rPr>
          <w:rFonts w:ascii="Arial" w:cs="Arial" w:eastAsia="Arial" w:hAnsi="Arial"/>
          <w:sz w:val="12"/>
          <w:szCs w:val="12"/>
          <w:color w:val="auto"/>
        </w:rPr>
        <w:t>a pro-rated portion of the incentive cash bonus that the board of directors determines in good faith that Mr. Singh earned prior to his termination; and</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3"/>
        </w:numPr>
        <w:rPr>
          <w:rFonts w:ascii="Arial" w:cs="Arial" w:eastAsia="Arial" w:hAnsi="Arial"/>
          <w:sz w:val="12"/>
          <w:szCs w:val="12"/>
          <w:color w:val="auto"/>
        </w:rPr>
      </w:pPr>
      <w:r>
        <w:rPr>
          <w:rFonts w:ascii="Arial" w:cs="Arial" w:eastAsia="Arial" w:hAnsi="Arial"/>
          <w:sz w:val="12"/>
          <w:szCs w:val="12"/>
          <w:color w:val="auto"/>
        </w:rPr>
        <w:t>such amounts required to reimburse him for Consolidated Omnibus Budget Reconciliation Act (</w:t>
      </w:r>
      <w:r>
        <w:rPr>
          <w:rFonts w:ascii="Arial" w:cs="Arial" w:eastAsia="Arial" w:hAnsi="Arial"/>
          <w:sz w:val="12"/>
          <w:szCs w:val="12"/>
          <w:i w:val="1"/>
          <w:iCs w:val="1"/>
          <w:color w:val="auto"/>
        </w:rPr>
        <w:t>COBRA</w:t>
      </w:r>
      <w:r>
        <w:rPr>
          <w:rFonts w:ascii="Arial" w:cs="Arial" w:eastAsia="Arial" w:hAnsi="Arial"/>
          <w:sz w:val="12"/>
          <w:szCs w:val="12"/>
          <w:color w:val="auto"/>
        </w:rPr>
        <w:t>) payments for continuation of his medical health benefits for such twelve-month period.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addition, in the event Mr. Singh terminates his employment with good reason following a change of control, he is entitled to twelve months of his then-current base salary payable in the form of salary continuation.</w:t>
      </w:r>
    </w:p>
    <w:p>
      <w:pPr>
        <w:spacing w:after="0" w:line="168"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In December 2006, we accepted a full-recourse promissory note in the amount of $103,411 from Mr. Singh in payment of the exercise price for options and warrants to purchase an aggregate of 126,389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2014 and 2013, we had accrued $101,936 as an estimate of the gross-up amount. However, at Mr. Singh’s suggestion, we have not yet paid such amount to Mr. Singh to conserve capital for our operations. See Notes 9 and 14 to our audited consolidated financial statements that are included elsewhere in this prospectus.</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Snodgrass Agreement</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entered into an employment agreement with Dr. Snodgrass on April 28, 2010. As amended on May 9, 2011, under the agreement, Dr. Snodgrass’s base salary is $305,000 per year. However, Dr. Snodgrass has not received his full base salary in any fiscal year since he entered into his agreement in 2010. In each of our fiscal years ended March 31, 2014, 2013, 2012 and 2011, Dr. Snodgrass voluntarily reduced his annual salary to $250,000, $203,086, $249,266 and $141,486, respectively, to conserve cash for our operations. Dr. Snodgrass is eligible to receive an annual incentive cash bonus of up to 50% of his base salary. Payment of his annual incentive bonus is at the discretion of the board of directors. In the event we terminate Dr. Snodgrass’s employment without cause, he is entitled to receive severance in an amount equal to</w:t>
      </w:r>
    </w:p>
    <w:p>
      <w:pPr>
        <w:spacing w:after="0" w:line="143" w:lineRule="exact"/>
        <w:rPr>
          <w:sz w:val="20"/>
          <w:szCs w:val="20"/>
          <w:color w:val="auto"/>
        </w:rPr>
      </w:pPr>
    </w:p>
    <w:p>
      <w:pPr>
        <w:ind w:left="608" w:hanging="608"/>
        <w:spacing w:after="0"/>
        <w:tabs>
          <w:tab w:leader="none" w:pos="608" w:val="left"/>
        </w:tabs>
        <w:numPr>
          <w:ilvl w:val="0"/>
          <w:numId w:val="54"/>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4"/>
        </w:numPr>
        <w:rPr>
          <w:rFonts w:ascii="Arial" w:cs="Arial" w:eastAsia="Arial" w:hAnsi="Arial"/>
          <w:sz w:val="12"/>
          <w:szCs w:val="12"/>
          <w:color w:val="auto"/>
        </w:rPr>
      </w:pPr>
      <w:r>
        <w:rPr>
          <w:rFonts w:ascii="Arial" w:cs="Arial" w:eastAsia="Arial" w:hAnsi="Arial"/>
          <w:sz w:val="12"/>
          <w:szCs w:val="12"/>
          <w:color w:val="auto"/>
        </w:rPr>
        <w:t>a pro-rated portion of the incentive bonus that the board of directors determines in good faith that Dr. Snodgrass earned prior to his termination; and</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4"/>
        </w:numPr>
        <w:rPr>
          <w:rFonts w:ascii="Arial" w:cs="Arial" w:eastAsia="Arial" w:hAnsi="Arial"/>
          <w:sz w:val="12"/>
          <w:szCs w:val="12"/>
          <w:color w:val="auto"/>
        </w:rPr>
      </w:pPr>
      <w:r>
        <w:rPr>
          <w:rFonts w:ascii="Arial" w:cs="Arial" w:eastAsia="Arial" w:hAnsi="Arial"/>
          <w:sz w:val="12"/>
          <w:szCs w:val="12"/>
          <w:color w:val="auto"/>
        </w:rPr>
        <w:t>such amounts required to reimburse him for COBRA payments for continuation of his medical health benefits for such twelve-month period.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addition, in the event Dr. Snodgrass terminates his employment with good reason, he is entitled to twelve months of his then-current base salary payable in the form of salary continuation.</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9" w:name="page100"/>
    <w:bookmarkEnd w:id="9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of Control Provisions</w:t>
      </w:r>
    </w:p>
    <w:p>
      <w:pPr>
        <w:spacing w:after="0" w:line="168" w:lineRule="exact"/>
        <w:rPr>
          <w:sz w:val="20"/>
          <w:szCs w:val="20"/>
          <w:color w:val="auto"/>
        </w:rPr>
      </w:pPr>
    </w:p>
    <w:p>
      <w:pPr>
        <w:spacing w:after="0" w:line="380" w:lineRule="auto"/>
        <w:rPr>
          <w:sz w:val="20"/>
          <w:szCs w:val="20"/>
          <w:color w:val="auto"/>
        </w:rPr>
      </w:pPr>
      <w:r>
        <w:rPr>
          <w:rFonts w:ascii="Arial" w:cs="Arial" w:eastAsia="Arial" w:hAnsi="Arial"/>
          <w:sz w:val="10"/>
          <w:szCs w:val="10"/>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86" w:lineRule="exact"/>
        <w:rPr>
          <w:sz w:val="20"/>
          <w:szCs w:val="20"/>
          <w:color w:val="auto"/>
        </w:rPr>
      </w:pPr>
    </w:p>
    <w:p>
      <w:pPr>
        <w:ind w:left="740" w:hanging="411"/>
        <w:spacing w:after="0"/>
        <w:tabs>
          <w:tab w:leader="none" w:pos="7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material reduction in the executive’s responsibility; or</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material reduction in the executive’s base salary following the Merger except for reductions that are comparable to reductions generally applicable to similarly situated executives of the Company.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Furthermore, pursuant to their respective employment agreements and their stock option award agreements as amended, in the event we terminate the executive without cause within twelve months of a change of control, the executive’s remaining unvested shares become fully vested and exercisable. Upon a change of control in which the successor corporation does not assume the executive’s stock options, the stock options granted to the executive become fully vested and exercisable.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Pursuant to their respective employment agreements, a change of control occurs when: (i) any “person” as such term is used in Sections 13(d) and 14(d) of the Securities Exchange Act of 1934, as amended (other than the Company, a subsidiary, an affiliate, or the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Benefit Plans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Grants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March 31, 2014, options to purchase a total of 4,249,271 shares of common stock are outstanding at a weighted average exercise price of $0.50 per share, of which 3,655,061 options are vested and exercisable at a weighted average exercise price of $0.50 per share and 593,867 are unvested and unexercisable at a weighted average exercise price of $0.51 per share. These options were issued under our 2008 Plan and our 1999 Plan, each as more particularly described below. At March 31, 2014, an additional 735,200 shares remain available for future equity grants under our 2008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0" w:name="page101"/>
    <w:bookmarkEnd w:id="10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stockholders adopted our 2008 Stock Incentive Plan (</w:t>
      </w:r>
      <w:r>
        <w:rPr>
          <w:rFonts w:ascii="Arial" w:cs="Arial" w:eastAsia="Arial" w:hAnsi="Arial"/>
          <w:sz w:val="11"/>
          <w:szCs w:val="11"/>
          <w:i w:val="1"/>
          <w:iCs w:val="1"/>
          <w:color w:val="auto"/>
        </w:rPr>
        <w:t>2008 Plan</w:t>
      </w:r>
      <w:r>
        <w:rPr>
          <w:rFonts w:ascii="Arial" w:cs="Arial" w:eastAsia="Arial" w:hAnsi="Arial"/>
          <w:sz w:val="11"/>
          <w:szCs w:val="11"/>
          <w:color w:val="auto"/>
        </w:rPr>
        <w:t xml:space="preserve">) on December 19, 2008. The maximum number of shares of our common stock that may be granted pursuant to the 2008 Plan is currently 5,000,000.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1"/>
          <w:szCs w:val="11"/>
          <w:i w:val="1"/>
          <w:iCs w:val="1"/>
          <w:color w:val="auto"/>
        </w:rPr>
        <w:t>Code</w:t>
      </w:r>
      <w:r>
        <w:rPr>
          <w:rFonts w:ascii="Arial" w:cs="Arial" w:eastAsia="Arial" w:hAnsi="Arial"/>
          <w:sz w:val="11"/>
          <w:szCs w:val="11"/>
          <w:color w:val="auto"/>
        </w:rPr>
        <w:t>), is 5.0 million.</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our employees. Awards other than incentive stock options may be granted to employees, directors and consultants.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board of directors or the compensation committee of the board of directors, referred to as the “Administrator”, administers our 2008 Plan, including selecting the award recipients, determining the number of shares to be subject to each award, determining the exercise or purchase price of each award and determining the vesting and exercise periods of each award.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exercise price of all incentive stock options granted under our 2008 Plan must be at least equal to 100% of the fair market value of the shares on the date of grant. However, incentive stock options granted to an employee who owns stock possessing more than 10% of the voting power of all classes of our stock or the stock of any parent or subsidiary of us, must have an exercise price of not less than 110% of the fair market value on the grant date. The maximum term of these incentive stock options granted to employees who own stock possessing more than 10% of the voting power of all classes of our stock or the stock of any parent or subsidiary of us must not exceed five years. The maximum term of an incentive stock option granted to any other participant must not exceed ten years. The Administrator will determine the term and exercise or purchase price of all other awards granted under our 2008 Plan.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3" w:lineRule="exact"/>
        <w:rPr>
          <w:sz w:val="20"/>
          <w:szCs w:val="20"/>
          <w:color w:val="auto"/>
        </w:rPr>
      </w:pPr>
    </w:p>
    <w:p>
      <w:pPr>
        <w:ind w:left="600" w:hanging="338"/>
        <w:spacing w:after="0"/>
        <w:tabs>
          <w:tab w:leader="none" w:pos="6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by will and by the laws of descent and distribution; and</w:t>
      </w:r>
    </w:p>
    <w:p>
      <w:pPr>
        <w:spacing w:after="0" w:line="168" w:lineRule="exact"/>
        <w:rPr>
          <w:rFonts w:ascii="Arial" w:cs="Arial" w:eastAsia="Arial" w:hAnsi="Arial"/>
          <w:sz w:val="12"/>
          <w:szCs w:val="12"/>
          <w:color w:val="auto"/>
        </w:rPr>
      </w:pPr>
    </w:p>
    <w:p>
      <w:pPr>
        <w:ind w:left="600" w:hanging="338"/>
        <w:spacing w:after="0"/>
        <w:tabs>
          <w:tab w:leader="none" w:pos="6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during the lifetime of the participant, to the extent and in the manner authorized by the Administrator by gift or pursuant to a domestic relations order to members of the participant’s immediate family.</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The 2008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2,500,000 shares of Common Stock. In connection with a participant’s commencement of service with us, a participant may be granted options and stock appreciation rights for up to an additional 500,000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2,500,000 shares of common stock. The limits described in this paragraph are subject to adjustment in the event of any change in our capital structure as described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1" w:name="page102"/>
    <w:bookmarkEnd w:id="101"/>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The terms and conditions of awards shall be determined by the Administrator, including the vesting schedule and any forfeiture provisions. Awards under the plan may vest upon the passage of time or upon the attainment of certain performance criteria. The performance criteria established by the Administrator may be based on any one of, or combination of, the following:</w:t>
      </w:r>
    </w:p>
    <w:p>
      <w:pPr>
        <w:spacing w:after="0" w:line="133" w:lineRule="exact"/>
        <w:rPr>
          <w:sz w:val="20"/>
          <w:szCs w:val="20"/>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increase in share price;</w:t>
      </w:r>
    </w:p>
    <w:p>
      <w:pPr>
        <w:spacing w:after="0" w:line="168"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earnings per share;</w:t>
      </w:r>
    </w:p>
    <w:p>
      <w:pPr>
        <w:spacing w:after="0" w:line="168"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total shareholder return;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operating margin;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gross margin;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return on equity;</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return on assets;</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return on investment;</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operating income;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net operating income;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pre-tax profit;</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cash flow;</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revenue;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expenses;</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earnings before interest, taxes and depreciation;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economic value added; and</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market share.</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2" w:name="page103"/>
    <w:bookmarkEnd w:id="10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2"/>
          <w:szCs w:val="12"/>
          <w:color w:val="auto"/>
        </w:rPr>
        <w:t>Under our 2008 Plan, a Corporate Transaction is generally defined as:</w:t>
      </w:r>
    </w:p>
    <w:p>
      <w:pPr>
        <w:spacing w:after="0" w:line="168" w:lineRule="exact"/>
        <w:rPr>
          <w:sz w:val="20"/>
          <w:szCs w:val="20"/>
          <w:color w:val="auto"/>
        </w:rPr>
      </w:pPr>
    </w:p>
    <w:p>
      <w:pPr>
        <w:ind w:left="748" w:right="20" w:hanging="748"/>
        <w:spacing w:after="0" w:line="276" w:lineRule="auto"/>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32" w:lineRule="exact"/>
        <w:rPr>
          <w:rFonts w:ascii="Arial" w:cs="Arial" w:eastAsia="Arial" w:hAnsi="Arial"/>
          <w:sz w:val="12"/>
          <w:szCs w:val="12"/>
          <w:color w:val="auto"/>
        </w:rPr>
      </w:pPr>
    </w:p>
    <w:p>
      <w:pPr>
        <w:jc w:val="both"/>
        <w:ind w:left="748" w:right="20" w:hanging="748"/>
        <w:spacing w:after="0" w:line="263" w:lineRule="auto"/>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40" w:lineRule="exact"/>
        <w:rPr>
          <w:rFonts w:ascii="Arial" w:cs="Arial" w:eastAsia="Arial" w:hAnsi="Arial"/>
          <w:sz w:val="12"/>
          <w:szCs w:val="12"/>
          <w:color w:val="auto"/>
        </w:rPr>
      </w:pPr>
    </w:p>
    <w:p>
      <w:pPr>
        <w:ind w:left="748" w:hanging="748"/>
        <w:spacing w:after="0"/>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sale, transfer or other disposition of all or substantially all of the assets of our corporation;</w:t>
      </w:r>
    </w:p>
    <w:p>
      <w:pPr>
        <w:spacing w:after="0" w:line="168" w:lineRule="exact"/>
        <w:rPr>
          <w:rFonts w:ascii="Arial" w:cs="Arial" w:eastAsia="Arial" w:hAnsi="Arial"/>
          <w:sz w:val="12"/>
          <w:szCs w:val="12"/>
          <w:color w:val="auto"/>
        </w:rPr>
      </w:pPr>
    </w:p>
    <w:p>
      <w:pPr>
        <w:ind w:left="748" w:hanging="748"/>
        <w:spacing w:after="0"/>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merger or consolidation in which our corporation is not the surviving entity; or</w:t>
      </w:r>
    </w:p>
    <w:p>
      <w:pPr>
        <w:spacing w:after="0" w:line="168" w:lineRule="exact"/>
        <w:rPr>
          <w:rFonts w:ascii="Arial" w:cs="Arial" w:eastAsia="Arial" w:hAnsi="Arial"/>
          <w:sz w:val="12"/>
          <w:szCs w:val="12"/>
          <w:color w:val="auto"/>
        </w:rPr>
      </w:pPr>
    </w:p>
    <w:p>
      <w:pPr>
        <w:ind w:left="748" w:hanging="748"/>
        <w:spacing w:after="0"/>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complete liquidation or dissolution.</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33"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July 1, 2014, we had options to purchase an aggregate of 3,964,800 shares of common stock outstanding under our 2008 Plan.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Our Board of Directors adopted our 1999 Plan on December 6, 1999. The 1999 Plan has terminated under its own terms, and as a result, no awards may currently be granted under the 1999 Plan. However, most of the options and awards that have already been granted pursuant to the 1999 Plan remain outstanding.</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1999 Plan permitted us to make grants of incentive stock options, non-qualified stock options and restricted stock awards. We initially reserved 450,000 shares of our common stock for the issuance of awards under the 1999 Plan, which number was subject to adjustment in the event of a stock split, stock dividend or other change in our capitalization. Generally, shares that were forfeited or cancelled from awards under the 1999 Plan also were available for future awards until the date the 1999 Plan terminated under its own terms.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3" w:name="page104"/>
    <w:bookmarkEnd w:id="10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1999 Plan could be administered by either our board of directors or a committee designated by our board of directors. Our board of directors designated our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of our directors, executive officers, employees, and certain other key persons (including consultants and advisors) were eligible to participate in the 1999 Plan.</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exercise price of incentive stock options awarded under the 1999 Plan could not be less than the fair market value of the common stock on the date of the option grant and could not be less than 110% of the fair market value of our common stock to persons owning stock representing more than 10% of the voting power of all classes of our stock. The exercise price of non-qualified stock options could not be less than 85% of the fair market value of our common stock. It is expected that the term of each option granted under the 1999 Plan will not exceed ten years (or five years, in the case of an incentive stock option granted to a 10% shareholder) from the date of grant. Our compensation committee determined at what time or times each option may be exercised (provided that in no event may it exceed ten years from the date of grant) and, subject to the provisions of the 1999 Plan, the period of time, if any, after retirement, death, disability or other termination of employment during which options could be exercised.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Restricted stock could also be granted under our 1999 Plan. Restricted stock awards issued by us were shares of common stock that vest in accordance with terms and conditions established by our compensation committee, which could impose conditions to vesting it determined to be appropriate. Shares of restricted stock that do not vest are subject to our right of repurchase or forfeiture. Our compensation committee determined the number of shares of restricted stock granted to any employee. Our 1999 Plan also gave our compensation committee discretion to grant stock awards free of any restrictions.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Unless the compensation committee provided otherwise, our 1999 Plan did not generally allow for the transfer of incentive stock options and other awards and only the recipient of an award could exercise an award during his or her lifetime. Non-qualified stock options shall be transferable only to the extent provided in the award agreement, in a manner consistent with the applicable law, and by will and by the laws of descent and distribution. In the event of a change in control, any unvested outstanding options will automatically vest unless our board of directors and the board of directors of the surviving or acquiring entity shall, as to outstanding awards under the 1999 Plan, make appropriate provisions for the continuation or assumption of such awards.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As of July 1, 2014, we had options to purchase an aggregate of 262,557 shares of our common stock outstanding under our 1999 Plan.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sponsor a defined contribution plan intended to qualify under Section 401 of the Code, or a 401(k) plan. Employees who are at least 21 years of age are generally eligible to participate and may enter the plan on the first day of any month. Participants may make pre-tax contributions up to the maximum limit established by the Code. Each participant is fully vested in his or her contributions and the investment earnings on those contributions. Participant contributions are held in trust as required by law. Individual participants may direct the trustee to invest their accounts in authorized investment alternatives. The plan allows for Company matching contributions, but does not require them. We have not yet made any contributions to the plan. Pre-tax contributions to the plan, and the income earned on these contributions, are generally not taxable to the participants until withdrawn.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4" w:name="page105"/>
    <w:bookmarkEnd w:id="10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2014 Director Compensation Table</w:t>
      </w:r>
    </w:p>
    <w:p>
      <w:pPr>
        <w:spacing w:after="0" w:line="17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do not have a formal compensation plan for our non-employee directors. Our informal plan prescribes that the chairman of our board of directors, who is an independent director, has, since October 1, 2011, earned $2,500 per quarter. Our other independent directors have earned $2,000 per quarter since that date. Beginning in July 2011, the chairman of our audit committee and each independent director who serves as a member of our audit committee have also earned $1,000 quarterly. In addition, from time to time, our independent directors may receive non-qualified stock option, warrants or other equity-based awards. We did not pay our independent directors cash compensation during our fiscal year ended March 31, 2014.</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a summary of the compensation earned by our non-employee directors in our fiscal year ended March 31, 2014.</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72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Fees Earned or Paid</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72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in</w:t>
            </w: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Option and Warrant</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6"/>
        </w:trPr>
        <w:tc>
          <w:tcPr>
            <w:tcW w:w="47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380" w:type="dxa"/>
            <w:vAlign w:val="bottom"/>
            <w:gridSpan w:val="2"/>
          </w:tcPr>
          <w:p>
            <w:pPr>
              <w:jc w:val="center"/>
              <w:ind w:right="280"/>
              <w:spacing w:after="0" w:line="166" w:lineRule="exact"/>
              <w:rPr>
                <w:sz w:val="20"/>
                <w:szCs w:val="20"/>
                <w:color w:val="auto"/>
              </w:rPr>
            </w:pPr>
            <w:r>
              <w:rPr>
                <w:rFonts w:ascii="Arial" w:cs="Arial" w:eastAsia="Arial" w:hAnsi="Arial"/>
                <w:sz w:val="12"/>
                <w:szCs w:val="12"/>
                <w:b w:val="1"/>
                <w:bCs w:val="1"/>
                <w:color w:val="auto"/>
                <w:w w:val="83"/>
              </w:rPr>
              <w:t xml:space="preserve">Cash </w:t>
            </w:r>
            <w:r>
              <w:rPr>
                <w:rFonts w:ascii="Arial" w:cs="Arial" w:eastAsia="Arial" w:hAnsi="Arial"/>
                <w:sz w:val="16"/>
                <w:szCs w:val="16"/>
                <w:b w:val="1"/>
                <w:bCs w:val="1"/>
                <w:color w:val="auto"/>
                <w:w w:val="83"/>
                <w:vertAlign w:val="subscript"/>
              </w:rPr>
              <w:t>(1)</w:t>
            </w:r>
          </w:p>
        </w:tc>
        <w:tc>
          <w:tcPr>
            <w:tcW w:w="1380" w:type="dxa"/>
            <w:vAlign w:val="bottom"/>
            <w:gridSpan w:val="2"/>
          </w:tcPr>
          <w:p>
            <w:pPr>
              <w:jc w:val="center"/>
              <w:ind w:right="260"/>
              <w:spacing w:after="0" w:line="166" w:lineRule="exact"/>
              <w:rPr>
                <w:sz w:val="20"/>
                <w:szCs w:val="20"/>
                <w:color w:val="auto"/>
              </w:rPr>
            </w:pPr>
            <w:r>
              <w:rPr>
                <w:rFonts w:ascii="Arial" w:cs="Arial" w:eastAsia="Arial" w:hAnsi="Arial"/>
                <w:sz w:val="12"/>
                <w:szCs w:val="12"/>
                <w:b w:val="1"/>
                <w:bCs w:val="1"/>
                <w:color w:val="auto"/>
                <w:w w:val="86"/>
              </w:rPr>
              <w:t xml:space="preserve">Awards </w:t>
            </w:r>
            <w:r>
              <w:rPr>
                <w:rFonts w:ascii="Arial" w:cs="Arial" w:eastAsia="Arial" w:hAnsi="Arial"/>
                <w:sz w:val="16"/>
                <w:szCs w:val="16"/>
                <w:b w:val="1"/>
                <w:bCs w:val="1"/>
                <w:color w:val="auto"/>
                <w:w w:val="86"/>
                <w:vertAlign w:val="subscript"/>
              </w:rPr>
              <w:t>(2)</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0"/>
              </w:rPr>
              <w:t>Other Compensation</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Total</w:t>
            </w:r>
          </w:p>
        </w:tc>
      </w:tr>
      <w:tr>
        <w:trPr>
          <w:trHeight w:val="142"/>
        </w:trPr>
        <w:tc>
          <w:tcPr>
            <w:tcW w:w="4720" w:type="dxa"/>
            <w:vAlign w:val="bottom"/>
          </w:tcPr>
          <w:p>
            <w:pPr>
              <w:spacing w:after="0"/>
              <w:rPr>
                <w:sz w:val="12"/>
                <w:szCs w:val="12"/>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40" w:type="dxa"/>
            <w:vAlign w:val="bottom"/>
          </w:tcPr>
          <w:p>
            <w:pPr>
              <w:spacing w:after="0"/>
              <w:rPr>
                <w:sz w:val="12"/>
                <w:szCs w:val="12"/>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Borders>
              <w:top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53"/>
        </w:trPr>
        <w:tc>
          <w:tcPr>
            <w:tcW w:w="47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bscript"/>
              </w:rPr>
              <w:t>(3)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40,683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w:t>
            </w:r>
          </w:p>
        </w:tc>
        <w:tc>
          <w:tcPr>
            <w:tcW w:w="110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54,683</w:t>
            </w:r>
          </w:p>
        </w:tc>
      </w:tr>
      <w:tr>
        <w:trPr>
          <w:trHeight w:val="217"/>
        </w:trPr>
        <w:tc>
          <w:tcPr>
            <w:tcW w:w="4720" w:type="dxa"/>
            <w:vAlign w:val="bottom"/>
          </w:tcPr>
          <w:p>
            <w:pPr>
              <w:spacing w:after="0"/>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bscript"/>
              </w:rPr>
              <w:t>(4)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12,000</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32,267</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1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460" w:type="dxa"/>
            <w:vAlign w:val="bottom"/>
            <w:gridSpan w:val="3"/>
          </w:tcPr>
          <w:p>
            <w:pPr>
              <w:jc w:val="right"/>
              <w:ind w:right="120"/>
              <w:spacing w:after="0"/>
              <w:rPr>
                <w:sz w:val="20"/>
                <w:szCs w:val="20"/>
                <w:color w:val="auto"/>
              </w:rPr>
            </w:pPr>
            <w:r>
              <w:rPr>
                <w:rFonts w:ascii="Arial" w:cs="Arial" w:eastAsia="Arial" w:hAnsi="Arial"/>
                <w:sz w:val="12"/>
                <w:szCs w:val="12"/>
                <w:color w:val="auto"/>
              </w:rPr>
              <w:t>44,267</w:t>
            </w:r>
          </w:p>
        </w:tc>
      </w:tr>
    </w:tbl>
    <w:p>
      <w:pPr>
        <w:spacing w:after="0" w:line="89" w:lineRule="exact"/>
        <w:rPr>
          <w:sz w:val="20"/>
          <w:szCs w:val="20"/>
          <w:color w:val="auto"/>
        </w:rPr>
      </w:pPr>
    </w:p>
    <w:p>
      <w:pPr>
        <w:ind w:left="448" w:hanging="448"/>
        <w:spacing w:after="0"/>
        <w:tabs>
          <w:tab w:leader="none" w:pos="4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amounts shown represent fees earned for service on our board of directors and audit committee during the fiscal year which we have accrued but have not paid to the director at March 31, 2014.</w:t>
      </w:r>
    </w:p>
    <w:p>
      <w:pPr>
        <w:spacing w:after="0" w:line="150" w:lineRule="exact"/>
        <w:rPr>
          <w:rFonts w:ascii="Arial" w:cs="Arial" w:eastAsia="Arial" w:hAnsi="Arial"/>
          <w:sz w:val="12"/>
          <w:szCs w:val="12"/>
          <w:color w:val="auto"/>
        </w:rPr>
      </w:pPr>
    </w:p>
    <w:p>
      <w:pPr>
        <w:jc w:val="both"/>
        <w:ind w:left="448" w:right="20" w:hanging="448"/>
        <w:spacing w:after="0" w:line="286" w:lineRule="auto"/>
        <w:tabs>
          <w:tab w:leader="none" w:pos="448"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The amounts in this column represent the aggregate grant date fair value of warrants to purchase restricted shares of our common stock awarded to Mr. Saxe and Dr. Underdown or the effect of modifications to prior grants of options or warrants occurring during the fiscal year ended March 31, 2014, computed in accordance with the Financial Accounting Standards Board’s Accounting Standards Codification Topic 718, Compensation – Stock Compensation (</w:t>
      </w:r>
      <w:r>
        <w:rPr>
          <w:rFonts w:ascii="Arial" w:cs="Arial" w:eastAsia="Arial" w:hAnsi="Arial"/>
          <w:sz w:val="11"/>
          <w:szCs w:val="11"/>
          <w:i w:val="1"/>
          <w:iCs w:val="1"/>
          <w:color w:val="auto"/>
        </w:rPr>
        <w:t>ASC 718</w:t>
      </w:r>
      <w:r>
        <w:rPr>
          <w:rFonts w:ascii="Arial" w:cs="Arial" w:eastAsia="Arial" w:hAnsi="Arial"/>
          <w:sz w:val="11"/>
          <w:szCs w:val="11"/>
          <w:color w:val="auto"/>
        </w:rPr>
        <w:t xml:space="preserve">). The amounts in this column do </w:t>
      </w:r>
      <w:r>
        <w:rPr>
          <w:rFonts w:ascii="Arial" w:cs="Arial" w:eastAsia="Arial" w:hAnsi="Arial"/>
          <w:sz w:val="11"/>
          <w:szCs w:val="11"/>
          <w:b w:val="1"/>
          <w:bCs w:val="1"/>
          <w:color w:val="auto"/>
        </w:rPr>
        <w:t>not</w:t>
      </w:r>
      <w:r>
        <w:rPr>
          <w:rFonts w:ascii="Arial" w:cs="Arial" w:eastAsia="Arial" w:hAnsi="Arial"/>
          <w:sz w:val="11"/>
          <w:szCs w:val="11"/>
          <w:color w:val="auto"/>
        </w:rPr>
        <w:t xml:space="preserve"> represent any cash payment actually received by Mr. Saxe or Dr. Underdown with respect to any of such options or warrants to purchase restricted shares of our common stock awarded to them or modified during the fiscal year ended March 31, 2014. To date, Mr. Saxe and Dr. Underdown have not exercised such options or warrants to purchase common stock, and there can be no assurance that either of them will ever realize any of the ASC 718 grant date fair value amounts presented in the Option and Warrant Awards column.</w:t>
      </w:r>
    </w:p>
    <w:p>
      <w:pPr>
        <w:spacing w:after="0" w:line="111" w:lineRule="exact"/>
        <w:rPr>
          <w:rFonts w:ascii="Arial" w:cs="Arial" w:eastAsia="Arial" w:hAnsi="Arial"/>
          <w:sz w:val="11"/>
          <w:szCs w:val="11"/>
          <w:color w:val="auto"/>
        </w:rPr>
      </w:pPr>
    </w:p>
    <w:p>
      <w:pPr>
        <w:jc w:val="both"/>
        <w:ind w:left="448" w:right="20" w:hanging="448"/>
        <w:spacing w:after="0" w:line="263" w:lineRule="auto"/>
        <w:tabs>
          <w:tab w:leader="none" w:pos="4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Mr. Saxe has served as the chairman of our board of directors and the chairman of our audit committee throughout our fiscal year ended March 31, 2014. At March 31, 2014, Mr. Saxe holds: (i) 37,492 restricted shares of our common stock; (ii) options to purchase 264,750 restricted shares of our common stock, of which options to purchase 251,208 restricted shares are vested; and (iii) warrants to purchase 265,000 restricted shares of our common stock, of which 125,000 are exercisable.</w:t>
      </w:r>
    </w:p>
    <w:p>
      <w:pPr>
        <w:spacing w:after="0" w:line="122" w:lineRule="exact"/>
        <w:rPr>
          <w:rFonts w:ascii="Arial" w:cs="Arial" w:eastAsia="Arial" w:hAnsi="Arial"/>
          <w:sz w:val="12"/>
          <w:szCs w:val="12"/>
          <w:color w:val="auto"/>
        </w:rPr>
      </w:pPr>
    </w:p>
    <w:p>
      <w:pPr>
        <w:ind w:left="448" w:right="20" w:hanging="448"/>
        <w:spacing w:after="0" w:line="380" w:lineRule="auto"/>
        <w:tabs>
          <w:tab w:leader="none" w:pos="448" w:val="left"/>
        </w:tabs>
        <w:numPr>
          <w:ilvl w:val="0"/>
          <w:numId w:val="59"/>
        </w:numPr>
        <w:rPr>
          <w:rFonts w:ascii="Arial" w:cs="Arial" w:eastAsia="Arial" w:hAnsi="Arial"/>
          <w:sz w:val="10"/>
          <w:szCs w:val="10"/>
          <w:color w:val="auto"/>
        </w:rPr>
      </w:pPr>
      <w:r>
        <w:rPr>
          <w:rFonts w:ascii="Arial" w:cs="Arial" w:eastAsia="Arial" w:hAnsi="Arial"/>
          <w:sz w:val="10"/>
          <w:szCs w:val="10"/>
          <w:color w:val="auto"/>
        </w:rPr>
        <w:t>Dr. Underdown has served as a member of our board of directors and a member of our audit committee throughout our fiscal year ended March 31, 2014. At March 31, 2014, Dr. Underdown holds: (i) options to purchase 185,000 restricted shares of our common stock, of which options to purchase 171,458 restricted shares are vested; and (ii) warrants to purchase 250,000 restricted shares of our common stock, of which 125,000 are exercisable.</w:t>
      </w: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5" w:name="page106"/>
    <w:bookmarkEnd w:id="10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40" w:right="20" w:hanging="418"/>
        <w:spacing w:after="0" w:line="276" w:lineRule="auto"/>
        <w:tabs>
          <w:tab w:leader="none" w:pos="4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table below provides information regarding the warrant awards and option and warrant modifications we granted to Mr. Saxe and Dr. Underdown during fiscal 2014 and the assumptions used in the Black Scholes Option Pricing Model to determine the grant date fair values of the respective awards and modifications: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Warrant Grant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2"/>
                <w:szCs w:val="12"/>
                <w:color w:val="auto"/>
              </w:rPr>
              <w:t>Option Modification</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ind w:left="20"/>
              <w:spacing w:after="0"/>
              <w:rPr>
                <w:sz w:val="20"/>
                <w:szCs w:val="20"/>
                <w:color w:val="auto"/>
              </w:rPr>
            </w:pPr>
            <w:r>
              <w:rPr>
                <w:rFonts w:ascii="Arial" w:cs="Arial" w:eastAsia="Arial" w:hAnsi="Arial"/>
                <w:sz w:val="12"/>
                <w:szCs w:val="12"/>
                <w:color w:val="auto"/>
              </w:rPr>
              <w:t>Warrant Modification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3/19/2014</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2"/>
                <w:szCs w:val="12"/>
                <w:color w:val="auto"/>
              </w:rPr>
              <w:t>12/20/2013</w:t>
            </w:r>
          </w:p>
        </w:tc>
        <w:tc>
          <w:tcPr>
            <w:tcW w:w="5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rPr>
              <w:t>12/20/2013</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Saxe</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97"/>
              </w:rPr>
              <w:t>18,928</w:t>
            </w:r>
          </w:p>
        </w:tc>
        <w:tc>
          <w:tcPr>
            <w:tcW w:w="1000" w:type="dxa"/>
            <w:vAlign w:val="bottom"/>
            <w:gridSpan w:val="2"/>
            <w:shd w:val="clear" w:color="auto" w:fill="CCEEFF"/>
          </w:tcPr>
          <w:p>
            <w:pPr>
              <w:jc w:val="right"/>
              <w:ind w:right="58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15,291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6,464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40,683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gridSpan w:val="2"/>
          </w:tcPr>
          <w:p>
            <w:pPr>
              <w:spacing w:after="0"/>
              <w:rPr>
                <w:sz w:val="20"/>
                <w:szCs w:val="20"/>
                <w:color w:val="auto"/>
              </w:rPr>
            </w:pPr>
            <w:r>
              <w:rPr>
                <w:rFonts w:ascii="Arial" w:cs="Arial" w:eastAsia="Arial" w:hAnsi="Arial"/>
                <w:sz w:val="12"/>
                <w:szCs w:val="12"/>
                <w:color w:val="auto"/>
              </w:rPr>
              <w:t>Underdown</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w w:val="97"/>
              </w:rPr>
              <w:t>14,560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11,243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6,464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32,267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w w:val="97"/>
              </w:rPr>
              <w:t>33,488</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ind w:right="582"/>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26,534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2"/>
                <w:szCs w:val="12"/>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2"/>
                <w:szCs w:val="12"/>
                <w:color w:val="auto"/>
              </w:rPr>
              <w:t>12,928</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72,950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3"/>
          </w:tcPr>
          <w:p>
            <w:pPr>
              <w:ind w:left="180"/>
              <w:spacing w:after="0"/>
              <w:rPr>
                <w:sz w:val="20"/>
                <w:szCs w:val="20"/>
                <w:color w:val="auto"/>
              </w:rPr>
            </w:pPr>
            <w:r>
              <w:rPr>
                <w:rFonts w:ascii="Arial" w:cs="Arial" w:eastAsia="Arial" w:hAnsi="Arial"/>
                <w:sz w:val="12"/>
                <w:szCs w:val="12"/>
                <w:color w:val="auto"/>
              </w:rPr>
              <w:t>Before</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160"/>
              <w:spacing w:after="0"/>
              <w:rPr>
                <w:sz w:val="20"/>
                <w:szCs w:val="20"/>
                <w:color w:val="auto"/>
              </w:rPr>
            </w:pPr>
            <w:r>
              <w:rPr>
                <w:rFonts w:ascii="Arial" w:cs="Arial" w:eastAsia="Arial" w:hAnsi="Arial"/>
                <w:sz w:val="12"/>
                <w:szCs w:val="12"/>
                <w:color w:val="auto"/>
              </w:rPr>
              <w:t>After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ind w:left="560"/>
              <w:spacing w:after="0"/>
              <w:rPr>
                <w:sz w:val="20"/>
                <w:szCs w:val="20"/>
                <w:color w:val="auto"/>
              </w:rPr>
            </w:pPr>
            <w:r>
              <w:rPr>
                <w:rFonts w:ascii="Arial" w:cs="Arial" w:eastAsia="Arial" w:hAnsi="Arial"/>
                <w:sz w:val="12"/>
                <w:szCs w:val="12"/>
                <w:color w:val="auto"/>
              </w:rPr>
              <w:t>Before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color w:val="auto"/>
              </w:rPr>
              <w:t>After</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0.46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0.40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940" w:type="dxa"/>
            <w:vAlign w:val="bottom"/>
          </w:tcPr>
          <w:p>
            <w:pPr>
              <w:jc w:val="right"/>
              <w:ind w:right="140"/>
              <w:spacing w:after="0"/>
              <w:rPr>
                <w:sz w:val="20"/>
                <w:szCs w:val="20"/>
                <w:color w:val="auto"/>
              </w:rPr>
            </w:pPr>
            <w:r>
              <w:rPr>
                <w:rFonts w:ascii="Arial" w:cs="Arial" w:eastAsia="Arial" w:hAnsi="Arial"/>
                <w:sz w:val="12"/>
                <w:szCs w:val="12"/>
                <w:color w:val="auto"/>
              </w:rPr>
              <w:t>0.50</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1.13 to $2.10</w:t>
            </w:r>
          </w:p>
        </w:tc>
        <w:tc>
          <w:tcPr>
            <w:tcW w:w="74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0.50</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3.00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Arial" w:cs="Arial" w:eastAsia="Arial" w:hAnsi="Arial"/>
                <w:sz w:val="10"/>
                <w:szCs w:val="10"/>
                <w:color w:val="auto"/>
                <w:w w:val="71"/>
              </w:rPr>
              <w:t>$</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0.50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1"/>
              </w:rPr>
              <w:t>1.24% to 2.40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1.24% to 2.40</w:t>
            </w: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3"/>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4.25</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4.25</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Volatility</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80.57%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78.9% to 97.62</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78.9% to 97.62</w:t>
            </w:r>
          </w:p>
        </w:tc>
        <w:tc>
          <w:tcPr>
            <w:tcW w:w="340" w:type="dxa"/>
            <w:vAlign w:val="bottom"/>
            <w:gridSpan w:val="2"/>
          </w:tcPr>
          <w:p>
            <w:pPr>
              <w:jc w:val="center"/>
              <w:ind w:right="80"/>
              <w:spacing w:after="0"/>
              <w:rPr>
                <w:sz w:val="20"/>
                <w:szCs w:val="20"/>
                <w:color w:val="auto"/>
              </w:rPr>
            </w:pPr>
            <w:r>
              <w:rPr>
                <w:rFonts w:ascii="Arial" w:cs="Arial" w:eastAsia="Arial" w:hAnsi="Arial"/>
                <w:sz w:val="12"/>
                <w:szCs w:val="12"/>
                <w:color w:val="auto"/>
                <w:w w:val="93"/>
              </w:rPr>
              <w:t>%</w:t>
            </w:r>
          </w:p>
        </w:tc>
        <w:tc>
          <w:tcPr>
            <w:tcW w:w="8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76.10</w:t>
            </w:r>
          </w:p>
        </w:tc>
        <w:tc>
          <w:tcPr>
            <w:tcW w:w="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76.10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4.08 to 7.35</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4.08 to 7.35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2.15</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Dividend rate</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0</w:t>
            </w:r>
          </w:p>
        </w:tc>
        <w:tc>
          <w:tcPr>
            <w:tcW w:w="340" w:type="dxa"/>
            <w:vAlign w:val="bottom"/>
            <w:gridSpan w:val="2"/>
          </w:tcPr>
          <w:p>
            <w:pPr>
              <w:jc w:val="center"/>
              <w:ind w:right="80"/>
              <w:spacing w:after="0"/>
              <w:rPr>
                <w:sz w:val="20"/>
                <w:szCs w:val="20"/>
                <w:color w:val="auto"/>
              </w:rPr>
            </w:pPr>
            <w:r>
              <w:rPr>
                <w:rFonts w:ascii="Arial" w:cs="Arial" w:eastAsia="Arial" w:hAnsi="Arial"/>
                <w:sz w:val="12"/>
                <w:szCs w:val="12"/>
                <w:color w:val="auto"/>
                <w:w w:val="93"/>
              </w:rPr>
              <w:t>%</w:t>
            </w:r>
          </w:p>
        </w:tc>
        <w:tc>
          <w:tcPr>
            <w:tcW w:w="80" w:type="dxa"/>
            <w:vAlign w:val="bottom"/>
          </w:tcPr>
          <w:p>
            <w:pPr>
              <w:spacing w:after="0"/>
              <w:rPr>
                <w:sz w:val="12"/>
                <w:szCs w:val="12"/>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0.29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0.10 to $0.27</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0.21 to $0.32</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0.02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0.14</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Aggregate shares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140"/>
              <w:spacing w:after="0"/>
              <w:rPr>
                <w:sz w:val="20"/>
                <w:szCs w:val="20"/>
                <w:color w:val="auto"/>
              </w:rPr>
            </w:pPr>
            <w:r>
              <w:rPr>
                <w:rFonts w:ascii="Arial" w:cs="Arial" w:eastAsia="Arial" w:hAnsi="Arial"/>
                <w:sz w:val="12"/>
                <w:szCs w:val="12"/>
                <w:color w:val="auto"/>
              </w:rPr>
              <w:t>115,000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422,500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422,500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100,000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to Director Compensation for Fiscal Year Ending March 31, 2015</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have adopted a new director compensation policy for our independent directors, as independence is defined by the NASDAQ Stock Market, effective for our fiscal year beginning April 1, 2014. Under the new independent director compensation policy, our independent directors will receive a $25,000 annual cash retainer. For service on a committee of the board, an independent director will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Each independent director will also receive an annual grant of an option to purchase 25,000 shares, which will vest monthly over a one-year period from the date of grant. The first grant of options under this policy will be made effective as soon as practicable following April 1, 2014. Future grants are expected to be made on the same date as our annual meeting. Prorated option grants will be made for partial years of service.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of Liability and Indemnification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Our Bylaws provide that we will indemnify our directors, officers and employees to the fullest extent permitted by the Nevada Revised Statutes (</w:t>
      </w:r>
      <w:r>
        <w:rPr>
          <w:rFonts w:ascii="Arial" w:cs="Arial" w:eastAsia="Arial" w:hAnsi="Arial"/>
          <w:sz w:val="12"/>
          <w:szCs w:val="12"/>
          <w:i w:val="1"/>
          <w:iCs w:val="1"/>
          <w:color w:val="auto"/>
        </w:rPr>
        <w:t>NRS</w:t>
      </w:r>
      <w:r>
        <w:rPr>
          <w:rFonts w:ascii="Arial" w:cs="Arial" w:eastAsia="Arial" w:hAnsi="Arial"/>
          <w:sz w:val="12"/>
          <w:szCs w:val="12"/>
          <w:color w:val="auto"/>
        </w:rPr>
        <w: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6" w:name="page107"/>
    <w:bookmarkEnd w:id="106"/>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4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3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2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SECURITY OWNERSHIP OF CERTAIN BENEFICIAL OWNERS AND MANAGEMENT</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certain information with respect to the beneficial ownership of our common stock as of July 1, 2014 and as adjusted to reflect the sale of all common stock offered by us in this Offering for:</w:t>
      </w:r>
    </w:p>
    <w:p>
      <w:pPr>
        <w:spacing w:after="0" w:line="168" w:lineRule="exact"/>
        <w:rPr>
          <w:sz w:val="20"/>
          <w:szCs w:val="20"/>
          <w:color w:val="auto"/>
        </w:rPr>
      </w:pPr>
    </w:p>
    <w:p>
      <w:pPr>
        <w:ind w:left="428" w:hanging="428"/>
        <w:spacing w:after="0"/>
        <w:tabs>
          <w:tab w:leader="none" w:pos="428" w:val="left"/>
        </w:tabs>
        <w:numPr>
          <w:ilvl w:val="0"/>
          <w:numId w:val="61"/>
        </w:numPr>
        <w:rPr>
          <w:rFonts w:ascii="Arial" w:cs="Arial" w:eastAsia="Arial" w:hAnsi="Arial"/>
          <w:sz w:val="12"/>
          <w:szCs w:val="12"/>
          <w:color w:val="auto"/>
        </w:rPr>
      </w:pPr>
      <w:r>
        <w:rPr>
          <w:rFonts w:ascii="Arial" w:cs="Arial" w:eastAsia="Arial" w:hAnsi="Arial"/>
          <w:sz w:val="12"/>
          <w:szCs w:val="12"/>
          <w:color w:val="auto"/>
        </w:rPr>
        <w:t>each stockholder known by us to be the beneficial owner of more than 5% of our common stock;</w:t>
      </w:r>
    </w:p>
    <w:p>
      <w:pPr>
        <w:spacing w:after="0" w:line="14" w:lineRule="exact"/>
        <w:rPr>
          <w:rFonts w:ascii="Arial" w:cs="Arial" w:eastAsia="Arial" w:hAnsi="Arial"/>
          <w:sz w:val="12"/>
          <w:szCs w:val="12"/>
          <w:color w:val="auto"/>
        </w:rPr>
      </w:pPr>
    </w:p>
    <w:p>
      <w:pPr>
        <w:ind w:left="428" w:hanging="428"/>
        <w:spacing w:after="0"/>
        <w:tabs>
          <w:tab w:leader="none" w:pos="428" w:val="left"/>
        </w:tabs>
        <w:numPr>
          <w:ilvl w:val="0"/>
          <w:numId w:val="61"/>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61"/>
        </w:numPr>
        <w:rPr>
          <w:rFonts w:ascii="Arial" w:cs="Arial" w:eastAsia="Arial" w:hAnsi="Arial"/>
          <w:sz w:val="12"/>
          <w:szCs w:val="12"/>
          <w:color w:val="auto"/>
        </w:rPr>
      </w:pPr>
      <w:r>
        <w:rPr>
          <w:rFonts w:ascii="Arial" w:cs="Arial" w:eastAsia="Arial" w:hAnsi="Arial"/>
          <w:sz w:val="12"/>
          <w:szCs w:val="12"/>
          <w:color w:val="auto"/>
        </w:rPr>
        <w:t>each of our named executive officers; and</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61"/>
        </w:numPr>
        <w:rPr>
          <w:rFonts w:ascii="Arial" w:cs="Arial" w:eastAsia="Arial" w:hAnsi="Arial"/>
          <w:sz w:val="12"/>
          <w:szCs w:val="12"/>
          <w:color w:val="auto"/>
        </w:rPr>
      </w:pPr>
      <w:r>
        <w:rPr>
          <w:rFonts w:ascii="Arial" w:cs="Arial" w:eastAsia="Arial" w:hAnsi="Arial"/>
          <w:sz w:val="12"/>
          <w:szCs w:val="12"/>
          <w:color w:val="auto"/>
        </w:rPr>
        <w:t>all of our directors and executive officers as a group.</w:t>
      </w:r>
    </w:p>
    <w:p>
      <w:pPr>
        <w:spacing w:after="0" w:line="159"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of the capital stock that they beneficially own, subject to applicable community property laws.</w:t>
      </w:r>
    </w:p>
    <w:p>
      <w:pPr>
        <w:spacing w:after="0" w:line="133"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Applicable percentage ownership is based on 25,506,877 shares of capital stock outstanding at July 1, 2014 In computing the number of shares of common stock beneficially owned by a person, we deemed to be outstanding all shares of common stock subject to options or warrants held by that person or entity that are currently exercisable or that will become exercisable within 60 days of July 1, 2014 and all shares of common stock issuable pursuant to promissory notes and related accrued interest convertible into shares of common stock at July 1, 2014. In computing the percentage of shares beneficially owned before this Offering, we deemed to be outstanding all shares of common stock subject to options or warrants held by that person or entity that are currently exercisable or that will become exercisable within 60 days of July 1, 2014 and all shares of common stock issuable pursuant to promissory notes and related accrued interest convertible into shares of common stock at July 1, 2014. Unless otherwise noted below, the address of each beneficial owner listed in the table is c/o VistaGen Therapeutics, Inc., 343 Allerton Avenue, South San Francisco, California 94080.</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7" w:name="page108"/>
    <w:bookmarkEnd w:id="107"/>
    <w:p>
      <w:pPr>
        <w:ind w:left="8"/>
        <w:spacing w:after="0"/>
        <w:rPr>
          <w:rFonts w:ascii="Arial" w:cs="Arial" w:eastAsia="Arial" w:hAnsi="Arial"/>
          <w:sz w:val="9"/>
          <w:szCs w:val="9"/>
          <w:i w:val="1"/>
          <w:iCs w:val="1"/>
          <w:u w:val="single" w:color="auto"/>
          <w:color w:val="0000EE"/>
        </w:rPr>
      </w:pPr>
      <w:hyperlink w:anchor="page6">
        <w:r>
          <w:rPr>
            <w:rFonts w:ascii="Arial" w:cs="Arial" w:eastAsia="Arial" w:hAnsi="Arial"/>
            <w:sz w:val="9"/>
            <w:szCs w:val="9"/>
            <w:i w:val="1"/>
            <w:iCs w:val="1"/>
            <w:u w:val="single" w:color="auto"/>
            <w:color w:val="0000EE"/>
          </w:rPr>
          <w:t>Table of Contents</w:t>
        </w:r>
      </w:hyperlink>
    </w:p>
    <w:p>
      <w:pPr>
        <w:sectPr>
          <w:pgSz w:w="11900" w:h="16838" w:orient="portrait"/>
          <w:cols w:equalWidth="0" w:num="1">
            <w:col w:w="11468"/>
          </w:cols>
          <w:pgMar w:left="212" w:top="134" w:right="219" w:bottom="1440" w:gutter="0" w:footer="0" w:header="0"/>
        </w:sectPr>
      </w:pPr>
    </w:p>
    <w:p>
      <w:pPr>
        <w:spacing w:after="0" w:line="35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Name and address of beneficial owner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Executive officers and directors</w:t>
      </w:r>
    </w:p>
    <w:p>
      <w:pPr>
        <w:ind w:left="8"/>
        <w:spacing w:after="0" w:line="220" w:lineRule="auto"/>
        <w:rPr>
          <w:sz w:val="20"/>
          <w:szCs w:val="20"/>
          <w:color w:val="auto"/>
        </w:rPr>
      </w:pPr>
      <w:r>
        <w:rPr>
          <w:rFonts w:ascii="Arial" w:cs="Arial" w:eastAsia="Arial" w:hAnsi="Arial"/>
          <w:sz w:val="12"/>
          <w:szCs w:val="12"/>
          <w:color w:val="auto"/>
        </w:rPr>
        <w:t xml:space="preserve">Shawn K. Singh, JD </w:t>
      </w:r>
      <w:r>
        <w:rPr>
          <w:rFonts w:ascii="Arial" w:cs="Arial" w:eastAsia="Arial" w:hAnsi="Arial"/>
          <w:sz w:val="16"/>
          <w:szCs w:val="16"/>
          <w:color w:val="auto"/>
          <w:vertAlign w:val="subscript"/>
        </w:rPr>
        <w:t>(2)</w:t>
      </w:r>
    </w:p>
    <w:p>
      <w:pPr>
        <w:ind w:left="8"/>
        <w:spacing w:after="0" w:line="200" w:lineRule="auto"/>
        <w:rPr>
          <w:sz w:val="20"/>
          <w:szCs w:val="20"/>
          <w:color w:val="auto"/>
        </w:rPr>
      </w:pPr>
      <w:r>
        <w:rPr>
          <w:rFonts w:ascii="Arial" w:cs="Arial" w:eastAsia="Arial" w:hAnsi="Arial"/>
          <w:sz w:val="12"/>
          <w:szCs w:val="12"/>
          <w:color w:val="auto"/>
        </w:rPr>
        <w:t xml:space="preserve">H. Ralph Snodgrass, PhD </w:t>
      </w:r>
      <w:r>
        <w:rPr>
          <w:rFonts w:ascii="Arial" w:cs="Arial" w:eastAsia="Arial" w:hAnsi="Arial"/>
          <w:sz w:val="16"/>
          <w:szCs w:val="16"/>
          <w:color w:val="auto"/>
          <w:vertAlign w:val="subscript"/>
        </w:rPr>
        <w:t>(3)</w:t>
      </w:r>
    </w:p>
    <w:p>
      <w:pPr>
        <w:ind w:left="8"/>
        <w:spacing w:after="0" w:line="200" w:lineRule="auto"/>
        <w:rPr>
          <w:sz w:val="20"/>
          <w:szCs w:val="20"/>
          <w:color w:val="auto"/>
        </w:rPr>
      </w:pPr>
      <w:r>
        <w:rPr>
          <w:rFonts w:ascii="Arial" w:cs="Arial" w:eastAsia="Arial" w:hAnsi="Arial"/>
          <w:sz w:val="12"/>
          <w:szCs w:val="12"/>
          <w:color w:val="auto"/>
        </w:rPr>
        <w:t xml:space="preserve">Jerrold D. Dotson </w:t>
      </w:r>
      <w:r>
        <w:rPr>
          <w:rFonts w:ascii="Arial" w:cs="Arial" w:eastAsia="Arial" w:hAnsi="Arial"/>
          <w:sz w:val="16"/>
          <w:szCs w:val="16"/>
          <w:color w:val="auto"/>
          <w:vertAlign w:val="subscript"/>
        </w:rPr>
        <w:t>(4)</w:t>
      </w:r>
    </w:p>
    <w:p>
      <w:pPr>
        <w:ind w:left="8"/>
        <w:spacing w:after="0" w:line="199" w:lineRule="auto"/>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bscript"/>
        </w:rPr>
        <w:t>(5)</w:t>
      </w:r>
    </w:p>
    <w:p>
      <w:pPr>
        <w:ind w:left="8"/>
        <w:spacing w:after="0" w:line="207" w:lineRule="auto"/>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bscript"/>
        </w:rPr>
        <w:t>(6)</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5% Stockholders</w:t>
      </w:r>
    </w:p>
    <w:p>
      <w:pPr>
        <w:ind w:left="8"/>
        <w:spacing w:after="0" w:line="220" w:lineRule="auto"/>
        <w:rPr>
          <w:sz w:val="20"/>
          <w:szCs w:val="20"/>
          <w:color w:val="auto"/>
        </w:rPr>
      </w:pPr>
      <w:r>
        <w:rPr>
          <w:rFonts w:ascii="Arial" w:cs="Arial" w:eastAsia="Arial" w:hAnsi="Arial"/>
          <w:sz w:val="12"/>
          <w:szCs w:val="12"/>
          <w:color w:val="auto"/>
        </w:rPr>
        <w:t xml:space="preserve">Cato BioVentures </w:t>
      </w:r>
      <w:r>
        <w:rPr>
          <w:rFonts w:ascii="Arial" w:cs="Arial" w:eastAsia="Arial" w:hAnsi="Arial"/>
          <w:sz w:val="16"/>
          <w:szCs w:val="16"/>
          <w:color w:val="auto"/>
          <w:vertAlign w:val="subscript"/>
        </w:rPr>
        <w:t>(7)</w:t>
      </w:r>
    </w:p>
    <w:p>
      <w:pPr>
        <w:ind w:left="8"/>
        <w:spacing w:after="0" w:line="200" w:lineRule="auto"/>
        <w:rPr>
          <w:sz w:val="20"/>
          <w:szCs w:val="20"/>
          <w:color w:val="auto"/>
        </w:rPr>
      </w:pPr>
      <w:r>
        <w:rPr>
          <w:rFonts w:ascii="Arial" w:cs="Arial" w:eastAsia="Arial" w:hAnsi="Arial"/>
          <w:sz w:val="12"/>
          <w:szCs w:val="12"/>
          <w:color w:val="auto"/>
        </w:rPr>
        <w:t xml:space="preserve">Platinum Long Term Growth Fund VII </w:t>
      </w:r>
      <w:r>
        <w:rPr>
          <w:rFonts w:ascii="Arial" w:cs="Arial" w:eastAsia="Arial" w:hAnsi="Arial"/>
          <w:sz w:val="16"/>
          <w:szCs w:val="16"/>
          <w:color w:val="auto"/>
          <w:vertAlign w:val="subscript"/>
        </w:rPr>
        <w:t>(8)</w:t>
      </w:r>
    </w:p>
    <w:p>
      <w:pPr>
        <w:ind w:left="8"/>
        <w:spacing w:after="0" w:line="200" w:lineRule="auto"/>
        <w:rPr>
          <w:sz w:val="20"/>
          <w:szCs w:val="20"/>
          <w:color w:val="auto"/>
        </w:rPr>
      </w:pPr>
      <w:r>
        <w:rPr>
          <w:rFonts w:ascii="Arial" w:cs="Arial" w:eastAsia="Arial" w:hAnsi="Arial"/>
          <w:sz w:val="12"/>
          <w:szCs w:val="12"/>
          <w:color w:val="auto"/>
        </w:rPr>
        <w:t xml:space="preserve">Morrison &amp; Foerster LLP </w:t>
      </w:r>
      <w:r>
        <w:rPr>
          <w:rFonts w:ascii="Arial" w:cs="Arial" w:eastAsia="Arial" w:hAnsi="Arial"/>
          <w:sz w:val="16"/>
          <w:szCs w:val="16"/>
          <w:color w:val="auto"/>
          <w:vertAlign w:val="subscript"/>
        </w:rPr>
        <w:t>(9)</w:t>
      </w:r>
    </w:p>
    <w:p>
      <w:pPr>
        <w:ind w:left="8"/>
        <w:spacing w:after="0" w:line="199" w:lineRule="auto"/>
        <w:rPr>
          <w:sz w:val="20"/>
          <w:szCs w:val="20"/>
          <w:color w:val="auto"/>
        </w:rPr>
      </w:pPr>
      <w:r>
        <w:rPr>
          <w:rFonts w:ascii="Arial" w:cs="Arial" w:eastAsia="Arial" w:hAnsi="Arial"/>
          <w:sz w:val="12"/>
          <w:szCs w:val="12"/>
          <w:color w:val="auto"/>
        </w:rPr>
        <w:t xml:space="preserve">David Young </w:t>
      </w:r>
      <w:r>
        <w:rPr>
          <w:rFonts w:ascii="Arial" w:cs="Arial" w:eastAsia="Arial" w:hAnsi="Arial"/>
          <w:sz w:val="16"/>
          <w:szCs w:val="16"/>
          <w:color w:val="auto"/>
          <w:vertAlign w:val="subscript"/>
        </w:rPr>
        <w:t>(10)</w:t>
      </w:r>
    </w:p>
    <w:p>
      <w:pPr>
        <w:ind w:left="8"/>
        <w:spacing w:after="0" w:line="200" w:lineRule="auto"/>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bscript"/>
        </w:rPr>
        <w:t>(11)</w:t>
      </w:r>
    </w:p>
    <w:p>
      <w:pPr>
        <w:spacing w:after="0" w:line="1" w:lineRule="exact"/>
        <w:rPr>
          <w:sz w:val="20"/>
          <w:szCs w:val="20"/>
          <w:color w:val="auto"/>
        </w:rPr>
      </w:pPr>
    </w:p>
    <w:p>
      <w:pPr>
        <w:ind w:left="8"/>
        <w:spacing w:after="0"/>
        <w:rPr>
          <w:sz w:val="20"/>
          <w:szCs w:val="20"/>
          <w:color w:val="auto"/>
        </w:rPr>
      </w:pPr>
      <w:r>
        <w:rPr>
          <w:rFonts w:ascii="Arial" w:cs="Arial" w:eastAsia="Arial" w:hAnsi="Arial"/>
          <w:sz w:val="10"/>
          <w:szCs w:val="10"/>
          <w:color w:val="auto"/>
        </w:rPr>
        <w:t xml:space="preserve">All executive officers and directors as a group (5 persons) </w:t>
      </w:r>
      <w:r>
        <w:rPr>
          <w:rFonts w:ascii="Arial" w:cs="Arial" w:eastAsia="Arial" w:hAnsi="Arial"/>
          <w:sz w:val="13"/>
          <w:szCs w:val="13"/>
          <w:color w:val="auto"/>
          <w:vertAlign w:val="subscript"/>
        </w:rPr>
        <w:t>(12)</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 Less than 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Percent of shares beneficially</w:t>
            </w:r>
          </w:p>
        </w:tc>
        <w:tc>
          <w:tcPr>
            <w:tcW w:w="1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Percent of shares beneficially</w:t>
            </w:r>
          </w:p>
        </w:tc>
      </w:tr>
      <w:tr>
        <w:trPr>
          <w:trHeight w:val="144"/>
        </w:trPr>
        <w:tc>
          <w:tcPr>
            <w:tcW w:w="1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Number of shares beneficially</w:t>
            </w:r>
          </w:p>
        </w:tc>
        <w:tc>
          <w:tcPr>
            <w:tcW w:w="1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4"/>
              </w:rPr>
              <w:t>owned</w:t>
            </w:r>
          </w:p>
        </w:tc>
        <w:tc>
          <w:tcPr>
            <w:tcW w:w="1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owned</w:t>
            </w:r>
          </w:p>
        </w:tc>
      </w:tr>
      <w:tr>
        <w:trPr>
          <w:trHeight w:val="166"/>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owned</w:t>
            </w:r>
          </w:p>
        </w:tc>
        <w:tc>
          <w:tcPr>
            <w:tcW w:w="14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before Offering</w:t>
            </w:r>
          </w:p>
        </w:tc>
        <w:tc>
          <w:tcPr>
            <w:tcW w:w="300" w:type="dxa"/>
            <w:vAlign w:val="bottom"/>
          </w:tcPr>
          <w:p>
            <w:pPr>
              <w:spacing w:after="0"/>
              <w:rPr>
                <w:sz w:val="14"/>
                <w:szCs w:val="14"/>
                <w:color w:val="auto"/>
              </w:rPr>
            </w:pPr>
          </w:p>
        </w:tc>
        <w:tc>
          <w:tcPr>
            <w:tcW w:w="154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2"/>
                <w:szCs w:val="12"/>
                <w:b w:val="1"/>
                <w:bCs w:val="1"/>
                <w:color w:val="auto"/>
                <w:w w:val="90"/>
              </w:rPr>
              <w:t xml:space="preserve">after Offering </w:t>
            </w:r>
            <w:r>
              <w:rPr>
                <w:rFonts w:ascii="Arial" w:cs="Arial" w:eastAsia="Arial" w:hAnsi="Arial"/>
                <w:sz w:val="16"/>
                <w:szCs w:val="16"/>
                <w:b w:val="1"/>
                <w:bCs w:val="1"/>
                <w:color w:val="auto"/>
                <w:w w:val="90"/>
                <w:vertAlign w:val="subscript"/>
              </w:rPr>
              <w:t>(1)</w:t>
            </w:r>
          </w:p>
        </w:tc>
        <w:tc>
          <w:tcPr>
            <w:tcW w:w="100" w:type="dxa"/>
            <w:vAlign w:val="bottom"/>
          </w:tcPr>
          <w:p>
            <w:pPr>
              <w:spacing w:after="0"/>
              <w:rPr>
                <w:sz w:val="14"/>
                <w:szCs w:val="14"/>
                <w:color w:val="auto"/>
              </w:rPr>
            </w:pPr>
          </w:p>
        </w:tc>
      </w:tr>
      <w:tr>
        <w:trPr>
          <w:trHeight w:val="295"/>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3,467,459</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12.14%</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5.92%</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2,469,163</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9.22%</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4.35%</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314,107</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1.22%</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474,158</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1.83%</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364,166</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1.41%</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441"/>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4,708,257</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17.50%</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8.27%</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1,540,000</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6.04%</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2.77%</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2,233,957</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8.11%</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3.88%</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2,104,977</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7.88%</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3.71%</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1,758,463</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6.73%</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3.13%</w:t>
            </w:r>
          </w:p>
        </w:tc>
      </w:tr>
      <w:tr>
        <w:trPr>
          <w:trHeight w:val="153"/>
        </w:trPr>
        <w:tc>
          <w:tcPr>
            <w:tcW w:w="1820" w:type="dxa"/>
            <w:vAlign w:val="bottom"/>
          </w:tcPr>
          <w:p>
            <w:pPr>
              <w:jc w:val="right"/>
              <w:spacing w:after="0"/>
              <w:rPr>
                <w:sz w:val="20"/>
                <w:szCs w:val="20"/>
                <w:color w:val="auto"/>
              </w:rPr>
            </w:pPr>
            <w:r>
              <w:rPr>
                <w:rFonts w:ascii="Arial" w:cs="Arial" w:eastAsia="Arial" w:hAnsi="Arial"/>
                <w:sz w:val="12"/>
                <w:szCs w:val="12"/>
                <w:color w:val="auto"/>
              </w:rPr>
              <w:t>7,089,053</w:t>
            </w:r>
          </w:p>
        </w:tc>
        <w:tc>
          <w:tcPr>
            <w:tcW w:w="140" w:type="dxa"/>
            <w:vAlign w:val="bottom"/>
          </w:tcPr>
          <w:p>
            <w:pPr>
              <w:spacing w:after="0"/>
              <w:rPr>
                <w:sz w:val="13"/>
                <w:szCs w:val="13"/>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22.91%</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11.63%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-1343660</wp:posOffset>
            </wp:positionV>
            <wp:extent cx="7292340" cy="914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-1154430</wp:posOffset>
            </wp:positionV>
            <wp:extent cx="7292340" cy="971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-960120</wp:posOffset>
            </wp:positionV>
            <wp:extent cx="7292340" cy="97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-765810</wp:posOffset>
            </wp:positionV>
            <wp:extent cx="7292340" cy="914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-582930</wp:posOffset>
            </wp:positionV>
            <wp:extent cx="7292340" cy="971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-387985</wp:posOffset>
            </wp:positionV>
            <wp:extent cx="7292340" cy="971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-193675</wp:posOffset>
            </wp:positionV>
            <wp:extent cx="7292340" cy="971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line="459" w:lineRule="exact"/>
        <w:rPr>
          <w:sz w:val="20"/>
          <w:szCs w:val="20"/>
          <w:color w:val="auto"/>
        </w:rPr>
      </w:pPr>
    </w:p>
    <w:p>
      <w:pPr>
        <w:sectPr>
          <w:pgSz w:w="11900" w:h="16838" w:orient="portrait"/>
          <w:cols w:equalWidth="0" w:num="2">
            <w:col w:w="5268" w:space="720"/>
            <w:col w:w="5480"/>
          </w:cols>
          <w:pgMar w:left="212" w:top="134" w:right="219" w:bottom="1440" w:gutter="0" w:footer="0" w:header="0"/>
          <w:type w:val="continuous"/>
        </w:sectPr>
      </w:pPr>
    </w:p>
    <w:p>
      <w:pPr>
        <w:ind w:left="608" w:hanging="608"/>
        <w:spacing w:after="0"/>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Assumes 55,506,877 shares are issued and outstanding after the Offering.</w:t>
      </w:r>
    </w:p>
    <w:p>
      <w:pPr>
        <w:spacing w:after="0" w:line="14" w:lineRule="exact"/>
        <w:rPr>
          <w:rFonts w:ascii="Arial" w:cs="Arial" w:eastAsia="Arial" w:hAnsi="Arial"/>
          <w:sz w:val="12"/>
          <w:szCs w:val="12"/>
          <w:color w:val="auto"/>
        </w:rPr>
      </w:pPr>
    </w:p>
    <w:p>
      <w:pPr>
        <w:ind w:left="608" w:hanging="608"/>
        <w:spacing w:after="0" w:line="261"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options to purchase 1,690,833 restricted shares of common stock exercisable within 60 days of July 1, 2014; warrants to purchase 1,331,052 restricted shares of common stock exercisable within 60 days of July 1, 2014, and 33,400 restricted shares of common stock upon conversion of a currently convertible promissory note and accrued interest.</w:t>
      </w:r>
    </w:p>
    <w:p>
      <w:pPr>
        <w:spacing w:after="0" w:line="141"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options to purchase 414,695 restricted shares of common stock exercisable within 60 days of July 1, 2014 and warrants to purchase 850,000 restricted shares of common stock exercisable within 60 days of July 1, 2014.</w:t>
      </w:r>
    </w:p>
    <w:p>
      <w:pPr>
        <w:spacing w:after="0" w:line="114"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options to purchase 114,107 restricted shares of common stock exercisable within 60 days of July 1, 2014, including options to purchase 12,979 shares of common stock held by Mr. Dotson’s wife, and warrants to purchase 200,000 restricted shares of common stock exercisable within 60 days of July 1, 2014.</w:t>
      </w:r>
    </w:p>
    <w:p>
      <w:pPr>
        <w:spacing w:after="0" w:line="114"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options to purchase 241,666 restricted shares of common stock exercisable within 60 days of July 1, 2014 and warrants to purchase 195,000 restricted shares of common stock exercisable within 60 days of July 1, 2014.</w:t>
      </w:r>
    </w:p>
    <w:p>
      <w:pPr>
        <w:spacing w:after="0" w:line="114"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options to purchase 176,666 restricted shares of common stock exercisable within 60 days of July 1, 2014 and warrants to purchase 187,500 restricted shares of common stock exercisable within 60 days of July 1, 2014.</w:t>
      </w:r>
    </w:p>
    <w:p>
      <w:pPr>
        <w:spacing w:after="0" w:line="114" w:lineRule="exact"/>
        <w:rPr>
          <w:rFonts w:ascii="Arial" w:cs="Arial" w:eastAsia="Arial" w:hAnsi="Arial"/>
          <w:sz w:val="12"/>
          <w:szCs w:val="12"/>
          <w:color w:val="auto"/>
        </w:rPr>
      </w:pPr>
    </w:p>
    <w:p>
      <w:pPr>
        <w:ind w:left="608" w:hanging="608"/>
        <w:spacing w:after="0" w:line="323" w:lineRule="auto"/>
        <w:tabs>
          <w:tab w:leader="none" w:pos="608" w:val="left"/>
        </w:tabs>
        <w:numPr>
          <w:ilvl w:val="0"/>
          <w:numId w:val="62"/>
        </w:numPr>
        <w:rPr>
          <w:rFonts w:ascii="Arial" w:cs="Arial" w:eastAsia="Arial" w:hAnsi="Arial"/>
          <w:sz w:val="11"/>
          <w:szCs w:val="11"/>
          <w:color w:val="auto"/>
        </w:rPr>
      </w:pPr>
      <w:r>
        <w:rPr>
          <w:rFonts w:ascii="Arial" w:cs="Arial" w:eastAsia="Arial" w:hAnsi="Arial"/>
          <w:sz w:val="11"/>
          <w:szCs w:val="11"/>
          <w:color w:val="auto"/>
        </w:rPr>
        <w:t>Based upon information contained in Form 4 filed on January 9, 2012. Includes currently exercisable warrants to purchase 1,397,421 shares of restricted common stock. Dr. Allen E. Cato, Ph.D., M.D. is deemed to have voting and investment authority over the shares held by Cato Holding Company. The primary business address of Cato BioVentures is 4364 South Alston Avenue, Durham, North Carolina 27713.</w:t>
      </w:r>
    </w:p>
    <w:p>
      <w:pPr>
        <w:spacing w:after="0" w:line="2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34" w:right="219" w:bottom="1440" w:gutter="0" w:footer="0" w:header="0"/>
          <w:type w:val="continuous"/>
        </w:sectPr>
      </w:pPr>
    </w:p>
    <w:bookmarkStart w:id="108" w:name="page109"/>
    <w:bookmarkEnd w:id="10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608" w:hanging="608"/>
        <w:spacing w:after="0" w:line="257" w:lineRule="auto"/>
        <w:tabs>
          <w:tab w:leader="none" w:pos="6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Based upon information contained in Schedule 13G/A filed on February 14, 2014, we have assumed that Platinum has transferred or assigned, or agreed to transfer or assign, 15% of its holdings of our common stock and other securities as of December 31, 2013 to a third-party or multiple third-parties. The figures reported in the table above and in this note reflect the impact of Platinum’s assumed transfer or assignment and are adjusted for securities sold to Platinum in transactions completed on April 1, 2014, May 14, 2014 and June 18, 2014, involving an aggregate of 750,000 restricted shares of our common stock, currently exercisable warrants to purchase 750,000 shares of our restricted common stock (subject to beneficial ownership restrictions noted below); and currently convertible promissory notes (subject to beneficial ownership restrictions noted below). The number of beneficially owned shares reported at July 1, 2014 includes 1,540,000 restricted shares of common stock owned by Platinum.</w:t>
      </w:r>
    </w:p>
    <w:p>
      <w:pPr>
        <w:spacing w:after="0" w:line="125" w:lineRule="exact"/>
        <w:rPr>
          <w:rFonts w:ascii="Arial" w:cs="Arial" w:eastAsia="Arial" w:hAnsi="Arial"/>
          <w:sz w:val="12"/>
          <w:szCs w:val="12"/>
          <w:color w:val="auto"/>
        </w:rPr>
      </w:pPr>
    </w:p>
    <w:p>
      <w:pPr>
        <w:jc w:val="both"/>
        <w:ind w:left="608"/>
        <w:spacing w:after="0" w:line="290" w:lineRule="auto"/>
        <w:rPr>
          <w:rFonts w:ascii="Arial" w:cs="Arial" w:eastAsia="Arial" w:hAnsi="Arial"/>
          <w:sz w:val="12"/>
          <w:szCs w:val="12"/>
          <w:color w:val="auto"/>
        </w:rPr>
      </w:pPr>
      <w:r>
        <w:rPr>
          <w:rFonts w:ascii="Arial" w:cs="Arial" w:eastAsia="Arial" w:hAnsi="Arial"/>
          <w:sz w:val="11"/>
          <w:szCs w:val="11"/>
          <w:color w:val="auto"/>
        </w:rPr>
        <w:t>The reported number of shares beneficially owned excludes 12,750,000 restricted shares of common stock and a warrant to purchase 6,375,000 restricted shares of common stock that may currently be acquired by Platinum upon exchange of 425,000 restricted shares of our Series A Preferred. Pursuant to the October 11, 2012 Note Exchange and Purchase Agreement by and between us and Platinum, there is a limitation on exchange such that the number of shares of our common stock that may be acquired by Platinum upon exchange of the Series A Preferred is limited to the extent necessary to ensure that, following such exchange, the total number of shares of our common stock then beneficially owned by Platinum does not exceed 9.99% of the total number of our issued and outstanding shares of common stock without providing us with 61 days’ prior notice thereof.</w:t>
      </w:r>
    </w:p>
    <w:p>
      <w:pPr>
        <w:spacing w:after="0" w:line="109" w:lineRule="exact"/>
        <w:rPr>
          <w:rFonts w:ascii="Arial" w:cs="Arial" w:eastAsia="Arial" w:hAnsi="Arial"/>
          <w:sz w:val="12"/>
          <w:szCs w:val="12"/>
          <w:color w:val="auto"/>
        </w:rPr>
      </w:pPr>
    </w:p>
    <w:p>
      <w:pPr>
        <w:jc w:val="both"/>
        <w:ind w:left="608"/>
        <w:spacing w:after="0" w:line="283" w:lineRule="auto"/>
        <w:rPr>
          <w:rFonts w:ascii="Arial" w:cs="Arial" w:eastAsia="Arial" w:hAnsi="Arial"/>
          <w:sz w:val="12"/>
          <w:szCs w:val="12"/>
          <w:color w:val="auto"/>
        </w:rPr>
      </w:pPr>
      <w:r>
        <w:rPr>
          <w:rFonts w:ascii="Arial" w:cs="Arial" w:eastAsia="Arial" w:hAnsi="Arial"/>
          <w:sz w:val="11"/>
          <w:szCs w:val="11"/>
          <w:color w:val="auto"/>
        </w:rPr>
        <w:t xml:space="preserve">Further, the reported number of shares beneficially owned also excludes an aggregate of 12,265,775 restricted shares of our common stock that may be acquired by Platinum upon (i) conversion of various Senior Secured Convertible Promissory Notes in the aggregate face amount of $2,994,190 and Subordinate Convertible Promissory Notes in the aggregate face amount of $750,000 (together, the </w:t>
      </w:r>
      <w:r>
        <w:rPr>
          <w:rFonts w:ascii="Arial" w:cs="Arial" w:eastAsia="Arial" w:hAnsi="Arial"/>
          <w:sz w:val="11"/>
          <w:szCs w:val="11"/>
          <w:i w:val="1"/>
          <w:iCs w:val="1"/>
          <w:color w:val="auto"/>
        </w:rPr>
        <w:t>Convertible Notes</w:t>
      </w:r>
      <w:r>
        <w:rPr>
          <w:rFonts w:ascii="Arial" w:cs="Arial" w:eastAsia="Arial" w:hAnsi="Arial"/>
          <w:sz w:val="11"/>
          <w:szCs w:val="11"/>
          <w:color w:val="auto"/>
        </w:rPr>
        <w:t>) plus accrued but unpaid interest or (ii) exercise of various common stock purchase warrants to purchase an aggregate of 3,744,190 restricted shares of our common stock. Pursuant to the terms of the respective Convertible Notes and common stock purchase warrant agreements, there is a limitation on conversion of the Convertible Notes and exercise of the warrants such that the number of shares of common stock that Platinum may acquire upon such conversion or exercise is limited to the extent necessary to ensure that, following such conversion or exercise, the total number of shares of common stock then beneficially owned by Platinum does not exceed 4.99% or 9.99% of the total number of issued and outstanding shares of our common stock without providing us with 61 days’ prior notice thereof.</w:t>
      </w:r>
    </w:p>
    <w:p>
      <w:pPr>
        <w:spacing w:after="0" w:line="113" w:lineRule="exact"/>
        <w:rPr>
          <w:rFonts w:ascii="Arial" w:cs="Arial" w:eastAsia="Arial" w:hAnsi="Arial"/>
          <w:sz w:val="12"/>
          <w:szCs w:val="12"/>
          <w:color w:val="auto"/>
        </w:rPr>
      </w:pPr>
    </w:p>
    <w:p>
      <w:pPr>
        <w:ind w:left="608"/>
        <w:spacing w:after="0" w:line="323" w:lineRule="auto"/>
        <w:rPr>
          <w:rFonts w:ascii="Arial" w:cs="Arial" w:eastAsia="Arial" w:hAnsi="Arial"/>
          <w:sz w:val="12"/>
          <w:szCs w:val="12"/>
          <w:color w:val="auto"/>
        </w:rPr>
      </w:pPr>
      <w:r>
        <w:rPr>
          <w:rFonts w:ascii="Arial" w:cs="Arial" w:eastAsia="Arial" w:hAnsi="Arial"/>
          <w:sz w:val="11"/>
          <w:szCs w:val="11"/>
          <w:color w:val="auto"/>
        </w:rPr>
        <w:t>Including the shares otherwise excluded due to the beneficial ownership restrictions noted above, Platinum beneficially owns 32,930,776 shares or 57.88% of our common stock prior to the Offering. The primary business address of Platinum Long Term Growth Fund VII is 152 West 57th Street, 54th Floor, New York, New York 10019. Mark Nordlicht has voting and investment control over the shares held by Platinum.</w:t>
      </w:r>
    </w:p>
    <w:p>
      <w:pPr>
        <w:spacing w:after="0" w:line="91" w:lineRule="exact"/>
        <w:rPr>
          <w:rFonts w:ascii="Arial" w:cs="Arial" w:eastAsia="Arial" w:hAnsi="Arial"/>
          <w:sz w:val="12"/>
          <w:szCs w:val="12"/>
          <w:color w:val="auto"/>
        </w:rPr>
      </w:pPr>
    </w:p>
    <w:p>
      <w:pPr>
        <w:ind w:left="608" w:hanging="608"/>
        <w:spacing w:after="0"/>
        <w:tabs>
          <w:tab w:leader="none" w:pos="608" w:val="left"/>
        </w:tabs>
        <w:numPr>
          <w:ilvl w:val="0"/>
          <w:numId w:val="63"/>
        </w:numPr>
        <w:rPr>
          <w:rFonts w:ascii="Arial" w:cs="Arial" w:eastAsia="Arial" w:hAnsi="Arial"/>
          <w:sz w:val="11"/>
          <w:szCs w:val="11"/>
          <w:color w:val="auto"/>
        </w:rPr>
      </w:pPr>
      <w:r>
        <w:rPr>
          <w:rFonts w:ascii="Arial" w:cs="Arial" w:eastAsia="Arial" w:hAnsi="Arial"/>
          <w:sz w:val="11"/>
          <w:szCs w:val="11"/>
          <w:color w:val="auto"/>
        </w:rPr>
        <w:t>Includes currently exercisable warrants to purchase 2,033,957 restricted shares of common stock. The primary business address of Morrison &amp; Foerster is 555 Market Street, San Francisco, California 94105.</w:t>
      </w:r>
    </w:p>
    <w:p>
      <w:pPr>
        <w:spacing w:after="0" w:line="161" w:lineRule="exact"/>
        <w:rPr>
          <w:rFonts w:ascii="Arial" w:cs="Arial" w:eastAsia="Arial" w:hAnsi="Arial"/>
          <w:sz w:val="11"/>
          <w:szCs w:val="11"/>
          <w:color w:val="auto"/>
        </w:rPr>
      </w:pPr>
    </w:p>
    <w:p>
      <w:pPr>
        <w:ind w:left="608" w:right="20" w:hanging="608"/>
        <w:spacing w:after="0" w:line="276" w:lineRule="auto"/>
        <w:tabs>
          <w:tab w:leader="none" w:pos="6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658,728 restricted shares of common stock and 542,035 restricted shares of common stock upon conversion of currently convertible promissory notes and accrued interest. Mr. Young’s primary business address is c/o Coldwell Banker Residential Brokerage, 580 El Camino Real, San Carlos, California 94070.</w:t>
      </w:r>
    </w:p>
    <w:p>
      <w:pPr>
        <w:spacing w:after="0" w:line="114" w:lineRule="exact"/>
        <w:rPr>
          <w:rFonts w:ascii="Arial" w:cs="Arial" w:eastAsia="Arial" w:hAnsi="Arial"/>
          <w:sz w:val="12"/>
          <w:szCs w:val="12"/>
          <w:color w:val="auto"/>
        </w:rPr>
      </w:pPr>
    </w:p>
    <w:p>
      <w:pPr>
        <w:ind w:left="608" w:right="20" w:hanging="608"/>
        <w:spacing w:after="0" w:line="276" w:lineRule="auto"/>
        <w:tabs>
          <w:tab w:leader="none" w:pos="6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620,408 restricted shares of common stock. The primary business address of University Health Network is 101 College Street, Suite 150, Toronto, Ontario Canada M5G 1L7.</w:t>
      </w:r>
    </w:p>
    <w:p>
      <w:pPr>
        <w:spacing w:after="0" w:line="114" w:lineRule="exact"/>
        <w:rPr>
          <w:rFonts w:ascii="Arial" w:cs="Arial" w:eastAsia="Arial" w:hAnsi="Arial"/>
          <w:sz w:val="12"/>
          <w:szCs w:val="12"/>
          <w:color w:val="auto"/>
        </w:rPr>
      </w:pPr>
    </w:p>
    <w:p>
      <w:pPr>
        <w:ind w:left="608" w:right="20" w:hanging="608"/>
        <w:spacing w:after="0" w:line="276" w:lineRule="auto"/>
        <w:tabs>
          <w:tab w:leader="none" w:pos="6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options to purchase an aggregate of 2,637,967 restricted shares of common stock exercisable within 60 days of July 1, 2014, warrants to purchase an aggregate of 2,763,552 restricted shares of common stock exercisable within 60 days of July 1, 2014 and 33,400 restricted shares of common stock upon conversion of a currently convertible promissory note and accrued interest.</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9" w:name="page110"/>
    <w:bookmarkEnd w:id="10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RELATED PARTY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of Securities to Cato Holding Company</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Cato Holding Company (</w:t>
      </w:r>
      <w:r>
        <w:rPr>
          <w:rFonts w:ascii="Arial" w:cs="Arial" w:eastAsia="Arial" w:hAnsi="Arial"/>
          <w:sz w:val="12"/>
          <w:szCs w:val="12"/>
          <w:i w:val="1"/>
          <w:iCs w:val="1"/>
          <w:color w:val="auto"/>
        </w:rPr>
        <w:t>CHC</w:t>
      </w:r>
      <w:r>
        <w:rPr>
          <w:rFonts w:ascii="Arial" w:cs="Arial" w:eastAsia="Arial" w:hAnsi="Arial"/>
          <w:sz w:val="12"/>
          <w:szCs w:val="12"/>
          <w:color w:val="auto"/>
        </w:rPr>
        <w:t>), doing business as Cato BioVentures (</w:t>
      </w:r>
      <w:r>
        <w:rPr>
          <w:rFonts w:ascii="Arial" w:cs="Arial" w:eastAsia="Arial" w:hAnsi="Arial"/>
          <w:sz w:val="12"/>
          <w:szCs w:val="12"/>
          <w:i w:val="1"/>
          <w:iCs w:val="1"/>
          <w:color w:val="auto"/>
        </w:rPr>
        <w:t>CBV</w:t>
      </w:r>
      <w:r>
        <w:rPr>
          <w:rFonts w:ascii="Arial" w:cs="Arial" w:eastAsia="Arial" w:hAnsi="Arial"/>
          <w:sz w:val="12"/>
          <w:szCs w:val="12"/>
          <w:color w:val="auto"/>
        </w:rPr>
        <w:t>), the parent of Cato Research Ltd. (</w:t>
      </w:r>
      <w:r>
        <w:rPr>
          <w:rFonts w:ascii="Arial" w:cs="Arial" w:eastAsia="Arial" w:hAnsi="Arial"/>
          <w:sz w:val="12"/>
          <w:szCs w:val="12"/>
          <w:i w:val="1"/>
          <w:iCs w:val="1"/>
          <w:color w:val="auto"/>
        </w:rPr>
        <w:t>CRL</w:t>
      </w:r>
      <w:r>
        <w:rPr>
          <w:rFonts w:ascii="Arial" w:cs="Arial" w:eastAsia="Arial" w:hAnsi="Arial"/>
          <w:sz w:val="12"/>
          <w:szCs w:val="12"/>
          <w:color w:val="auto"/>
        </w:rPr>
        <w:t>), is one of our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our Chief Executive Officer and member of our Board of Directors, served as Managing Principal of CBV and as an officer of CRL until August 2009. In April 2011, CBV loaned us $352,300 under the terms of a Promissory Note (</w:t>
      </w:r>
      <w:r>
        <w:rPr>
          <w:rFonts w:ascii="Arial" w:cs="Arial" w:eastAsia="Arial" w:hAnsi="Arial"/>
          <w:sz w:val="12"/>
          <w:szCs w:val="12"/>
          <w:i w:val="1"/>
          <w:iCs w:val="1"/>
          <w:color w:val="auto"/>
        </w:rPr>
        <w:t>2011 CHC Note</w:t>
      </w:r>
      <w:r>
        <w:rPr>
          <w:rFonts w:ascii="Arial" w:cs="Arial" w:eastAsia="Arial" w:hAnsi="Arial"/>
          <w:sz w:val="12"/>
          <w:szCs w:val="12"/>
          <w:color w:val="auto"/>
        </w:rPr>
        <w:t>). On October 10, 2012, we agreed with CHC to cancel the 2011 CHC Note and exchange it for a new unsecured promissory note in the principal amount of $310,400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250,000 restricted shares of our common stock at a price of $1.50 per share (</w:t>
      </w:r>
      <w:r>
        <w:rPr>
          <w:rFonts w:ascii="Arial" w:cs="Arial" w:eastAsia="Arial" w:hAnsi="Arial"/>
          <w:sz w:val="12"/>
          <w:szCs w:val="12"/>
          <w:i w:val="1"/>
          <w:iCs w:val="1"/>
          <w:color w:val="auto"/>
        </w:rPr>
        <w:t>CHC Warrant</w:t>
      </w:r>
      <w:r>
        <w:rPr>
          <w:rFonts w:ascii="Arial" w:cs="Arial" w:eastAsia="Arial" w:hAnsi="Arial"/>
          <w:sz w:val="12"/>
          <w:szCs w:val="12"/>
          <w:color w:val="auto"/>
        </w:rPr>
        <w:t>). Additionally, on October 10, 2012, we issued to CRL: (i) an unsecured promissory note in the initial principal amount of $1,009,000, which is payable solely in restricted shares of our common stock and which accrues interest at the rate of 7.5% per annum, compounded monthly (</w:t>
      </w:r>
      <w:r>
        <w:rPr>
          <w:rFonts w:ascii="Arial" w:cs="Arial" w:eastAsia="Arial" w:hAnsi="Arial"/>
          <w:sz w:val="12"/>
          <w:szCs w:val="12"/>
          <w:i w:val="1"/>
          <w:iCs w:val="1"/>
          <w:color w:val="auto"/>
        </w:rPr>
        <w:t>CRL</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as payment in full for all contract research and development services and regulatory advice rendered by CRL to us through December 31, 2012 with respect to the preclinical and clinical development of AV-101, and (ii) a five-year</w:t>
      </w:r>
      <w:r>
        <w:rPr>
          <w:rFonts w:ascii="Arial" w:cs="Arial" w:eastAsia="Arial" w:hAnsi="Arial"/>
          <w:sz w:val="12"/>
          <w:szCs w:val="12"/>
          <w:i w:val="1"/>
          <w:iCs w:val="1"/>
          <w:color w:val="auto"/>
        </w:rPr>
        <w:t xml:space="preserve"> </w:t>
      </w:r>
      <w:r>
        <w:rPr>
          <w:rFonts w:ascii="Arial" w:cs="Arial" w:eastAsia="Arial" w:hAnsi="Arial"/>
          <w:sz w:val="12"/>
          <w:szCs w:val="12"/>
          <w:color w:val="auto"/>
        </w:rPr>
        <w:t>warrant to purchase, at a price of $1.00 per share, 1,009,000 restricted shares of our common stock. Total interest expense on notes payable to CHC and CRL was $167,900 and $101,700 for the fiscal years ended March 31, 2014 and 2013.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Research and Development Agreement with Cato Research Ltd.</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During fiscal year 2007, we entered into a contract research organization arrangement with CRL related to the development of AV-101, under which we incurred expenses of $52,500 and $703,800 for the fiscal years ended March 31, 2014 and 2013, respectively, with a substantial portion of the fiscal year 2013 expense reimbursed under the NIH grant.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Note Receivable from Shawn K. Singh, JD and Advances to us by Mr. Singh</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our becoming subject to the requirements of the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we had accrued $101,900 as an estimate of the gross-up amount payable to Mr. Singh, but we had not yet paid it to Mr. Singh.</w:t>
      </w:r>
    </w:p>
    <w:p>
      <w:pPr>
        <w:spacing w:after="0" w:line="12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2014 we have partially repaid Mr. Singh the remaining balance of the advances.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 Agreements with Directors and Executive Officers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entered into indemnification agreements with each of our directors and executive officers. The indemnification agreements and our Bylaws provide that we shall indemnify our directors to the fullest extent permitted by the Nevada Revised Statutes. For more information regarding these agreements, see “Executive compensation—Limitations of Liability and Indemnification.”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0" w:name="page111"/>
    <w:bookmarkEnd w:id="11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LEGAL MATTERS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Disclosure Law Group, San Diego, California, will pass upon the validity of the securities offered hereby. A partner of the Disclosure Law Group holds warrants to purchase 58,334 shares of our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EXPERTS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financial statements as of March 31, 2014 and 2013,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INTEREST OF NAMED EXPERTS AND COUNSEL</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41"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We have filed with the SEC a Registration Statement on Form S-1 under the Securities Act with respect to the shares of common stock and warrants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26"/>
        </w:trPr>
        <w:tc>
          <w:tcPr>
            <w:tcW w:w="4260" w:type="dxa"/>
            <w:vAlign w:val="bottom"/>
            <w:gridSpan w:val="10"/>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6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20" w:type="dxa"/>
            <w:vAlign w:val="bottom"/>
            <w:gridSpan w:val="2"/>
          </w:tcPr>
          <w:p>
            <w:pPr>
              <w:jc w:val="center"/>
              <w:ind w:right="4200"/>
              <w:spacing w:after="0"/>
              <w:rPr>
                <w:sz w:val="20"/>
                <w:szCs w:val="20"/>
                <w:color w:val="auto"/>
              </w:rPr>
            </w:pPr>
            <w:r>
              <w:rPr>
                <w:rFonts w:ascii="Arial" w:cs="Arial" w:eastAsia="Arial" w:hAnsi="Arial"/>
                <w:sz w:val="12"/>
                <w:szCs w:val="12"/>
                <w:b w:val="1"/>
                <w:bCs w:val="1"/>
                <w:color w:val="auto"/>
              </w:rPr>
              <w:t>VISTAGEN THERAPEUTICS INC.</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20" w:type="dxa"/>
            <w:vAlign w:val="bottom"/>
            <w:gridSpan w:val="2"/>
          </w:tcPr>
          <w:p>
            <w:pPr>
              <w:jc w:val="center"/>
              <w:ind w:right="4220"/>
              <w:spacing w:after="0"/>
              <w:rPr>
                <w:sz w:val="20"/>
                <w:szCs w:val="20"/>
                <w:color w:val="auto"/>
              </w:rPr>
            </w:pPr>
            <w:r>
              <w:rPr>
                <w:rFonts w:ascii="Arial" w:cs="Arial" w:eastAsia="Arial" w:hAnsi="Arial"/>
                <w:sz w:val="12"/>
                <w:szCs w:val="12"/>
                <w:b w:val="1"/>
                <w:bCs w:val="1"/>
                <w:color w:val="auto"/>
              </w:rPr>
              <w:t>INDEX TO FINANCIAL STATEMENTS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22"/>
        </w:trPr>
        <w:tc>
          <w:tcPr>
            <w:tcW w:w="4260" w:type="dxa"/>
            <w:vAlign w:val="bottom"/>
            <w:gridSpan w:val="10"/>
          </w:tcPr>
          <w:p>
            <w:pPr>
              <w:spacing w:after="0" w:line="115" w:lineRule="exact"/>
              <w:rPr>
                <w:rFonts w:ascii="Arial" w:cs="Arial" w:eastAsia="Arial" w:hAnsi="Arial"/>
                <w:sz w:val="12"/>
                <w:szCs w:val="12"/>
                <w:b w:val="1"/>
                <w:bCs w:val="1"/>
                <w:color w:val="0000EE"/>
                <w:w w:val="99"/>
              </w:rPr>
            </w:pPr>
            <w:hyperlink w:anchor="page113">
              <w:r>
                <w:rPr>
                  <w:rFonts w:ascii="Arial" w:cs="Arial" w:eastAsia="Arial" w:hAnsi="Arial"/>
                  <w:sz w:val="12"/>
                  <w:szCs w:val="12"/>
                  <w:b w:val="1"/>
                  <w:bCs w:val="1"/>
                  <w:color w:val="0000EE"/>
                  <w:w w:val="99"/>
                </w:rPr>
                <w:t>Audited Financial Statements for the years ended March 31, 2014 and 2013</w:t>
              </w:r>
            </w:hyperlink>
          </w:p>
        </w:tc>
        <w:tc>
          <w:tcPr>
            <w:tcW w:w="6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20" w:type="dxa"/>
            <w:vAlign w:val="bottom"/>
            <w:tcBorders>
              <w:top w:val="single" w:sz="8" w:color="0000EE"/>
            </w:tcBorders>
            <w:gridSpan w:val="8"/>
            <w:shd w:val="clear" w:color="auto" w:fill="CCEEFF"/>
          </w:tcPr>
          <w:p>
            <w:pPr>
              <w:spacing w:after="0" w:line="117" w:lineRule="exact"/>
              <w:rPr>
                <w:rFonts w:ascii="Arial" w:cs="Arial" w:eastAsia="Arial" w:hAnsi="Arial"/>
                <w:sz w:val="12"/>
                <w:szCs w:val="12"/>
                <w:color w:val="0000EE"/>
              </w:rPr>
            </w:pPr>
            <w:hyperlink w:anchor="page113">
              <w:r>
                <w:rPr>
                  <w:rFonts w:ascii="Arial" w:cs="Arial" w:eastAsia="Arial" w:hAnsi="Arial"/>
                  <w:sz w:val="12"/>
                  <w:szCs w:val="12"/>
                  <w:color w:val="0000EE"/>
                </w:rPr>
                <w:t>Report of Independent Registered Public Accounting Firm</w:t>
              </w:r>
            </w:hyperlink>
          </w:p>
        </w:tc>
        <w:tc>
          <w:tcPr>
            <w:tcW w:w="420" w:type="dxa"/>
            <w:vAlign w:val="bottom"/>
            <w:shd w:val="clear" w:color="auto" w:fill="CCEEFF"/>
          </w:tcPr>
          <w:p>
            <w:pPr>
              <w:spacing w:after="0"/>
              <w:rPr>
                <w:sz w:val="10"/>
                <w:szCs w:val="10"/>
                <w:color w:val="auto"/>
              </w:rPr>
            </w:pPr>
          </w:p>
        </w:tc>
        <w:tc>
          <w:tcPr>
            <w:tcW w:w="660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80" w:type="dxa"/>
            <w:vAlign w:val="bottom"/>
            <w:tcBorders>
              <w:top w:val="single" w:sz="8" w:color="0000EE"/>
            </w:tcBorders>
            <w:gridSpan w:val="6"/>
          </w:tcPr>
          <w:p>
            <w:pPr>
              <w:spacing w:after="0" w:line="117" w:lineRule="exact"/>
              <w:rPr>
                <w:rFonts w:ascii="Arial" w:cs="Arial" w:eastAsia="Arial" w:hAnsi="Arial"/>
                <w:sz w:val="12"/>
                <w:szCs w:val="12"/>
                <w:color w:val="0000EE"/>
              </w:rPr>
            </w:pPr>
            <w:hyperlink w:anchor="page114">
              <w:r>
                <w:rPr>
                  <w:rFonts w:ascii="Arial" w:cs="Arial" w:eastAsia="Arial" w:hAnsi="Arial"/>
                  <w:sz w:val="12"/>
                  <w:szCs w:val="12"/>
                  <w:color w:val="0000EE"/>
                </w:rPr>
                <w:t>Consolidated Balance Sheets</w:t>
              </w:r>
            </w:hyperlink>
          </w:p>
        </w:tc>
        <w:tc>
          <w:tcPr>
            <w:tcW w:w="1460" w:type="dxa"/>
            <w:vAlign w:val="bottom"/>
            <w:tcBorders>
              <w:top w:val="single" w:sz="8" w:color="CCEEFF"/>
            </w:tcBorders>
            <w:gridSpan w:val="3"/>
          </w:tcPr>
          <w:p>
            <w:pPr>
              <w:spacing w:after="0"/>
              <w:rPr>
                <w:sz w:val="10"/>
                <w:szCs w:val="10"/>
                <w:color w:val="auto"/>
              </w:rPr>
            </w:pPr>
          </w:p>
        </w:tc>
        <w:tc>
          <w:tcPr>
            <w:tcW w:w="660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8"/>
              </w:rPr>
              <w:t>F-3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100" w:type="dxa"/>
            <w:vAlign w:val="bottom"/>
            <w:tcBorders>
              <w:bottom w:val="single" w:sz="8" w:color="0000EE"/>
            </w:tcBorders>
            <w:gridSpan w:val="7"/>
            <w:shd w:val="clear" w:color="auto" w:fill="CCEEFF"/>
          </w:tcPr>
          <w:p>
            <w:pPr>
              <w:spacing w:after="0" w:line="117" w:lineRule="exact"/>
              <w:rPr>
                <w:rFonts w:ascii="Arial" w:cs="Arial" w:eastAsia="Arial" w:hAnsi="Arial"/>
                <w:sz w:val="12"/>
                <w:szCs w:val="12"/>
                <w:color w:val="0000EE"/>
                <w:w w:val="88"/>
              </w:rPr>
            </w:pPr>
            <w:hyperlink w:anchor="page115">
              <w:r>
                <w:rPr>
                  <w:rFonts w:ascii="Arial" w:cs="Arial" w:eastAsia="Arial" w:hAnsi="Arial"/>
                  <w:sz w:val="12"/>
                  <w:szCs w:val="12"/>
                  <w:color w:val="0000EE"/>
                  <w:w w:val="88"/>
                </w:rPr>
                <w:t>Consolidated Statements of Operations and Comprehensive Loss</w:t>
              </w:r>
            </w:hyperlink>
          </w:p>
        </w:tc>
        <w:tc>
          <w:tcPr>
            <w:tcW w:w="1140" w:type="dxa"/>
            <w:vAlign w:val="bottom"/>
            <w:tcBorders>
              <w:bottom w:val="single" w:sz="8" w:color="CCEEFF"/>
            </w:tcBorders>
            <w:gridSpan w:val="2"/>
            <w:shd w:val="clear" w:color="auto" w:fill="CCEEFF"/>
          </w:tcPr>
          <w:p>
            <w:pPr>
              <w:spacing w:after="0"/>
              <w:rPr>
                <w:sz w:val="10"/>
                <w:szCs w:val="10"/>
                <w:color w:val="auto"/>
              </w:rPr>
            </w:pPr>
          </w:p>
        </w:tc>
        <w:tc>
          <w:tcPr>
            <w:tcW w:w="66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40" w:type="dxa"/>
            <w:vAlign w:val="bottom"/>
            <w:gridSpan w:val="9"/>
          </w:tcPr>
          <w:p>
            <w:pPr>
              <w:spacing w:after="0" w:line="117" w:lineRule="exact"/>
              <w:rPr>
                <w:rFonts w:ascii="Arial" w:cs="Arial" w:eastAsia="Arial" w:hAnsi="Arial"/>
                <w:sz w:val="12"/>
                <w:szCs w:val="12"/>
                <w:color w:val="0000EE"/>
              </w:rPr>
            </w:pPr>
            <w:hyperlink w:anchor="page116">
              <w:r>
                <w:rPr>
                  <w:rFonts w:ascii="Arial" w:cs="Arial" w:eastAsia="Arial" w:hAnsi="Arial"/>
                  <w:sz w:val="12"/>
                  <w:szCs w:val="12"/>
                  <w:color w:val="0000EE"/>
                </w:rPr>
                <w:t>Consolidated Statements of Cash Flows</w:t>
              </w:r>
            </w:hyperlink>
          </w:p>
        </w:tc>
        <w:tc>
          <w:tcPr>
            <w:tcW w:w="66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Arial" w:cs="Arial" w:eastAsia="Arial" w:hAnsi="Arial"/>
                <w:sz w:val="12"/>
                <w:szCs w:val="12"/>
                <w:color w:val="auto"/>
                <w:w w:val="88"/>
              </w:rPr>
              <w:t>F-5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80" w:type="dxa"/>
            <w:vAlign w:val="bottom"/>
            <w:tcBorders>
              <w:bottom w:val="single" w:sz="8" w:color="0000EE"/>
            </w:tcBorders>
            <w:gridSpan w:val="4"/>
            <w:shd w:val="clear" w:color="auto" w:fill="CCEEFF"/>
          </w:tcPr>
          <w:p>
            <w:pPr>
              <w:spacing w:after="0" w:line="117" w:lineRule="exact"/>
              <w:rPr>
                <w:rFonts w:ascii="Arial" w:cs="Arial" w:eastAsia="Arial" w:hAnsi="Arial"/>
                <w:sz w:val="12"/>
                <w:szCs w:val="12"/>
                <w:color w:val="0000EE"/>
                <w:w w:val="87"/>
              </w:rPr>
            </w:pPr>
            <w:hyperlink w:anchor="page118">
              <w:r>
                <w:rPr>
                  <w:rFonts w:ascii="Arial" w:cs="Arial" w:eastAsia="Arial" w:hAnsi="Arial"/>
                  <w:sz w:val="12"/>
                  <w:szCs w:val="12"/>
                  <w:color w:val="0000EE"/>
                  <w:w w:val="87"/>
                </w:rPr>
                <w:t>Consolidated Statements of Preferred Stock</w:t>
              </w:r>
            </w:hyperlink>
          </w:p>
        </w:tc>
        <w:tc>
          <w:tcPr>
            <w:tcW w:w="2160" w:type="dxa"/>
            <w:vAlign w:val="bottom"/>
            <w:tcBorders>
              <w:bottom w:val="single" w:sz="8" w:color="CCEEFF"/>
            </w:tcBorders>
            <w:gridSpan w:val="5"/>
            <w:shd w:val="clear" w:color="auto" w:fill="CCEEFF"/>
          </w:tcPr>
          <w:p>
            <w:pPr>
              <w:spacing w:after="0"/>
              <w:rPr>
                <w:sz w:val="10"/>
                <w:szCs w:val="10"/>
                <w:color w:val="auto"/>
              </w:rPr>
            </w:pPr>
          </w:p>
        </w:tc>
        <w:tc>
          <w:tcPr>
            <w:tcW w:w="66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Borders>
              <w:bottom w:val="single" w:sz="8" w:color="0000EE"/>
            </w:tcBorders>
            <w:gridSpan w:val="5"/>
          </w:tcPr>
          <w:p>
            <w:pPr>
              <w:spacing w:after="0" w:line="117" w:lineRule="exact"/>
              <w:rPr>
                <w:rFonts w:ascii="Arial" w:cs="Arial" w:eastAsia="Arial" w:hAnsi="Arial"/>
                <w:sz w:val="12"/>
                <w:szCs w:val="12"/>
                <w:color w:val="0000EE"/>
                <w:w w:val="89"/>
              </w:rPr>
            </w:pPr>
            <w:hyperlink w:anchor="page119">
              <w:r>
                <w:rPr>
                  <w:rFonts w:ascii="Arial" w:cs="Arial" w:eastAsia="Arial" w:hAnsi="Arial"/>
                  <w:sz w:val="12"/>
                  <w:szCs w:val="12"/>
                  <w:color w:val="0000EE"/>
                  <w:w w:val="89"/>
                </w:rPr>
                <w:t>Consolidated Statements of Stockholders' Deficit</w:t>
              </w:r>
            </w:hyperlink>
          </w:p>
        </w:tc>
        <w:tc>
          <w:tcPr>
            <w:tcW w:w="1900" w:type="dxa"/>
            <w:vAlign w:val="bottom"/>
            <w:gridSpan w:val="4"/>
          </w:tcPr>
          <w:p>
            <w:pPr>
              <w:spacing w:after="0"/>
              <w:rPr>
                <w:sz w:val="10"/>
                <w:szCs w:val="10"/>
                <w:color w:val="auto"/>
              </w:rPr>
            </w:pPr>
          </w:p>
        </w:tc>
        <w:tc>
          <w:tcPr>
            <w:tcW w:w="66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Arial" w:cs="Arial" w:eastAsia="Arial" w:hAnsi="Arial"/>
                <w:sz w:val="12"/>
                <w:szCs w:val="12"/>
                <w:color w:val="auto"/>
                <w:w w:val="88"/>
              </w:rPr>
              <w:t>F-8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40" w:type="dxa"/>
            <w:vAlign w:val="bottom"/>
            <w:gridSpan w:val="9"/>
            <w:shd w:val="clear" w:color="auto" w:fill="CCEEFF"/>
          </w:tcPr>
          <w:p>
            <w:pPr>
              <w:spacing w:after="0" w:line="117" w:lineRule="exact"/>
              <w:rPr>
                <w:rFonts w:ascii="Arial" w:cs="Arial" w:eastAsia="Arial" w:hAnsi="Arial"/>
                <w:sz w:val="12"/>
                <w:szCs w:val="12"/>
                <w:color w:val="0000EE"/>
              </w:rPr>
            </w:pPr>
            <w:hyperlink w:anchor="page123">
              <w:r>
                <w:rPr>
                  <w:rFonts w:ascii="Arial" w:cs="Arial" w:eastAsia="Arial" w:hAnsi="Arial"/>
                  <w:sz w:val="12"/>
                  <w:szCs w:val="12"/>
                  <w:color w:val="0000EE"/>
                </w:rPr>
                <w:t>Notes to Consolidated Financial Statements</w:t>
              </w:r>
            </w:hyperlink>
          </w:p>
        </w:tc>
        <w:tc>
          <w:tcPr>
            <w:tcW w:w="660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F-10</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7220" w:type="dxa"/>
            <w:vAlign w:val="bottom"/>
            <w:tcBorders>
              <w:top w:val="single" w:sz="8" w:color="CCEEFF"/>
            </w:tcBorders>
            <w:gridSpan w:val="2"/>
          </w:tcPr>
          <w:p>
            <w:pPr>
              <w:jc w:val="center"/>
              <w:ind w:right="4200"/>
              <w:spacing w:after="0"/>
              <w:rPr>
                <w:sz w:val="20"/>
                <w:szCs w:val="20"/>
                <w:color w:val="auto"/>
              </w:rPr>
            </w:pPr>
            <w:r>
              <w:rPr>
                <w:rFonts w:ascii="Arial" w:cs="Arial" w:eastAsia="Arial" w:hAnsi="Arial"/>
                <w:sz w:val="12"/>
                <w:szCs w:val="12"/>
                <w:color w:val="auto"/>
                <w:w w:val="88"/>
              </w:rPr>
              <w:t>F-1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66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2" w:name="page113"/>
    <w:bookmarkEnd w:id="11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 development stage company)</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audited the accompanying consolidated balance sheets of VistaGen Therapeutics, Inc. (a development stage company) as of March 31, 2014 and 2013 and the related consolidated statements of operations and comprehensive loss, cash flows, preferred stock, and stockholders’ deficit for the years then ended, and for the period from May 26, 1998 (inception) through March 31, 2014. These financial statements are the responsibility of the Company's management. Our responsibility is to express an opinion on these consolidated financial statements based on our audits.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our opinion, the consolidated financial statements referred to above present fairly, in all material respects, the consolidated financial position of VistaGen Therapeutics, Inc. (a development stage company) at March 31, 2014 and 2013, and the consolidated results of its operations and its cash flows for the years then ended, and for the period from May 26, 1998 (inception) through March 31, 2014, in conformity with U.S. generally accepted accounting principles.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2 to the consolidated financial statements, the Company is a development stage company, has not yet generated sustainable revenues, has suffered recurring losses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23, 2014</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26"/>
        </w:trPr>
        <w:tc>
          <w:tcPr>
            <w:tcW w:w="8840" w:type="dxa"/>
            <w:vAlign w:val="bottom"/>
            <w:gridSpan w:val="2"/>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760" w:type="dxa"/>
            <w:vAlign w:val="bottom"/>
            <w:tcBorders>
              <w:top w:val="single" w:sz="8" w:color="0000EE"/>
            </w:tcBorders>
          </w:tcPr>
          <w:p>
            <w:pPr>
              <w:spacing w:after="0"/>
              <w:rPr>
                <w:sz w:val="24"/>
                <w:szCs w:val="24"/>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VISTAGEN THERAPEUTICS, INC.</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w w:val="88"/>
              </w:rPr>
              <w:t>(a development stage company)</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820"/>
              <w:spacing w:after="0"/>
              <w:rPr>
                <w:sz w:val="20"/>
                <w:szCs w:val="20"/>
                <w:color w:val="auto"/>
              </w:rPr>
            </w:pPr>
            <w:r>
              <w:rPr>
                <w:rFonts w:ascii="Arial" w:cs="Arial" w:eastAsia="Arial" w:hAnsi="Arial"/>
                <w:sz w:val="12"/>
                <w:szCs w:val="12"/>
                <w:b w:val="1"/>
                <w:bCs w:val="1"/>
                <w:color w:val="auto"/>
                <w:w w:val="99"/>
              </w:rPr>
              <w:t>CONSOLIDATED BALANCE SHEETS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00" w:type="dxa"/>
            <w:vAlign w:val="bottom"/>
          </w:tcPr>
          <w:p>
            <w:pPr>
              <w:spacing w:after="0"/>
              <w:rPr>
                <w:sz w:val="13"/>
                <w:szCs w:val="13"/>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8080" w:type="dxa"/>
            <w:vAlign w:val="bottom"/>
          </w:tcPr>
          <w:p>
            <w:pPr>
              <w:jc w:val="center"/>
              <w:ind w:left="1700"/>
              <w:spacing w:after="0" w:line="133" w:lineRule="exact"/>
              <w:rPr>
                <w:sz w:val="20"/>
                <w:szCs w:val="20"/>
                <w:color w:val="auto"/>
              </w:rPr>
            </w:pPr>
            <w:r>
              <w:rPr>
                <w:rFonts w:ascii="Arial" w:cs="Arial" w:eastAsia="Arial" w:hAnsi="Arial"/>
                <w:sz w:val="12"/>
                <w:szCs w:val="12"/>
                <w:b w:val="1"/>
                <w:bCs w:val="1"/>
                <w:color w:val="auto"/>
                <w:w w:val="91"/>
              </w:rPr>
              <w:t>ASSETS</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638,100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33,700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671,800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Property and equipment, net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176,300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180,700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29,000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assets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60" w:type="dxa"/>
            <w:vAlign w:val="bottom"/>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700"/>
              <w:spacing w:after="0"/>
              <w:rPr>
                <w:sz w:val="20"/>
                <w:szCs w:val="20"/>
                <w:color w:val="auto"/>
              </w:rPr>
            </w:pPr>
            <w:r>
              <w:rPr>
                <w:rFonts w:ascii="Arial" w:cs="Arial" w:eastAsia="Arial" w:hAnsi="Arial"/>
                <w:sz w:val="12"/>
                <w:szCs w:val="12"/>
                <w:b w:val="1"/>
                <w:bCs w:val="1"/>
                <w:color w:val="auto"/>
              </w:rPr>
              <w:t>LIABILITIES AND 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Accounts payable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2,443,900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1,353,600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625,600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Advance from officer</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 portion of notes payable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1,442,300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Current portion of notes payable to related parties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290,400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Convertible promissory notes and accrued interest, net of discount of $697,400 at March 31, 2014</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7,600</w:t>
            </w:r>
          </w:p>
        </w:tc>
        <w:tc>
          <w:tcPr>
            <w:tcW w:w="0" w:type="dxa"/>
            <w:vAlign w:val="bottom"/>
          </w:tcPr>
          <w:p>
            <w:pPr>
              <w:spacing w:after="0"/>
              <w:rPr>
                <w:sz w:val="1"/>
                <w:szCs w:val="1"/>
                <w:color w:val="auto"/>
              </w:rPr>
            </w:pPr>
          </w:p>
        </w:tc>
      </w:tr>
      <w:tr>
        <w:trPr>
          <w:trHeight w:val="142"/>
        </w:trPr>
        <w:tc>
          <w:tcPr>
            <w:tcW w:w="8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5,205,700</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2,414,300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Non-current liabilities: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Senior secured convertible promissory notes, net of discount of $2,085,900 at March 31, 2014 and $1,963,100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1,929,800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Notes payable, net of discount of $848,100 at March 31, 2014 and $1,142,600 at March 31, 2013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1,797,600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Notes payable to related parties, net of discount of $103,200 at March 31, 2014 and $147,200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Warrant liability</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2,973,900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Deferred rent liability</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97,400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6,100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Total non-current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7,857,900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11,023,600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340"/>
              <w:spacing w:after="0"/>
              <w:rPr>
                <w:sz w:val="20"/>
                <w:szCs w:val="20"/>
                <w:color w:val="auto"/>
              </w:rPr>
            </w:pPr>
            <w:r>
              <w:rPr>
                <w:rFonts w:ascii="Arial" w:cs="Arial" w:eastAsia="Arial" w:hAnsi="Arial"/>
                <w:sz w:val="12"/>
                <w:szCs w:val="12"/>
                <w:color w:val="auto"/>
              </w:rPr>
              <w:t>Total liabilities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13,063,600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13,437,900</w:t>
            </w:r>
          </w:p>
        </w:tc>
        <w:tc>
          <w:tcPr>
            <w:tcW w:w="0" w:type="dxa"/>
            <w:vAlign w:val="bottom"/>
          </w:tcPr>
          <w:p>
            <w:pPr>
              <w:spacing w:after="0"/>
              <w:rPr>
                <w:sz w:val="1"/>
                <w:szCs w:val="1"/>
                <w:color w:val="auto"/>
              </w:rPr>
            </w:pPr>
          </w:p>
        </w:tc>
      </w:tr>
      <w:tr>
        <w:trPr>
          <w:trHeight w:val="142"/>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Commitments and contingencies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40" w:type="dxa"/>
            <w:vAlign w:val="bottom"/>
            <w:gridSpan w:val="2"/>
            <w:shd w:val="clear" w:color="auto" w:fill="CCEEFF"/>
          </w:tcPr>
          <w:p>
            <w:pPr>
              <w:ind w:left="180"/>
              <w:spacing w:after="0" w:line="136" w:lineRule="exact"/>
              <w:rPr>
                <w:sz w:val="20"/>
                <w:szCs w:val="20"/>
                <w:color w:val="auto"/>
              </w:rPr>
            </w:pPr>
            <w:r>
              <w:rPr>
                <w:rFonts w:ascii="Arial" w:cs="Arial" w:eastAsia="Arial" w:hAnsi="Arial"/>
                <w:sz w:val="12"/>
                <w:szCs w:val="12"/>
                <w:color w:val="auto"/>
                <w:w w:val="90"/>
              </w:rPr>
              <w:t>Preferred stock, $0.001 par value; 10,000,000 shares, including 500,000 Series A shares, authorized at March 31, 2014 and 2013; 500,000 Series A shares issued and outstanding</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at March 31, 2014 and 2013</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35"/>
        </w:trPr>
        <w:tc>
          <w:tcPr>
            <w:tcW w:w="8840" w:type="dxa"/>
            <w:vAlign w:val="bottom"/>
            <w:gridSpan w:val="2"/>
          </w:tcPr>
          <w:p>
            <w:pPr>
              <w:ind w:left="240"/>
              <w:spacing w:after="0" w:line="136" w:lineRule="exact"/>
              <w:rPr>
                <w:sz w:val="20"/>
                <w:szCs w:val="20"/>
                <w:color w:val="auto"/>
              </w:rPr>
            </w:pPr>
            <w:r>
              <w:rPr>
                <w:rFonts w:ascii="Arial" w:cs="Arial" w:eastAsia="Arial" w:hAnsi="Arial"/>
                <w:sz w:val="12"/>
                <w:szCs w:val="12"/>
                <w:color w:val="auto"/>
                <w:w w:val="90"/>
              </w:rPr>
              <w:t>Common stock, $0.001 par value; 200,000,000 shares authorized at March 31, 2014 and 2013; 26,200,185 and 23,480,169 shares issued at March 31, 2014 and March 31, 2013,</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ind w:left="320"/>
              <w:spacing w:after="0"/>
              <w:rPr>
                <w:sz w:val="20"/>
                <w:szCs w:val="20"/>
                <w:color w:val="auto"/>
              </w:rPr>
            </w:pPr>
            <w:r>
              <w:rPr>
                <w:rFonts w:ascii="Arial" w:cs="Arial" w:eastAsia="Arial" w:hAnsi="Arial"/>
                <w:sz w:val="12"/>
                <w:szCs w:val="12"/>
                <w:color w:val="auto"/>
              </w:rPr>
              <w:t>respectively</w:t>
            </w:r>
          </w:p>
        </w:tc>
        <w:tc>
          <w:tcPr>
            <w:tcW w:w="20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26,200</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23,500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61,976,500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59,266,000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Treasury stock, at cost, 2,713,308 shares of common stock held at March 31, 2014 and 2013</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(3,968,100)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(3,968,100)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 receivable from sale of common stock</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(198,100)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(209,100)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Deficit accumulated during development stage</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(70,636,900)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(67,669,200)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stockholders’ deficit</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(12,799,900)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(12,556,400)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liabilities and stockholders’ deficit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4" w:name="page115"/>
    <w:bookmarkEnd w:id="11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May 26, 1998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(Inception)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Through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2"/>
                <w:szCs w:val="12"/>
                <w:b w:val="1"/>
                <w:bCs w:val="1"/>
                <w:color w:val="auto"/>
              </w:rPr>
              <w:t>March 31,</w:t>
            </w: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37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12,963,100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Collaboration revenue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2,283,600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ind w:left="360"/>
              <w:spacing w:after="0"/>
              <w:rPr>
                <w:sz w:val="20"/>
                <w:szCs w:val="20"/>
                <w:color w:val="auto"/>
              </w:rPr>
            </w:pPr>
            <w:r>
              <w:rPr>
                <w:rFonts w:ascii="Arial" w:cs="Arial" w:eastAsia="Arial" w:hAnsi="Arial"/>
                <w:sz w:val="12"/>
                <w:szCs w:val="12"/>
                <w:color w:val="auto"/>
              </w:rPr>
              <w:t>Total 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16,370,200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2,480,600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3,430,800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32,036,300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Acquired in-process research and development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General and administrative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2,548,300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3,562,700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33,229,400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5,028,900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6,993,500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72,788,900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from operations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(5,028,900)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(6,793,100)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(56,418,700)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Interest expense, net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(1,503,000)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(920,700)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(11,865,200)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warrant and put and note extension option liabilities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3,566,900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(1,635,800)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2,349,600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40"/>
              <w:spacing w:after="0"/>
              <w:rPr>
                <w:sz w:val="20"/>
                <w:szCs w:val="20"/>
                <w:color w:val="auto"/>
              </w:rPr>
            </w:pPr>
            <w:r>
              <w:rPr>
                <w:rFonts w:ascii="Arial" w:cs="Arial" w:eastAsia="Arial" w:hAnsi="Arial"/>
                <w:sz w:val="12"/>
                <w:szCs w:val="12"/>
                <w:color w:val="auto"/>
              </w:rPr>
              <w:t>Loss on early extinguishment of debt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(3,567,800)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(4,761,300)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income</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34,400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(2,965,000)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(12,883,000)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(70,613,700)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(10,193,200)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(10,193,200)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(23,079,900)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(80,830,100)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(0.14)</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(0.19)</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Weighted average shares used in computing:</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21,973,149</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18,108,444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920" w:type="dxa"/>
            <w:vAlign w:val="bottom"/>
          </w:tcPr>
          <w:p>
            <w:pPr>
              <w:ind w:left="160"/>
              <w:spacing w:after="0" w:line="120" w:lineRule="exact"/>
              <w:rPr>
                <w:sz w:val="20"/>
                <w:szCs w:val="20"/>
                <w:color w:val="auto"/>
              </w:rPr>
            </w:pPr>
            <w:r>
              <w:rPr>
                <w:rFonts w:ascii="Arial" w:cs="Arial" w:eastAsia="Arial" w:hAnsi="Arial"/>
                <w:sz w:val="12"/>
                <w:szCs w:val="12"/>
                <w:color w:val="auto"/>
                <w:w w:val="98"/>
              </w:rPr>
              <w:t>Diluted net loss attributable to common stockholders per common share</w:t>
            </w:r>
          </w:p>
        </w:tc>
        <w:tc>
          <w:tcPr>
            <w:tcW w:w="3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21,973,149</w:t>
            </w:r>
          </w:p>
        </w:tc>
        <w:tc>
          <w:tcPr>
            <w:tcW w:w="40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18,108,444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Comprehensive loss</w:t>
            </w:r>
          </w:p>
        </w:tc>
        <w:tc>
          <w:tcPr>
            <w:tcW w:w="35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450"/>
              <w:spacing w:after="0"/>
              <w:rPr>
                <w:sz w:val="20"/>
                <w:szCs w:val="20"/>
                <w:color w:val="auto"/>
              </w:rPr>
            </w:pPr>
            <w:r>
              <w:rPr>
                <w:rFonts w:ascii="Arial" w:cs="Arial" w:eastAsia="Arial" w:hAnsi="Arial"/>
                <w:sz w:val="12"/>
                <w:szCs w:val="12"/>
                <w:color w:val="auto"/>
                <w:w w:val="98"/>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1850"/>
              <w:spacing w:after="0"/>
              <w:rPr>
                <w:sz w:val="20"/>
                <w:szCs w:val="20"/>
                <w:color w:val="auto"/>
              </w:rPr>
            </w:pPr>
            <w:r>
              <w:rPr>
                <w:rFonts w:ascii="Arial" w:cs="Arial" w:eastAsia="Arial" w:hAnsi="Arial"/>
                <w:sz w:val="12"/>
                <w:szCs w:val="12"/>
                <w:color w:val="auto"/>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20" w:type="dxa"/>
            <w:vAlign w:val="bottom"/>
            <w:tcBorders>
              <w:bottom w:val="single" w:sz="8" w:color="808080"/>
            </w:tcBorders>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5" w:name="page116"/>
    <w:bookmarkEnd w:id="11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Period From May 26,</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20" w:type="dxa"/>
            <w:vAlign w:val="bottom"/>
            <w:gridSpan w:val="5"/>
            <w:vMerge w:val="restart"/>
          </w:tcPr>
          <w:p>
            <w:pPr>
              <w:jc w:val="right"/>
              <w:ind w:right="740"/>
              <w:spacing w:after="0"/>
              <w:rPr>
                <w:sz w:val="20"/>
                <w:szCs w:val="20"/>
                <w:color w:val="auto"/>
              </w:rPr>
            </w:pPr>
            <w:r>
              <w:rPr>
                <w:rFonts w:ascii="Arial" w:cs="Arial" w:eastAsia="Arial" w:hAnsi="Arial"/>
                <w:sz w:val="12"/>
                <w:szCs w:val="12"/>
                <w:b w:val="1"/>
                <w:bCs w:val="1"/>
                <w:color w:val="auto"/>
              </w:rPr>
              <w:t>Fiscal Years Ended March 31,</w:t>
            </w:r>
          </w:p>
        </w:tc>
        <w:tc>
          <w:tcPr>
            <w:tcW w:w="6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1998 (Inception)</w:t>
            </w:r>
          </w:p>
        </w:tc>
        <w:tc>
          <w:tcPr>
            <w:tcW w:w="0" w:type="dxa"/>
            <w:vAlign w:val="bottom"/>
          </w:tcPr>
          <w:p>
            <w:pPr>
              <w:spacing w:after="0"/>
              <w:rPr>
                <w:sz w:val="1"/>
                <w:szCs w:val="1"/>
                <w:color w:val="auto"/>
              </w:rPr>
            </w:pPr>
          </w:p>
        </w:tc>
      </w:tr>
      <w:tr>
        <w:trPr>
          <w:trHeight w:val="121"/>
        </w:trPr>
        <w:tc>
          <w:tcPr>
            <w:tcW w:w="5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rPr>
              <w:t>Through March 31,</w:t>
            </w:r>
          </w:p>
        </w:tc>
        <w:tc>
          <w:tcPr>
            <w:tcW w:w="0" w:type="dxa"/>
            <w:vAlign w:val="bottom"/>
          </w:tcPr>
          <w:p>
            <w:pPr>
              <w:spacing w:after="0"/>
              <w:rPr>
                <w:sz w:val="1"/>
                <w:szCs w:val="1"/>
                <w:color w:val="auto"/>
              </w:rPr>
            </w:pPr>
          </w:p>
        </w:tc>
      </w:tr>
      <w:tr>
        <w:trPr>
          <w:trHeight w:val="142"/>
        </w:trPr>
        <w:tc>
          <w:tcPr>
            <w:tcW w:w="5620" w:type="dxa"/>
            <w:vAlign w:val="bottom"/>
            <w:vMerge w:val="restart"/>
          </w:tcPr>
          <w:p>
            <w:pPr>
              <w:ind w:left="20"/>
              <w:spacing w:after="0"/>
              <w:rPr>
                <w:sz w:val="20"/>
                <w:szCs w:val="20"/>
                <w:color w:val="auto"/>
              </w:rPr>
            </w:pPr>
            <w:r>
              <w:rPr>
                <w:rFonts w:ascii="Arial" w:cs="Arial" w:eastAsia="Arial" w:hAnsi="Arial"/>
                <w:sz w:val="12"/>
                <w:szCs w:val="12"/>
                <w:color w:val="auto"/>
              </w:rPr>
              <w:t>Cash flows from operating activities:</w:t>
            </w:r>
          </w:p>
        </w:tc>
        <w:tc>
          <w:tcPr>
            <w:tcW w:w="18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loss</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(12,886,700)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33,800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832,100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Amortization of discounts on convertible and promissory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640,000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254,800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5,315,500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 in warrant liability and put and note term extension option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(3,566,900)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(2,349,700)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Stock-based compensation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1,137,300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1,241,300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6,732,900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Expense related to modification of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204,300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1,454,200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Non-cash rent and relocation expense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56,800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Interest income on note receivable for stock purchase</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(27,600)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(28,800)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granted for services following the Merger</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852,700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Fair value of warrants granted for services and interest following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60,700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748,300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currency fluctuation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(53,000)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(101,600)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Fair value of additional warrants granted pursuant to exercises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174,000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settlements of accounts payable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78,300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78,300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Acquired in-process research and development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early extinguishment of debt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3,567,800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4,761,300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w w:val="90"/>
              </w:rPr>
              <w:t>Fair value of Series C preferred stock, common stock, and warrants granted for services prior to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3,150,900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issued for note term modification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22,400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Consulting services by related parties settled by issuing promissory notes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44,600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sale of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Changes in operating assets and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Unbilled contract payments receivable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106,200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Prepaid expenses and other current assets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92,700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46,200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Security deposits and other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(17,900)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(46,900)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Accounts payable and accrued expenses, including accrued interest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2,229,900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18,201,400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Deferred revenues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(13,200)</w:t>
            </w: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operating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(2,126,000)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(3,463,200)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(23,097,700)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Purchases of equipment, net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common stock and warrants, including Units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1,075,500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1,185,100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5,060,600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exercise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264,200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262,100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1,692,600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Platinum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3,222,100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7,172,100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Advance from officer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64,000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Proceeds from issuance of notes under line of credit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issuance of 7% note payable to founding stockholder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7% convertible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575,000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10% convertible notes and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preferred stock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4,198,600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notes and warrants from 2006 to 2010</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4,851,800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February 2012 12% convertible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466,500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Repayment of capital lease obligations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Repayment of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(496,700)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(1,977,700)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provided by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1,497,500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4,155,700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23,923,500</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Net (decrease) increase in cash and cash equivalents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(638,100)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557,100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638,100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81,000</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18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638,100</w:t>
            </w: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6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0"/>
              <w:spacing w:after="0"/>
              <w:rPr>
                <w:sz w:val="20"/>
                <w:szCs w:val="20"/>
                <w:color w:val="auto"/>
              </w:rPr>
            </w:pPr>
            <w:r>
              <w:rPr>
                <w:rFonts w:ascii="Arial" w:cs="Arial" w:eastAsia="Arial" w:hAnsi="Arial"/>
                <w:sz w:val="12"/>
                <w:szCs w:val="12"/>
                <w:color w:val="auto"/>
              </w:rPr>
              <w:t>Supplemental disclosure of cash flow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Cash paid for interest</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21,000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225,900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686,600</w:t>
            </w:r>
          </w:p>
        </w:tc>
        <w:tc>
          <w:tcPr>
            <w:tcW w:w="0" w:type="dxa"/>
            <w:vAlign w:val="bottom"/>
          </w:tcPr>
          <w:p>
            <w:pPr>
              <w:spacing w:after="0"/>
              <w:rPr>
                <w:sz w:val="1"/>
                <w:szCs w:val="1"/>
                <w:color w:val="auto"/>
              </w:rPr>
            </w:pPr>
          </w:p>
        </w:tc>
      </w:tr>
      <w:tr>
        <w:trPr>
          <w:trHeight w:val="153"/>
        </w:trPr>
        <w:tc>
          <w:tcPr>
            <w:tcW w:w="5620" w:type="dxa"/>
            <w:vAlign w:val="bottom"/>
          </w:tcPr>
          <w:p>
            <w:pPr>
              <w:ind w:left="260"/>
              <w:spacing w:after="0"/>
              <w:rPr>
                <w:sz w:val="20"/>
                <w:szCs w:val="20"/>
                <w:color w:val="auto"/>
              </w:rPr>
            </w:pPr>
            <w:r>
              <w:rPr>
                <w:rFonts w:ascii="Arial" w:cs="Arial" w:eastAsia="Arial" w:hAnsi="Arial"/>
                <w:sz w:val="12"/>
                <w:szCs w:val="12"/>
                <w:color w:val="auto"/>
              </w:rPr>
              <w:t>Cash paid for income taxes</w:t>
            </w:r>
          </w:p>
        </w:tc>
        <w:tc>
          <w:tcPr>
            <w:tcW w:w="21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2,700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3,700</w:t>
            </w:r>
          </w:p>
        </w:tc>
        <w:tc>
          <w:tcPr>
            <w:tcW w:w="2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396"/>
        </w:trPr>
        <w:tc>
          <w:tcPr>
            <w:tcW w:w="5620" w:type="dxa"/>
            <w:vAlign w:val="bottom"/>
          </w:tcPr>
          <w:p>
            <w:pPr>
              <w:spacing w:after="0"/>
              <w:rPr>
                <w:sz w:val="24"/>
                <w:szCs w:val="24"/>
                <w:color w:val="auto"/>
              </w:rPr>
            </w:pPr>
          </w:p>
        </w:tc>
        <w:tc>
          <w:tcPr>
            <w:tcW w:w="2100" w:type="dxa"/>
            <w:vAlign w:val="bottom"/>
            <w:gridSpan w:val="2"/>
          </w:tcPr>
          <w:p>
            <w:pPr>
              <w:jc w:val="right"/>
              <w:ind w:right="1850"/>
              <w:spacing w:after="0"/>
              <w:rPr>
                <w:sz w:val="20"/>
                <w:szCs w:val="20"/>
                <w:color w:val="auto"/>
              </w:rPr>
            </w:pPr>
            <w:r>
              <w:rPr>
                <w:rFonts w:ascii="Arial" w:cs="Arial" w:eastAsia="Arial" w:hAnsi="Arial"/>
                <w:sz w:val="12"/>
                <w:szCs w:val="12"/>
                <w:color w:val="auto"/>
                <w:w w:val="99"/>
              </w:rPr>
              <w:t>F-5</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620" w:type="dxa"/>
            <w:vAlign w:val="bottom"/>
            <w:tcBorders>
              <w:bottom w:val="single" w:sz="8" w:color="808080"/>
            </w:tcBorders>
          </w:tcPr>
          <w:p>
            <w:pPr>
              <w:spacing w:after="0"/>
              <w:rPr>
                <w:sz w:val="6"/>
                <w:szCs w:val="6"/>
                <w:color w:val="auto"/>
              </w:rPr>
            </w:pPr>
          </w:p>
        </w:tc>
        <w:tc>
          <w:tcPr>
            <w:tcW w:w="18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26"/>
        </w:trPr>
        <w:tc>
          <w:tcPr>
            <w:tcW w:w="2960" w:type="dxa"/>
            <w:vAlign w:val="bottom"/>
            <w:gridSpan w:val="2"/>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3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00"/>
        </w:trPr>
        <w:tc>
          <w:tcPr>
            <w:tcW w:w="7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rPr>
              <w:t>VISTAGEN THERAPEUTICS,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 development stage company)</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60"/>
              <w:spacing w:after="0"/>
              <w:rPr>
                <w:sz w:val="20"/>
                <w:szCs w:val="20"/>
                <w:color w:val="auto"/>
              </w:rPr>
            </w:pPr>
            <w:r>
              <w:rPr>
                <w:rFonts w:ascii="Arial" w:cs="Arial" w:eastAsia="Arial" w:hAnsi="Arial"/>
                <w:sz w:val="12"/>
                <w:szCs w:val="12"/>
                <w:b w:val="1"/>
                <w:bCs w:val="1"/>
                <w:color w:val="auto"/>
                <w:w w:val="97"/>
              </w:rPr>
              <w:t>CONSOLIDATED STATEMENTS OF CASH FLOWS (continued)</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Period From</w:t>
            </w: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May 26, 1998</w:t>
            </w: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(Inception)</w:t>
            </w:r>
          </w:p>
        </w:tc>
      </w:tr>
      <w:tr>
        <w:trPr>
          <w:trHeight w:val="157"/>
        </w:trPr>
        <w:tc>
          <w:tcPr>
            <w:tcW w:w="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Twelve Months Ended March 31,</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Through</w:t>
            </w:r>
          </w:p>
        </w:tc>
      </w:tr>
      <w:tr>
        <w:trPr>
          <w:trHeight w:val="142"/>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 2014</w:t>
            </w:r>
          </w:p>
        </w:tc>
      </w:tr>
      <w:tr>
        <w:trPr>
          <w:trHeight w:val="286"/>
        </w:trPr>
        <w:tc>
          <w:tcPr>
            <w:tcW w:w="2960" w:type="dxa"/>
            <w:vAlign w:val="bottom"/>
            <w:gridSpan w:val="2"/>
          </w:tcPr>
          <w:p>
            <w:pPr>
              <w:ind w:left="20"/>
              <w:spacing w:after="0"/>
              <w:rPr>
                <w:sz w:val="20"/>
                <w:szCs w:val="20"/>
                <w:color w:val="auto"/>
              </w:rPr>
            </w:pPr>
            <w:r>
              <w:rPr>
                <w:rFonts w:ascii="Arial" w:cs="Arial" w:eastAsia="Arial" w:hAnsi="Arial"/>
                <w:sz w:val="12"/>
                <w:szCs w:val="12"/>
                <w:color w:val="auto"/>
              </w:rPr>
              <w:t>Supplemental disclosure of noncash activities:</w:t>
            </w: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Forgiveness of accrued compensation and accrued interest payable to officers transferred to equity</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Exercise of warrants and options in exchange for debt cancellation</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112,800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Settlement of accrued and prepaid interest by issuance of Series C Preferred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35,300</w:t>
            </w: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0"/>
              </w:rPr>
              <w:t>Conversion of 10% notes payable, net of discount, and</w:t>
            </w:r>
          </w:p>
        </w:tc>
        <w:tc>
          <w:tcPr>
            <w:tcW w:w="4500" w:type="dxa"/>
            <w:vAlign w:val="bottom"/>
            <w:gridSpan w:val="2"/>
          </w:tcPr>
          <w:p>
            <w:pPr>
              <w:ind w:left="80"/>
              <w:spacing w:after="0"/>
              <w:rPr>
                <w:sz w:val="20"/>
                <w:szCs w:val="20"/>
                <w:color w:val="auto"/>
              </w:rPr>
            </w:pPr>
            <w:r>
              <w:rPr>
                <w:rFonts w:ascii="Arial" w:cs="Arial" w:eastAsia="Arial" w:hAnsi="Arial"/>
                <w:sz w:val="12"/>
                <w:szCs w:val="12"/>
                <w:color w:val="auto"/>
              </w:rPr>
              <w:t>related accrued interest of $408,600 into Series C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2,050,300</w:t>
            </w:r>
          </w:p>
        </w:tc>
        <w:tc>
          <w:tcPr>
            <w:tcW w:w="120" w:type="dxa"/>
            <w:vAlign w:val="bottom"/>
          </w:tcPr>
          <w:p>
            <w:pPr>
              <w:spacing w:after="0"/>
              <w:rPr>
                <w:sz w:val="12"/>
                <w:szCs w:val="12"/>
                <w:color w:val="auto"/>
              </w:rPr>
            </w:pPr>
          </w:p>
        </w:tc>
      </w:tr>
      <w:tr>
        <w:trPr>
          <w:trHeight w:val="144"/>
        </w:trPr>
        <w:tc>
          <w:tcPr>
            <w:tcW w:w="3300" w:type="dxa"/>
            <w:vAlign w:val="bottom"/>
            <w:gridSpan w:val="3"/>
            <w:shd w:val="clear" w:color="auto" w:fill="CCEEFF"/>
          </w:tcPr>
          <w:p>
            <w:pPr>
              <w:ind w:left="320"/>
              <w:spacing w:after="0"/>
              <w:rPr>
                <w:sz w:val="20"/>
                <w:szCs w:val="20"/>
                <w:color w:val="auto"/>
              </w:rPr>
            </w:pPr>
            <w:r>
              <w:rPr>
                <w:rFonts w:ascii="Arial" w:cs="Arial" w:eastAsia="Arial" w:hAnsi="Arial"/>
                <w:sz w:val="12"/>
                <w:szCs w:val="12"/>
                <w:color w:val="auto"/>
                <w:w w:val="89"/>
              </w:rPr>
              <w:t>Issuance of Series B-1 Preferred stock for acquired in-process</w:t>
            </w: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2"/>
              </w:rPr>
              <w:t>Conversion of 7% notes payable, net of discount, and</w:t>
            </w:r>
          </w:p>
        </w:tc>
        <w:tc>
          <w:tcPr>
            <w:tcW w:w="4500" w:type="dxa"/>
            <w:vAlign w:val="bottom"/>
            <w:gridSpan w:val="2"/>
          </w:tcPr>
          <w:p>
            <w:pPr>
              <w:ind w:left="20"/>
              <w:spacing w:after="0"/>
              <w:rPr>
                <w:sz w:val="20"/>
                <w:szCs w:val="20"/>
                <w:color w:val="auto"/>
              </w:rPr>
            </w:pPr>
            <w:r>
              <w:rPr>
                <w:rFonts w:ascii="Arial" w:cs="Arial" w:eastAsia="Arial" w:hAnsi="Arial"/>
                <w:sz w:val="12"/>
                <w:szCs w:val="12"/>
                <w:color w:val="auto"/>
              </w:rPr>
              <w:t>related accrued interest of $3,800 into Series B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508,000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accounts payable into convertible promissory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893,700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4"/>
              </w:rPr>
              <w:t>Conversion of accounts payable into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1,558,500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4,368,800</w:t>
            </w:r>
          </w:p>
        </w:tc>
        <w:tc>
          <w:tcPr>
            <w:tcW w:w="120" w:type="dxa"/>
            <w:vAlign w:val="bottom"/>
          </w:tcPr>
          <w:p>
            <w:pPr>
              <w:spacing w:after="0"/>
              <w:rPr>
                <w:sz w:val="12"/>
                <w:szCs w:val="12"/>
                <w:color w:val="auto"/>
              </w:rPr>
            </w:pPr>
          </w:p>
        </w:tc>
      </w:tr>
      <w:tr>
        <w:trPr>
          <w:trHeight w:val="144"/>
        </w:trPr>
        <w:tc>
          <w:tcPr>
            <w:tcW w:w="29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w w:val="91"/>
              </w:rPr>
              <w:t>Conversion of accounts payable into common stock</w:t>
            </w:r>
          </w:p>
        </w:tc>
        <w:tc>
          <w:tcPr>
            <w:tcW w:w="3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1,927,300</w:t>
            </w:r>
          </w:p>
        </w:tc>
        <w:tc>
          <w:tcPr>
            <w:tcW w:w="120" w:type="dxa"/>
            <w:vAlign w:val="bottom"/>
            <w:shd w:val="clear" w:color="auto" w:fill="CCEEFF"/>
          </w:tcPr>
          <w:p>
            <w:pPr>
              <w:spacing w:after="0"/>
              <w:rPr>
                <w:sz w:val="12"/>
                <w:szCs w:val="12"/>
                <w:color w:val="auto"/>
              </w:rPr>
            </w:pP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accrued interest on convertible promissory  notes into common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921,400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Notes receivable from sale of common stock to related parties upon exercise of options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149,800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rPr>
              <w:t>Capital lease obligations</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139,700</w:t>
            </w:r>
          </w:p>
        </w:tc>
      </w:tr>
      <w:tr>
        <w:trPr>
          <w:trHeight w:val="144"/>
        </w:trPr>
        <w:tc>
          <w:tcPr>
            <w:tcW w:w="7460" w:type="dxa"/>
            <w:vAlign w:val="bottom"/>
            <w:gridSpan w:val="4"/>
            <w:shd w:val="clear" w:color="auto" w:fill="CCEEFF"/>
          </w:tcPr>
          <w:p>
            <w:pPr>
              <w:ind w:left="320"/>
              <w:spacing w:after="0"/>
              <w:rPr>
                <w:sz w:val="20"/>
                <w:szCs w:val="20"/>
                <w:color w:val="auto"/>
              </w:rPr>
            </w:pPr>
            <w:r>
              <w:rPr>
                <w:rFonts w:ascii="Arial" w:cs="Arial" w:eastAsia="Arial" w:hAnsi="Arial"/>
                <w:sz w:val="12"/>
                <w:szCs w:val="12"/>
                <w:color w:val="auto"/>
              </w:rPr>
              <w:t>Recognition of put option and note term extension option liabilities upon  issuance of Original Platinum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141,200</w:t>
            </w:r>
          </w:p>
        </w:tc>
      </w:tr>
      <w:tr>
        <w:trPr>
          <w:trHeight w:val="144"/>
        </w:trPr>
        <w:tc>
          <w:tcPr>
            <w:tcW w:w="3300" w:type="dxa"/>
            <w:vAlign w:val="bottom"/>
            <w:gridSpan w:val="3"/>
          </w:tcPr>
          <w:p>
            <w:pPr>
              <w:ind w:left="320"/>
              <w:spacing w:after="0"/>
              <w:rPr>
                <w:sz w:val="20"/>
                <w:szCs w:val="20"/>
                <w:color w:val="auto"/>
              </w:rPr>
            </w:pPr>
            <w:r>
              <w:rPr>
                <w:rFonts w:ascii="Arial" w:cs="Arial" w:eastAsia="Arial" w:hAnsi="Arial"/>
                <w:sz w:val="12"/>
                <w:szCs w:val="12"/>
                <w:color w:val="auto"/>
                <w:w w:val="93"/>
              </w:rPr>
              <w:t>Incremental fair value of put option and note term extension</w:t>
            </w:r>
          </w:p>
        </w:tc>
        <w:tc>
          <w:tcPr>
            <w:tcW w:w="4160" w:type="dxa"/>
            <w:vAlign w:val="bottom"/>
          </w:tcPr>
          <w:p>
            <w:pPr>
              <w:spacing w:after="0"/>
              <w:rPr>
                <w:sz w:val="20"/>
                <w:szCs w:val="20"/>
                <w:color w:val="auto"/>
              </w:rPr>
            </w:pPr>
            <w:r>
              <w:rPr>
                <w:rFonts w:ascii="Arial" w:cs="Arial" w:eastAsia="Arial" w:hAnsi="Arial"/>
                <w:sz w:val="12"/>
                <w:szCs w:val="12"/>
                <w:color w:val="auto"/>
              </w:rPr>
              <w:t>option liabilities from debt modifications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479,400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Incremental fair value of note conversion option from debt modification</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shd w:val="clear" w:color="auto" w:fill="CCEEFF"/>
          </w:tcPr>
          <w:p>
            <w:pPr>
              <w:spacing w:after="0"/>
              <w:rPr>
                <w:sz w:val="12"/>
                <w:szCs w:val="12"/>
                <w:color w:val="auto"/>
              </w:rPr>
            </w:pPr>
          </w:p>
        </w:tc>
      </w:tr>
      <w:tr>
        <w:trPr>
          <w:trHeight w:val="144"/>
        </w:trPr>
        <w:tc>
          <w:tcPr>
            <w:tcW w:w="3300" w:type="dxa"/>
            <w:vAlign w:val="bottom"/>
            <w:gridSpan w:val="3"/>
          </w:tcPr>
          <w:p>
            <w:pPr>
              <w:ind w:left="440"/>
              <w:spacing w:after="0"/>
              <w:rPr>
                <w:sz w:val="20"/>
                <w:szCs w:val="20"/>
                <w:color w:val="auto"/>
              </w:rPr>
            </w:pPr>
            <w:r>
              <w:rPr>
                <w:rFonts w:ascii="Arial" w:cs="Arial" w:eastAsia="Arial" w:hAnsi="Arial"/>
                <w:sz w:val="12"/>
                <w:szCs w:val="12"/>
                <w:color w:val="auto"/>
                <w:w w:val="95"/>
              </w:rPr>
              <w:t>Incremental fair value of warrant from debt modifications</w:t>
            </w: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276,700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Recognition of warrant liability upon adoption of new accounting standard</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151,300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August 2010 short term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130,900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August 2010 short term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February 2012 12 % convertible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542,000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February 2012 12% convertible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495,200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2006/2007 and 2008/2010 Notes into Units, including accrued interest of $1,365,600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all series of pre-Merger preferred stock into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2011 Platinum Note into Series A Preferred Stock, including accrued  interest of $611,100 and conversion premium</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5,763,900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7% note payable and accrued interest of $11,500 into common stock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19,500</w:t>
            </w: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accounts payable to Morrison &amp; Foerster, McCarthy Tetrault and Desjardins into notes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1,603,400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and cancellation premium converted into 2011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169,000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Cato Holding Company note converted to note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90,800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in December 2011 and May/June 2012 warrant exercises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280,100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0"/>
              </w:rPr>
              <w:t>Insurance premiums settled by issuing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98,300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110,100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296,900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accrued interest and fees on February 2012 Notes into 2012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92,900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July and August 2012 Notes to Platinum converted into Exchange Note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22,600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22,600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by issuance of stock or notes payable and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104,900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Accounts payable converted into 2012 Private Placement Units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r>
      <w:tr>
        <w:trPr>
          <w:trHeight w:val="135"/>
        </w:trPr>
        <w:tc>
          <w:tcPr>
            <w:tcW w:w="7460" w:type="dxa"/>
            <w:vAlign w:val="bottom"/>
            <w:gridSpan w:val="4"/>
            <w:shd w:val="clear" w:color="auto" w:fill="CCEEFF"/>
          </w:tcPr>
          <w:p>
            <w:pPr>
              <w:ind w:left="320"/>
              <w:spacing w:after="0" w:line="136" w:lineRule="exact"/>
              <w:rPr>
                <w:sz w:val="20"/>
                <w:szCs w:val="20"/>
                <w:color w:val="auto"/>
              </w:rPr>
            </w:pPr>
            <w:r>
              <w:rPr>
                <w:rFonts w:ascii="Arial" w:cs="Arial" w:eastAsia="Arial" w:hAnsi="Arial"/>
                <w:sz w:val="12"/>
                <w:szCs w:val="12"/>
                <w:color w:val="auto"/>
                <w:w w:val="94"/>
              </w:rPr>
              <w:t>Recognition of warrant liability upon issuance to Platinum of October 2012 Exchange Note and October 2012, February 2013 and March 2013</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29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w w:val="99"/>
              </w:rPr>
              <w:t>Investment Notes and July 2013 Convertible Note</w:t>
            </w:r>
          </w:p>
        </w:tc>
        <w:tc>
          <w:tcPr>
            <w:tcW w:w="34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146,800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1,836,800</w:t>
            </w:r>
          </w:p>
        </w:tc>
        <w:tc>
          <w:tcPr>
            <w:tcW w:w="120" w:type="dxa"/>
            <w:vAlign w:val="bottom"/>
            <w:shd w:val="clear" w:color="auto" w:fill="CCEEFF"/>
          </w:tcPr>
          <w:p>
            <w:pPr>
              <w:spacing w:after="0"/>
              <w:rPr>
                <w:sz w:val="13"/>
                <w:szCs w:val="13"/>
                <w:color w:val="auto"/>
              </w:rPr>
            </w:pPr>
          </w:p>
        </w:tc>
      </w:tr>
      <w:tr>
        <w:trPr>
          <w:trHeight w:val="135"/>
        </w:trPr>
        <w:tc>
          <w:tcPr>
            <w:tcW w:w="7460" w:type="dxa"/>
            <w:vAlign w:val="bottom"/>
            <w:gridSpan w:val="4"/>
          </w:tcPr>
          <w:p>
            <w:pPr>
              <w:ind w:left="520"/>
              <w:spacing w:after="0" w:line="136" w:lineRule="exact"/>
              <w:rPr>
                <w:sz w:val="20"/>
                <w:szCs w:val="20"/>
                <w:color w:val="auto"/>
              </w:rPr>
            </w:pPr>
            <w:r>
              <w:rPr>
                <w:rFonts w:ascii="Arial" w:cs="Arial" w:eastAsia="Arial" w:hAnsi="Arial"/>
                <w:sz w:val="12"/>
                <w:szCs w:val="12"/>
                <w:color w:val="auto"/>
                <w:w w:val="98"/>
              </w:rPr>
              <w:t>Recognition of warrant liability for potential issuance to Platinum of Series A Exchange Warrant under the terms of the October 2012</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960" w:type="dxa"/>
            <w:vAlign w:val="bottom"/>
            <w:gridSpan w:val="2"/>
          </w:tcPr>
          <w:p>
            <w:pPr>
              <w:ind w:left="320"/>
              <w:spacing w:after="0"/>
              <w:rPr>
                <w:sz w:val="20"/>
                <w:szCs w:val="20"/>
                <w:color w:val="auto"/>
              </w:rPr>
            </w:pPr>
            <w:r>
              <w:rPr>
                <w:rFonts w:ascii="Arial" w:cs="Arial" w:eastAsia="Arial" w:hAnsi="Arial"/>
                <w:sz w:val="12"/>
                <w:szCs w:val="12"/>
                <w:color w:val="auto"/>
              </w:rPr>
              <w:t>Agreement</w:t>
            </w: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3,068,200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3"/>
                <w:szCs w:val="13"/>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26"/>
        </w:trPr>
        <w:tc>
          <w:tcPr>
            <w:tcW w:w="334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rPr>
              <w:t>VISTAGEN THERAPEUTICS, INC.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w w:val="88"/>
              </w:rPr>
              <w:t>(a development stage company)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9"/>
              </w:rPr>
              <w:t>CONSOLIDATED STATEMENTS OF PREFERRED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7"/>
          </w:tcPr>
          <w:p>
            <w:pPr>
              <w:jc w:val="center"/>
              <w:ind w:right="5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Preferred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Series A</w:t>
            </w:r>
          </w:p>
        </w:tc>
        <w:tc>
          <w:tcPr>
            <w:tcW w:w="20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Series B</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5"/>
              </w:rPr>
              <w:t>Series B-1</w:t>
            </w:r>
          </w:p>
        </w:tc>
        <w:tc>
          <w:tcPr>
            <w:tcW w:w="20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Series C</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Preferred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Preferred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Stock</w:t>
            </w:r>
          </w:p>
        </w:tc>
        <w:tc>
          <w:tcPr>
            <w:tcW w:w="20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2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Stock</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Balances at May 26, 1998 (inception)</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4"/>
              </w:rPr>
              <w:t>Issuance of Series A preferred stock at $2.302 per share for cash,</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net of issuance costs of $29,500</w:t>
            </w:r>
          </w:p>
        </w:tc>
        <w:tc>
          <w:tcPr>
            <w:tcW w:w="1140" w:type="dxa"/>
            <w:vAlign w:val="bottom"/>
          </w:tcPr>
          <w:p>
            <w:pPr>
              <w:jc w:val="right"/>
              <w:spacing w:after="0"/>
              <w:rPr>
                <w:sz w:val="20"/>
                <w:szCs w:val="20"/>
                <w:color w:val="auto"/>
              </w:rPr>
            </w:pPr>
            <w:r>
              <w:rPr>
                <w:rFonts w:ascii="Arial" w:cs="Arial" w:eastAsia="Arial" w:hAnsi="Arial"/>
                <w:sz w:val="12"/>
                <w:szCs w:val="12"/>
                <w:color w:val="auto"/>
              </w:rPr>
              <w:t>431,930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964,700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Issuance of Series B preferred stock at $5.545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 conversion of $575,000 face value of 7%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notes plus accrued accrued interest of $3,800,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$70,800 and issuance costs of $137,000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515,568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rPr>
              <w:t>Issuance of Series B-1 preferred stock at $5.545 per share for</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acquired in-process research and development</w:t>
            </w:r>
          </w:p>
        </w:tc>
        <w:tc>
          <w:tcPr>
            <w:tcW w:w="1140" w:type="dxa"/>
            <w:vAlign w:val="bottom"/>
          </w:tcPr>
          <w:p>
            <w:pPr>
              <w:jc w:val="right"/>
              <w:spacing w:after="0"/>
              <w:rPr>
                <w:sz w:val="20"/>
                <w:szCs w:val="20"/>
                <w:color w:val="auto"/>
              </w:rPr>
            </w:pPr>
            <w:r>
              <w:rPr>
                <w:rFonts w:ascii="Arial" w:cs="Arial" w:eastAsia="Arial" w:hAnsi="Arial"/>
                <w:sz w:val="12"/>
                <w:szCs w:val="12"/>
                <w:color w:val="auto"/>
              </w:rPr>
              <w:t>1,356,750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5"/>
              </w:rPr>
              <w:t>Issuance of Series C preferred stock at $6.00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5"/>
              </w:rPr>
              <w:t>including conversion of $1,655,000 face value of 10%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plus accrued interest of $408,600,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$13,200 and issuance costs of $47,900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533,658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1"/>
              </w:rPr>
              <w:t>Issuance of Series C preferred stock at $6.00 per share for services</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and in payment of interest on line of credit</w:t>
            </w:r>
          </w:p>
        </w:tc>
        <w:tc>
          <w:tcPr>
            <w:tcW w:w="1140" w:type="dxa"/>
            <w:vAlign w:val="bottom"/>
          </w:tcPr>
          <w:p>
            <w:pPr>
              <w:jc w:val="right"/>
              <w:spacing w:after="0"/>
              <w:rPr>
                <w:sz w:val="20"/>
                <w:szCs w:val="20"/>
                <w:color w:val="auto"/>
              </w:rPr>
            </w:pPr>
            <w:r>
              <w:rPr>
                <w:rFonts w:ascii="Arial" w:cs="Arial" w:eastAsia="Arial" w:hAnsi="Arial"/>
                <w:sz w:val="12"/>
                <w:szCs w:val="12"/>
                <w:color w:val="auto"/>
              </w:rPr>
              <w:t>46,749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280,500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280,500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Proceeds allocated to warrants issued in connection with Series C</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(25,500)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March 31, 2006 through March 31, 2011</w:t>
            </w:r>
          </w:p>
        </w:tc>
        <w:tc>
          <w:tcPr>
            <w:tcW w:w="1140" w:type="dxa"/>
            <w:vAlign w:val="bottom"/>
          </w:tcPr>
          <w:p>
            <w:pPr>
              <w:jc w:val="right"/>
              <w:spacing w:after="0"/>
              <w:rPr>
                <w:sz w:val="20"/>
                <w:szCs w:val="20"/>
                <w:color w:val="auto"/>
              </w:rPr>
            </w:pPr>
            <w:r>
              <w:rPr>
                <w:rFonts w:ascii="Arial" w:cs="Arial" w:eastAsia="Arial" w:hAnsi="Arial"/>
                <w:sz w:val="12"/>
                <w:szCs w:val="12"/>
                <w:color w:val="auto"/>
              </w:rPr>
              <w:t>2,884,655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3,395,800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Conversion of all series of VistaGen California preferred stock</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into common stock at May 11, 2011 in connection with the Merger</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(964,700)</w:t>
            </w: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(2,651,100)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(7,523,200)</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(3,395,800)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May 11, 2011 through March 31, 2014</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8" w:name="page119"/>
    <w:bookmarkEnd w:id="1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20" w:type="dxa"/>
            <w:vAlign w:val="bottom"/>
            <w:gridSpan w:val="4"/>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gridSpan w:val="7"/>
            <w:vMerge w:val="restart"/>
          </w:tcPr>
          <w:p>
            <w:pPr>
              <w:jc w:val="center"/>
              <w:ind w:right="360"/>
              <w:spacing w:after="0"/>
              <w:rPr>
                <w:sz w:val="20"/>
                <w:szCs w:val="20"/>
                <w:color w:val="auto"/>
              </w:rPr>
            </w:pPr>
            <w:r>
              <w:rPr>
                <w:rFonts w:ascii="Arial" w:cs="Arial" w:eastAsia="Arial" w:hAnsi="Arial"/>
                <w:sz w:val="12"/>
                <w:szCs w:val="12"/>
                <w:b w:val="1"/>
                <w:bCs w:val="1"/>
                <w:color w:val="auto"/>
              </w:rPr>
              <w:t>VISTAGEN THERAPEUTICS, INC.</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7"/>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2"/>
                <w:szCs w:val="12"/>
                <w:b w:val="1"/>
                <w:bCs w:val="1"/>
                <w:color w:val="auto"/>
                <w:w w:val="88"/>
              </w:rPr>
              <w:t>(a development stage company)</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spacing w:after="0"/>
              <w:rPr>
                <w:sz w:val="20"/>
                <w:szCs w:val="20"/>
                <w:color w:val="auto"/>
              </w:rPr>
            </w:pPr>
            <w:r>
              <w:rPr>
                <w:rFonts w:ascii="Arial" w:cs="Arial" w:eastAsia="Arial" w:hAnsi="Arial"/>
                <w:sz w:val="12"/>
                <w:szCs w:val="12"/>
                <w:b w:val="1"/>
                <w:bCs w:val="1"/>
                <w:color w:val="auto"/>
              </w:rPr>
              <w:t>CONSOLIDATED STATEMENTS OF STOCKHOLDERS’ DEFICIT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ind w:right="7"/>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gridSpan w:val="8"/>
          </w:tcPr>
          <w:p>
            <w:pPr>
              <w:jc w:val="center"/>
              <w:ind w:right="20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Deficit</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gridSpan w:val="4"/>
            <w:vMerge w:val="restart"/>
          </w:tcPr>
          <w:p>
            <w:pPr>
              <w:jc w:val="right"/>
              <w:ind w:right="207"/>
              <w:spacing w:after="0"/>
              <w:rPr>
                <w:sz w:val="20"/>
                <w:szCs w:val="20"/>
                <w:color w:val="auto"/>
              </w:rPr>
            </w:pPr>
            <w:r>
              <w:rPr>
                <w:rFonts w:ascii="Arial" w:cs="Arial" w:eastAsia="Arial" w:hAnsi="Arial"/>
                <w:sz w:val="12"/>
                <w:szCs w:val="12"/>
                <w:b w:val="1"/>
                <w:bCs w:val="1"/>
                <w:color w:val="auto"/>
              </w:rPr>
              <w:t>Series A Preferred Stock</w:t>
            </w: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vMerge w:val="restart"/>
          </w:tcPr>
          <w:p>
            <w:pPr>
              <w:ind w:left="660"/>
              <w:spacing w:after="0"/>
              <w:rPr>
                <w:sz w:val="20"/>
                <w:szCs w:val="20"/>
                <w:color w:val="auto"/>
              </w:rPr>
            </w:pPr>
            <w:r>
              <w:rPr>
                <w:rFonts w:ascii="Arial" w:cs="Arial" w:eastAsia="Arial" w:hAnsi="Arial"/>
                <w:sz w:val="12"/>
                <w:szCs w:val="12"/>
                <w:b w:val="1"/>
                <w:bCs w:val="1"/>
                <w:color w:val="auto"/>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94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Borders>
              <w:bottom w:val="single" w:sz="8" w:color="auto"/>
            </w:tcBorders>
            <w:gridSpan w:val="4"/>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w w:val="90"/>
              </w:rPr>
              <w:t>Notes Receivable</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3"/>
              </w:rPr>
              <w:t>During the</w:t>
            </w:r>
          </w:p>
        </w:tc>
        <w:tc>
          <w:tcPr>
            <w:tcW w:w="80" w:type="dxa"/>
            <w:vAlign w:val="bottom"/>
          </w:tcPr>
          <w:p>
            <w:pPr>
              <w:spacing w:after="0"/>
              <w:rPr>
                <w:sz w:val="6"/>
                <w:szCs w:val="6"/>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6"/>
              </w:rPr>
              <w:t>Additional Paid-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5"/>
              </w:rPr>
              <w:t>from Sale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Development</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ind w:left="3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47"/>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in Capital</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w w:val="94"/>
              </w:rPr>
              <w:t>Treasury Stock</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Stage</w:t>
            </w: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May 26,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1998(inception)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Sale of common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for cash</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1,211,086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24,900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26,100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Fair value of common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 issued for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services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403,375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359,400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359,800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warrants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481,700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481,700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upon exercise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options from 1999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2008 Stock Incentive</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Plans and SAB Plan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410,863</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314,900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for cancellation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accounts payable and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accrued interest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gridSpan w:val="2"/>
          </w:tcPr>
          <w:p>
            <w:pPr>
              <w:spacing w:after="0"/>
              <w:rPr>
                <w:sz w:val="20"/>
                <w:szCs w:val="20"/>
                <w:color w:val="auto"/>
              </w:rPr>
            </w:pPr>
            <w:r>
              <w:rPr>
                <w:rFonts w:ascii="Arial" w:cs="Arial" w:eastAsia="Arial" w:hAnsi="Arial"/>
                <w:sz w:val="12"/>
                <w:szCs w:val="12"/>
                <w:color w:val="auto"/>
              </w:rPr>
              <w:t>2010)</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1,646,792</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2,468,600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2,470,200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Proceeds allocated to</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issued in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connection with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and other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issued in fiscal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years 2001 through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Original Platinum</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and Series C</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1,059,100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1,059,100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2,763,000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2,763,000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fair value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of note conversion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options from debt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 (FY 2010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and 2011)</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1,891,200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accrued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accrued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interest payable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officers (FY 2007)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799,900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799,900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Effect of reverse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split (FY 2009)</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Effect of the Merger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1,569,000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(1,600)</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Cumulative effect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adopting new</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accounting standard</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(293,700)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142,300</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(151,400)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Net loss for fiscal years</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1999 through 2011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(42,715,300)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(42,715,300)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March 31,</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2011</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5,241,110</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5,200</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9,867,400</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(184,100)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(42,573,000)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(32,884,500)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1,591,300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1,591,300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Reclassification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liability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equity</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424,100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424,100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Platinum note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1,070,600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1,070,600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Morrison &amp; Foerster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58,700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in May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Private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Placement, net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$202,000 placement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fees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2,216,106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3,674,000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3,176,200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Payments on note</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receivable for sale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conversion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promissory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3,528,290</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6,171,300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conversion of all series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VistaGen California</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14,531,900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 prior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to the Merger</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1,371,743</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2,224,100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2,225,500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notes at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the Merger</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exercise of modified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Platinum exercises)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3,121,259</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3,100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3,426,200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3,429,300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(including modification</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Platinum warrants)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1,028,900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1,028,900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bonus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under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2012 Discounted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 Exercise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Program</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138,100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138,100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21" w:right="199" w:bottom="0" w:gutter="0" w:footer="0" w:header="0"/>
        </w:sectPr>
      </w:pPr>
    </w:p>
    <w:bookmarkStart w:id="119" w:name="page120"/>
    <w:bookmarkEnd w:id="119"/>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292340" cy="274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Stock issued in Fall</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63,570</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2011 Follow-on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Offering</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of options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from the 1999</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Incentive Plan</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113,979</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following the Merger</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155,555</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warrants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Proceeds allocated 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warrants issued and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beneficial</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feature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12%</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convertible notes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note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term extension</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8,000</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of Platinum</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to equity (net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 Platinum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reflected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above)</w:t>
            </w:r>
          </w:p>
        </w:tc>
        <w:tc>
          <w:tcPr>
            <w:tcW w:w="920" w:type="dxa"/>
            <w:vAlign w:val="bottom"/>
          </w:tcPr>
          <w:p>
            <w:pPr>
              <w:jc w:val="right"/>
              <w:spacing w:after="0"/>
              <w:rPr>
                <w:sz w:val="20"/>
                <w:szCs w:val="20"/>
                <w:color w:val="auto"/>
              </w:rPr>
            </w:pPr>
            <w:r>
              <w:rPr>
                <w:rFonts w:ascii="Arial" w:cs="Arial" w:eastAsia="Arial" w:hAnsi="Arial"/>
                <w:sz w:val="12"/>
                <w:szCs w:val="12"/>
                <w:color w:val="auto"/>
              </w:rPr>
              <w:t>231,090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Common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w w:val="99"/>
              </w:rPr>
              <w:t>exchanged for Series A</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Preferred under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agreements with</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Platinum: Common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Exchange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w:t>
            </w:r>
          </w:p>
        </w:tc>
        <w:tc>
          <w:tcPr>
            <w:tcW w:w="920" w:type="dxa"/>
            <w:vAlign w:val="bottom"/>
          </w:tcPr>
          <w:p>
            <w:pPr>
              <w:jc w:val="right"/>
              <w:spacing w:after="0"/>
              <w:rPr>
                <w:sz w:val="20"/>
                <w:szCs w:val="20"/>
                <w:color w:val="auto"/>
              </w:rPr>
            </w:pPr>
            <w:r>
              <w:rPr>
                <w:rFonts w:ascii="Arial" w:cs="Arial" w:eastAsia="Arial" w:hAnsi="Arial"/>
                <w:sz w:val="12"/>
                <w:szCs w:val="12"/>
                <w:color w:val="auto"/>
              </w:rPr>
              <w:t>45,980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and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Exchange Agreement</w:t>
            </w:r>
          </w:p>
        </w:tc>
        <w:tc>
          <w:tcPr>
            <w:tcW w:w="920" w:type="dxa"/>
            <w:vAlign w:val="bottom"/>
          </w:tcPr>
          <w:p>
            <w:pPr>
              <w:jc w:val="right"/>
              <w:spacing w:after="0"/>
              <w:rPr>
                <w:sz w:val="20"/>
                <w:szCs w:val="20"/>
                <w:color w:val="auto"/>
              </w:rPr>
            </w:pPr>
            <w:r>
              <w:rPr>
                <w:rFonts w:ascii="Arial" w:cs="Arial" w:eastAsia="Arial" w:hAnsi="Arial"/>
                <w:sz w:val="12"/>
                <w:szCs w:val="12"/>
                <w:color w:val="auto"/>
              </w:rPr>
              <w:t>159,985</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Net loss for fiscal year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2012</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73"/>
        </w:trPr>
        <w:tc>
          <w:tcPr>
            <w:tcW w:w="1260" w:type="dxa"/>
            <w:vAlign w:val="bottom"/>
          </w:tcPr>
          <w:p>
            <w:pPr>
              <w:spacing w:after="0"/>
              <w:rPr>
                <w:sz w:val="20"/>
                <w:szCs w:val="20"/>
                <w:color w:val="auto"/>
              </w:rPr>
            </w:pPr>
            <w:r>
              <w:rPr>
                <w:rFonts w:ascii="Arial" w:cs="Arial" w:eastAsia="Arial" w:hAnsi="Arial"/>
                <w:sz w:val="12"/>
                <w:szCs w:val="12"/>
                <w:b w:val="1"/>
                <w:bCs w:val="1"/>
                <w:color w:val="auto"/>
                <w:w w:val="98"/>
              </w:rPr>
              <w:t>Balances at March 31,</w:t>
            </w:r>
          </w:p>
        </w:tc>
        <w:tc>
          <w:tcPr>
            <w:tcW w:w="9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57"/>
        </w:trPr>
        <w:tc>
          <w:tcPr>
            <w:tcW w:w="1260" w:type="dxa"/>
            <w:vAlign w:val="bottom"/>
          </w:tcPr>
          <w:p>
            <w:pPr>
              <w:spacing w:after="0"/>
              <w:rPr>
                <w:sz w:val="20"/>
                <w:szCs w:val="20"/>
                <w:color w:val="auto"/>
              </w:rPr>
            </w:pPr>
            <w:r>
              <w:rPr>
                <w:rFonts w:ascii="Arial" w:cs="Arial" w:eastAsia="Arial" w:hAnsi="Arial"/>
                <w:sz w:val="12"/>
                <w:szCs w:val="12"/>
                <w:b w:val="1"/>
                <w:bCs w:val="1"/>
                <w:color w:val="auto"/>
              </w:rPr>
              <w:t>2012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437,055</w:t>
            </w:r>
          </w:p>
        </w:tc>
        <w:tc>
          <w:tcPr>
            <w:tcW w:w="240" w:type="dxa"/>
            <w:vAlign w:val="bottom"/>
          </w:tcPr>
          <w:p>
            <w:pPr>
              <w:spacing w:after="0"/>
              <w:rPr>
                <w:sz w:val="13"/>
                <w:szCs w:val="13"/>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400</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18,704,267</w:t>
            </w:r>
          </w:p>
        </w:tc>
        <w:tc>
          <w:tcPr>
            <w:tcW w:w="220" w:type="dxa"/>
            <w:vAlign w:val="bottom"/>
          </w:tcPr>
          <w:p>
            <w:pPr>
              <w:spacing w:after="0"/>
              <w:rPr>
                <w:sz w:val="13"/>
                <w:szCs w:val="13"/>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18,700</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-3133725</wp:posOffset>
            </wp:positionV>
            <wp:extent cx="7292340"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2743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-2675890</wp:posOffset>
            </wp:positionV>
            <wp:extent cx="7292340" cy="549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-1852295</wp:posOffset>
            </wp:positionV>
            <wp:extent cx="7292340" cy="549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-662940</wp:posOffset>
            </wp:positionV>
            <wp:extent cx="7292340" cy="182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182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-285115</wp:posOffset>
            </wp:positionV>
            <wp:extent cx="7292340" cy="914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111,200</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111,300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102,100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102,200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451,800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452,000</w:t>
            </w: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564,500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564,500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461,700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461,700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22,400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22,400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3,387,700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3,387,900</w:t>
            </w:r>
          </w:p>
        </w:tc>
        <w:tc>
          <w:tcPr>
            <w:tcW w:w="40" w:type="dxa"/>
            <w:vAlign w:val="bottom"/>
          </w:tcPr>
          <w:p>
            <w:pPr>
              <w:spacing w:after="0"/>
              <w:rPr>
                <w:sz w:val="24"/>
                <w:szCs w:val="24"/>
                <w:color w:val="auto"/>
              </w:rPr>
            </w:pPr>
          </w:p>
        </w:tc>
      </w:tr>
      <w:tr>
        <w:trPr>
          <w:trHeight w:val="1009"/>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750,600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(750,600)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2,480,900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(2,481,100)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(12,209,500)</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(12,209,500)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0"/>
        </w:trPr>
        <w:tc>
          <w:tcPr>
            <w:tcW w:w="780" w:type="dxa"/>
            <w:vAlign w:val="bottom"/>
          </w:tcPr>
          <w:p>
            <w:pPr>
              <w:jc w:val="right"/>
              <w:ind w:right="180"/>
              <w:spacing w:after="0"/>
              <w:rPr>
                <w:sz w:val="20"/>
                <w:szCs w:val="20"/>
                <w:color w:val="auto"/>
              </w:rPr>
            </w:pPr>
            <w:r>
              <w:rPr>
                <w:rFonts w:ascii="Arial" w:cs="Arial" w:eastAsia="Arial" w:hAnsi="Arial"/>
                <w:sz w:val="12"/>
                <w:szCs w:val="12"/>
                <w:b w:val="1"/>
                <w:bCs w:val="1"/>
                <w:color w:val="auto"/>
                <w:w w:val="86"/>
              </w:rPr>
              <w:t>52,539,500</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(3,231,700)</w:t>
            </w:r>
          </w:p>
        </w:tc>
        <w:tc>
          <w:tcPr>
            <w:tcW w:w="3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(250,000)</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200" w:type="dxa"/>
            <w:vAlign w:val="bottom"/>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rPr>
              <w:t>(5,705,600)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-296545</wp:posOffset>
            </wp:positionV>
            <wp:extent cx="589280"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9280" cy="1143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-10795</wp:posOffset>
            </wp:positionV>
            <wp:extent cx="589280"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9280" cy="1143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5960" w:space="340"/>
            <w:col w:w="5100"/>
          </w:cols>
          <w:pgMar w:left="220" w:top="131" w:right="279" w:bottom="1440" w:gutter="0" w:footer="0" w:header="0"/>
        </w:sectPr>
      </w:pPr>
    </w:p>
    <w:p>
      <w:pPr>
        <w:jc w:val="center"/>
        <w:ind w:right="-79"/>
        <w:spacing w:after="0"/>
        <w:rPr>
          <w:sz w:val="20"/>
          <w:szCs w:val="20"/>
          <w:color w:val="auto"/>
        </w:rPr>
      </w:pPr>
      <w:r>
        <w:rPr>
          <w:rFonts w:ascii="Arial" w:cs="Arial" w:eastAsia="Arial" w:hAnsi="Arial"/>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932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type w:val="continuous"/>
        </w:sectPr>
      </w:pPr>
    </w:p>
    <w:bookmarkStart w:id="120" w:name="page121"/>
    <w:bookmarkEnd w:id="120"/>
    <w:p>
      <w:pPr>
        <w:spacing w:after="0" w:line="62" w:lineRule="exact"/>
        <w:rPr>
          <w:sz w:val="20"/>
          <w:szCs w:val="20"/>
          <w:color w:val="auto"/>
        </w:rPr>
      </w:pPr>
    </w:p>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STOCKHOLDERS’ DEFICIT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Period from May 26, 1998 (inception) through March 31, 2013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$100s,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Notes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Receivable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During the</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60" w:type="dxa"/>
            <w:vAlign w:val="bottom"/>
            <w:tcBorders>
              <w:right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Series A Preferred Stock</w:t>
            </w:r>
          </w:p>
        </w:tc>
        <w:tc>
          <w:tcPr>
            <w:tcW w:w="120" w:type="dxa"/>
            <w:vAlign w:val="bottom"/>
          </w:tcPr>
          <w:p>
            <w:pPr>
              <w:spacing w:after="0"/>
              <w:rPr>
                <w:sz w:val="13"/>
                <w:szCs w:val="13"/>
                <w:color w:val="auto"/>
              </w:rPr>
            </w:pPr>
          </w:p>
        </w:tc>
        <w:tc>
          <w:tcPr>
            <w:tcW w:w="1340" w:type="dxa"/>
            <w:vAlign w:val="bottom"/>
            <w:gridSpan w:val="4"/>
          </w:tcPr>
          <w:p>
            <w:pPr>
              <w:jc w:val="right"/>
              <w:spacing w:after="0"/>
              <w:rPr>
                <w:sz w:val="20"/>
                <w:szCs w:val="20"/>
                <w:color w:val="auto"/>
              </w:rPr>
            </w:pPr>
            <w:r>
              <w:rPr>
                <w:rFonts w:ascii="Arial" w:cs="Arial" w:eastAsia="Arial" w:hAnsi="Arial"/>
                <w:sz w:val="12"/>
                <w:szCs w:val="12"/>
                <w:b w:val="1"/>
                <w:bCs w:val="1"/>
                <w:color w:val="auto"/>
              </w:rPr>
              <w:t>Common Stock</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from Sale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Development</w:t>
            </w:r>
          </w:p>
        </w:tc>
        <w:tc>
          <w:tcPr>
            <w:tcW w:w="8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Shares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5"/>
              </w:rPr>
              <w:t>Stage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2"/>
              </w:rPr>
              <w:t>Deficit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437,055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18,704,267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18,700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52,539,500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(3,231,700)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(250,000)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(5,705,600)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1,241,300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common stock</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issued for services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400,000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339,600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for</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Shares issued upon exercise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549,056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274,000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274,500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3"/>
              </w:rPr>
              <w:t>Fair value of warrants issued upon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exercise of moddified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35,900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shares issued in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settlement of accounts payable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103,235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103,100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103,200</w:t>
            </w:r>
          </w:p>
        </w:tc>
        <w:tc>
          <w:tcPr>
            <w:tcW w:w="0" w:type="dxa"/>
            <w:vAlign w:val="bottom"/>
          </w:tcPr>
          <w:p>
            <w:pPr>
              <w:spacing w:after="0"/>
              <w:rPr>
                <w:sz w:val="1"/>
                <w:szCs w:val="1"/>
                <w:color w:val="auto"/>
              </w:rPr>
            </w:pPr>
          </w:p>
        </w:tc>
      </w:tr>
      <w:tr>
        <w:trPr>
          <w:trHeight w:val="279"/>
        </w:trPr>
        <w:tc>
          <w:tcPr>
            <w:tcW w:w="1760" w:type="dxa"/>
            <w:vAlign w:val="bottom"/>
            <w:gridSpan w:val="2"/>
          </w:tcPr>
          <w:p>
            <w:pPr>
              <w:spacing w:after="0"/>
              <w:rPr>
                <w:sz w:val="20"/>
                <w:szCs w:val="20"/>
                <w:color w:val="auto"/>
              </w:rPr>
            </w:pPr>
            <w:r>
              <w:rPr>
                <w:rFonts w:ascii="Arial" w:cs="Arial" w:eastAsia="Arial" w:hAnsi="Arial"/>
                <w:sz w:val="12"/>
                <w:szCs w:val="12"/>
                <w:color w:val="auto"/>
              </w:rPr>
              <w:t>Common stock exchanged for</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Series A Preferred under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Agreement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Platinum</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62,945</w:t>
            </w: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736,300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(736,400)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sale of stock</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66,900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Modification of note receivable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from 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(26,000)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9"/>
              </w:rPr>
              <w:t>warrant and fair value of warrant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issued in connection with</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6"/>
              </w:rPr>
              <w:t>Morrison &amp; Foerster note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Cato Holding Company in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connection with note payable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restructuring</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120,500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Cato Research, Ltd.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connection accounts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University Health Network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in connection with accounts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payable restructure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264,800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264,800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underlying notes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49,400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Sale of Units in Winter 2012</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Private Placement, net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2,366,330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2,400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1,246,600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1,249,000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of February 2012</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convertible notes for Units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1,357,281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1,214,200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1,215,600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banker in connection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of February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convertible notes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Premium of fair value over face</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value of Exchange Note issued</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to Platinum in October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1,083,200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1,083,200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Series A Exchange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Warrant issuable 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Platinum recorded as a Warrant</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Liability</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(3,068,200)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(3,068,200)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Proceeds allocated to beneficial</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8"/>
              </w:rPr>
              <w:t>conversion feature of Investment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Notes issued to Platinum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October 2012, February 2013</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and March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958,500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modifications in February 2013</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67,500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67,500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(12,886,700)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6"/>
              </w:rPr>
              <w:t>(12,886,700)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23,480,169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23,500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59,266,000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(209,100)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(67,669,200)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(12,556,400)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1,137,300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1,137,300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Proceeds from sale of common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stock for cash,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exercises of warrants under</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Discount Warrant Exercise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Program</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655,016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700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335,200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Beneficial conversion feature 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 issued to Platinum in July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11,000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Units for cash under</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Winter 2013/2014 Private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Placement, including beneficial</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838,200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Units for cash under Spring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w w:val="95"/>
              </w:rPr>
              <w:t>2014 Private Placement,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beneficial conversion feature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36,000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modifications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60,800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60,800</w:t>
            </w: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34" w:right="199" w:bottom="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gridSpan w:val="2"/>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underlying notes</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(2,967,700)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w:t>
            </w: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26,200,185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26,200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61,976,500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(198,100)</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(70,636,900)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5"/>
              </w:rPr>
              <w:t>$  (12,799,900)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7" w:right="199" w:bottom="1440" w:gutter="0" w:footer="0" w:header="0"/>
        </w:sectPr>
      </w:pPr>
    </w:p>
    <w:bookmarkStart w:id="122" w:name="page123"/>
    <w:bookmarkEnd w:id="12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 development stage company)</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 Description of Business</w:t>
      </w:r>
    </w:p>
    <w:p>
      <w:pPr>
        <w:spacing w:after="0" w:line="154" w:lineRule="exact"/>
        <w:rPr>
          <w:sz w:val="20"/>
          <w:szCs w:val="20"/>
          <w:color w:val="auto"/>
        </w:rPr>
      </w:pPr>
    </w:p>
    <w:p>
      <w:pPr>
        <w:jc w:val="both"/>
        <w:ind w:left="8" w:firstLine="456"/>
        <w:spacing w:after="0" w:line="275" w:lineRule="auto"/>
        <w:rPr>
          <w:sz w:val="20"/>
          <w:szCs w:val="20"/>
          <w:color w:val="auto"/>
        </w:rPr>
      </w:pPr>
      <w:r>
        <w:rPr>
          <w:rFonts w:ascii="Arial" w:cs="Arial" w:eastAsia="Arial" w:hAnsi="Arial"/>
          <w:sz w:val="11"/>
          <w:szCs w:val="11"/>
          <w:color w:val="auto"/>
        </w:rPr>
        <w:t>VistaGen Therapeutics, Inc., a Nevada corporation (“</w:t>
      </w:r>
      <w:r>
        <w:rPr>
          <w:rFonts w:ascii="Arial" w:cs="Arial" w:eastAsia="Arial" w:hAnsi="Arial"/>
          <w:sz w:val="11"/>
          <w:szCs w:val="11"/>
          <w:i w:val="1"/>
          <w:iCs w:val="1"/>
          <w:color w:val="auto"/>
        </w:rPr>
        <w:t>VistaGen</w:t>
      </w:r>
      <w:r>
        <w:rPr>
          <w:rFonts w:ascii="Arial" w:cs="Arial" w:eastAsia="Arial" w:hAnsi="Arial"/>
          <w:sz w:val="11"/>
          <w:szCs w:val="11"/>
          <w:color w:val="auto"/>
        </w:rPr>
        <w:t>” or the “</w:t>
      </w:r>
      <w:r>
        <w:rPr>
          <w:rFonts w:ascii="Arial" w:cs="Arial" w:eastAsia="Arial" w:hAnsi="Arial"/>
          <w:sz w:val="11"/>
          <w:szCs w:val="11"/>
          <w:i w:val="1"/>
          <w:iCs w:val="1"/>
          <w:color w:val="auto"/>
        </w:rPr>
        <w:t>Compan</w:t>
      </w:r>
      <w:r>
        <w:rPr>
          <w:rFonts w:ascii="Arial" w:cs="Arial" w:eastAsia="Arial" w:hAnsi="Arial"/>
          <w:sz w:val="11"/>
          <w:szCs w:val="11"/>
          <w:color w:val="auto"/>
        </w:rPr>
        <w:t xml:space="preserve">y”), is a biotechnology company with expertise in human pluripotent stem cell technology. The Company is applying and developing its stem cell technology for drug rescue and regenerative medicine. The Company’s primary focus is on leveraging its stem cell technology platform, which it refers to as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the human cells it produces, its novel, human cell-based bioassay systems, and medicinal chemistry to produce small molecule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These are new, potentially safer variants of promising small molecule drug candidates previously discovered, developed and ultimately discontinued by pharmaceutical companies and others, after substantial investment and prior to market approval, due to unexpected heart or liver safety concerns. The Company refers to these promising drug candidates that are now potentially suitable for drug rescue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These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have already been tested extensively and validated by a pharmaceutical or biotechnology company for their therapeutic (efficacy) and commercial potential. The key commercial objective of the Company’s drug rescue strategy is to generate revenue from license, development and commercialization arrangements involving new, potentially safer and proprietary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Variants </w:t>
      </w:r>
      <w:r>
        <w:rPr>
          <w:rFonts w:ascii="Arial" w:cs="Arial" w:eastAsia="Arial" w:hAnsi="Arial"/>
          <w:sz w:val="11"/>
          <w:szCs w:val="11"/>
          <w:color w:val="auto"/>
        </w:rPr>
        <w:t>that it produces with its contract medicinal chemistry collaborator and validates internally in its human cell-based bioassay systems prior to license. The Company anticipates that each validated lead</w:t>
      </w:r>
      <w:r>
        <w:rPr>
          <w:rFonts w:ascii="Arial" w:cs="Arial" w:eastAsia="Arial" w:hAnsi="Arial"/>
          <w:sz w:val="11"/>
          <w:szCs w:val="11"/>
          <w:i w:val="1"/>
          <w:iCs w:val="1"/>
          <w:color w:val="auto"/>
        </w:rPr>
        <w:t xml:space="preserve"> Drug Rescue Variant </w:t>
      </w:r>
      <w:r>
        <w:rPr>
          <w:rFonts w:ascii="Arial" w:cs="Arial" w:eastAsia="Arial" w:hAnsi="Arial"/>
          <w:sz w:val="11"/>
          <w:szCs w:val="11"/>
          <w:color w:val="auto"/>
        </w:rPr>
        <w:t>will be suitable as a promising drug development program, either internally or in collaboration with a strategic partner. Through stem cell technology-based drug rescue, the Company intends to become a leading source of proprietary, small molecule drug candidates to the global pharmaceutical industry.</w:t>
      </w:r>
    </w:p>
    <w:p>
      <w:pPr>
        <w:spacing w:after="0" w:line="2" w:lineRule="exact"/>
        <w:rPr>
          <w:sz w:val="20"/>
          <w:szCs w:val="20"/>
          <w:color w:val="auto"/>
        </w:rPr>
      </w:pPr>
    </w:p>
    <w:p>
      <w:pPr>
        <w:jc w:val="both"/>
        <w:ind w:left="8" w:firstLine="471"/>
        <w:spacing w:after="0" w:line="253" w:lineRule="auto"/>
        <w:rPr>
          <w:sz w:val="20"/>
          <w:szCs w:val="20"/>
          <w:color w:val="auto"/>
        </w:rPr>
      </w:pPr>
      <w:r>
        <w:rPr>
          <w:rFonts w:ascii="Arial" w:cs="Arial" w:eastAsia="Arial" w:hAnsi="Arial"/>
          <w:sz w:val="12"/>
          <w:szCs w:val="12"/>
          <w:color w:val="auto"/>
        </w:rPr>
        <w:t>In parallel with its drug rescue activities, the Company is also interested in exploring ways to leverage its stem cell technology platform for regenerative medicine purposes, with emphasis on developing novel human disease models for discovery of small molecule drugs and biologics with regenerative and therapeutic potential. The Company’s regenerative medicine focus would be based on its expertise in human biology and differentiation of human pluripotent stem cells to develop functional adult human cells and tissues involved in human disease, including blood, bone, cartilage, heart, liver and insulin-producing pancreatic beta-islet cells. Among its key objectives will be to explore regenerative medicine opportunities through exploratory nonclinical proof-of-concept studies, after which the Company intends to assess any potential opportunities for further development and commercialization of therapeutically and commercially promising regenerative medicine programs, either on its own or with strategic partners.</w:t>
      </w:r>
    </w:p>
    <w:p>
      <w:pPr>
        <w:spacing w:after="0" w:line="128" w:lineRule="exact"/>
        <w:rPr>
          <w:sz w:val="20"/>
          <w:szCs w:val="20"/>
          <w:color w:val="auto"/>
        </w:rPr>
      </w:pPr>
    </w:p>
    <w:p>
      <w:pPr>
        <w:jc w:val="both"/>
        <w:ind w:left="8" w:firstLine="474"/>
        <w:spacing w:after="0" w:line="281" w:lineRule="auto"/>
        <w:rPr>
          <w:sz w:val="20"/>
          <w:szCs w:val="20"/>
          <w:color w:val="auto"/>
        </w:rPr>
      </w:pPr>
      <w:r>
        <w:rPr>
          <w:rFonts w:ascii="Arial" w:cs="Arial" w:eastAsia="Arial" w:hAnsi="Arial"/>
          <w:sz w:val="11"/>
          <w:szCs w:val="11"/>
          <w:color w:val="auto"/>
        </w:rPr>
        <w:t>AV-101 is VistaGen's orally-available, small molecule prodrug candidate which has successfully completed Phase 1 clinical development in the Unites States for treatment of neuropathic pain, a serious and chronic condition causing pain after an injury or disease of the peripheral or central nervous system that affects millions of people worldwide. The NIH awarded VistaGen approximately $8.8 million for preclinical and Phase 1 clinical development of AV-</w:t>
      </w:r>
    </w:p>
    <w:p>
      <w:pPr>
        <w:spacing w:after="0" w:line="1" w:lineRule="exact"/>
        <w:rPr>
          <w:sz w:val="20"/>
          <w:szCs w:val="20"/>
          <w:color w:val="auto"/>
        </w:rPr>
      </w:pPr>
    </w:p>
    <w:p>
      <w:pPr>
        <w:ind w:left="8" w:hanging="8"/>
        <w:spacing w:after="0" w:line="306" w:lineRule="auto"/>
        <w:tabs>
          <w:tab w:leader="none" w:pos="260" w:val="left"/>
        </w:tabs>
        <w:numPr>
          <w:ilvl w:val="0"/>
          <w:numId w:val="64"/>
        </w:numPr>
        <w:rPr>
          <w:rFonts w:ascii="Arial" w:cs="Arial" w:eastAsia="Arial" w:hAnsi="Arial"/>
          <w:sz w:val="11"/>
          <w:szCs w:val="11"/>
          <w:color w:val="auto"/>
        </w:rPr>
      </w:pPr>
      <w:r>
        <w:rPr>
          <w:rFonts w:ascii="Arial" w:cs="Arial" w:eastAsia="Arial" w:hAnsi="Arial"/>
          <w:sz w:val="11"/>
          <w:szCs w:val="11"/>
          <w:color w:val="auto"/>
        </w:rPr>
        <w:t>The Company intends to pursue potential opportunities for further clinical development and commercialization of AV-101 for neuropathic pain, epilepsy and depression, on its own and with strategic partners. In the event that it successfully completes a strategic partnering arrangement for AV-101, the Company plans to use the net proceeds from such an arrangement to expand its stem cell technology-based drug rescue and regenerative medicine programs.</w:t>
      </w:r>
    </w:p>
    <w:p>
      <w:pPr>
        <w:spacing w:after="0" w:line="101" w:lineRule="exact"/>
        <w:rPr>
          <w:sz w:val="20"/>
          <w:szCs w:val="20"/>
          <w:color w:val="auto"/>
        </w:rPr>
      </w:pPr>
    </w:p>
    <w:p>
      <w:pPr>
        <w:ind w:left="8" w:firstLine="454"/>
        <w:spacing w:after="0" w:line="276" w:lineRule="auto"/>
        <w:rPr>
          <w:sz w:val="20"/>
          <w:szCs w:val="20"/>
          <w:color w:val="auto"/>
        </w:rPr>
      </w:pPr>
      <w:r>
        <w:rPr>
          <w:rFonts w:ascii="Arial" w:cs="Arial" w:eastAsia="Arial" w:hAnsi="Arial"/>
          <w:sz w:val="12"/>
          <w:szCs w:val="12"/>
          <w:color w:val="auto"/>
        </w:rPr>
        <w:t>VistaGen is in the development stage and, since inception, has devoted substantially all of its time and efforts to human pluripotent stem cell technology research and development, including, among other things, bioassay system development, small molecule drug development, creating, protecting and patenting intellectual property, recruiting personnel and raising working capital.</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23" w:name="page124"/>
    <w:bookmarkEnd w:id="12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Merger</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VistaGen Therapeutics, Inc., a California corporation incorporated on May 26, 1998 (“</w:t>
      </w:r>
      <w:r>
        <w:rPr>
          <w:rFonts w:ascii="Arial" w:cs="Arial" w:eastAsia="Arial" w:hAnsi="Arial"/>
          <w:sz w:val="12"/>
          <w:szCs w:val="12"/>
          <w:i w:val="1"/>
          <w:iCs w:val="1"/>
          <w:color w:val="auto"/>
        </w:rPr>
        <w:t>VistaGen California</w:t>
      </w:r>
      <w:r>
        <w:rPr>
          <w:rFonts w:ascii="Arial" w:cs="Arial" w:eastAsia="Arial" w:hAnsi="Arial"/>
          <w:sz w:val="12"/>
          <w:szCs w:val="12"/>
          <w:color w:val="auto"/>
        </w:rPr>
        <w:t>”), is a wholly owned subsidiary of the Company. Excaliber Enterprises, Ltd. (“</w:t>
      </w:r>
      <w:r>
        <w:rPr>
          <w:rFonts w:ascii="Arial" w:cs="Arial" w:eastAsia="Arial" w:hAnsi="Arial"/>
          <w:sz w:val="12"/>
          <w:szCs w:val="12"/>
          <w:i w:val="1"/>
          <w:iCs w:val="1"/>
          <w:color w:val="auto"/>
        </w:rPr>
        <w:t>Excaliber</w:t>
      </w:r>
      <w:r>
        <w:rPr>
          <w:rFonts w:ascii="Arial" w:cs="Arial" w:eastAsia="Arial" w:hAnsi="Arial"/>
          <w:sz w:val="12"/>
          <w:szCs w:val="12"/>
          <w:color w:val="auto"/>
        </w:rPr>
        <w:t>”), a publicly-held company (formerly OTCBB: EXCA) was incorporated under the laws of the State of Nevada on October 6, 2005. Pursuant to a strategic merger transaction on May 11, 2011, Excaliber acquired all outstanding shares of VistaGen California in exchange for 6,836,452 shares of the Company’s common stock and assumed all of VistaGen California’s pre-Merger obligations (the “</w:t>
      </w:r>
      <w:r>
        <w:rPr>
          <w:rFonts w:ascii="Arial" w:cs="Arial" w:eastAsia="Arial" w:hAnsi="Arial"/>
          <w:sz w:val="12"/>
          <w:szCs w:val="12"/>
          <w:i w:val="1"/>
          <w:iCs w:val="1"/>
          <w:color w:val="auto"/>
        </w:rPr>
        <w:t>Merger</w:t>
      </w:r>
      <w:r>
        <w:rPr>
          <w:rFonts w:ascii="Arial" w:cs="Arial" w:eastAsia="Arial" w:hAnsi="Arial"/>
          <w:sz w:val="12"/>
          <w:szCs w:val="12"/>
          <w:color w:val="auto"/>
        </w:rPr>
        <w:t>”). Shortly after the Merger, Excaliber’s name was changed to “VistaGen Therapeutics, Inc.” (a Nevada corporation).</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the Company recorded no goodwill or other intangible assets. A total of 1,569,000 shares of common stock, representing the shares held by stockholders of Excaliber immediately prior to the Merger and effected for a post-Merger two-for-one (2:1) stock split, have been retroactively reflected as outstanding for all periods presented in the accompanying Consolidated Financial Statements of the Company. Additionally, the accompanying Consolidated Balance Sheets of the Company retroactively reflect the $0.001 par value of Excaliber’s common stock.</w:t>
      </w:r>
    </w:p>
    <w:p>
      <w:pPr>
        <w:spacing w:after="0" w:line="12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 October 2011, the Company’s stockholders amended the Company’s Articles of Incorporation to authorize the Company to issue up to 200 million shares of common stock and up to 10 million shares of preferred stock and to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all of which are held by Platinum Long Term Growth VII, LLC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currently the Company’s largest institutional security holder. Pursuant to the Note Exchange and Purchase Agreement of October 11, 2012, as amended, between the Company and Platinum, Platinum has the right and option to exchange the 500,000 shares of the Company’s Series A Preferred it holds for (i) 15,000,000 restricted shares of the Company’s common stock, and (ii) a five-year warrant to purchase 7,500,000 restricted shares of the Company’s common stock at an exercise price of $0.50 per share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Consolidated Financial Statements of the Company in this Report represent the activity of VistaGen California from May 26, 1998, and the consolidated activity of VistaGen California and Excaliber (now VistaGen Therapeutics, Inc., a Nevada corporation), from May 11, 2011 (the date of the Merger). The Consolidated Financial Statements of the Company included in this Report also include the accounts of VistaGen California’s two wholly-owned subsidiaries, Artemis Neuroscience, Inc., a Maryland corporation (“</w:t>
      </w:r>
      <w:r>
        <w:rPr>
          <w:rFonts w:ascii="Arial" w:cs="Arial" w:eastAsia="Arial" w:hAnsi="Arial"/>
          <w:sz w:val="11"/>
          <w:szCs w:val="11"/>
          <w:i w:val="1"/>
          <w:iCs w:val="1"/>
          <w:color w:val="auto"/>
        </w:rPr>
        <w:t>Artemis</w:t>
      </w:r>
      <w:r>
        <w:rPr>
          <w:rFonts w:ascii="Arial" w:cs="Arial" w:eastAsia="Arial" w:hAnsi="Arial"/>
          <w:sz w:val="11"/>
          <w:szCs w:val="11"/>
          <w:color w:val="auto"/>
        </w:rPr>
        <w:t>”), and VistaStem Canada, Inc., a corporation organized under the laws of Ontario, Canada (“</w:t>
      </w:r>
      <w:r>
        <w:rPr>
          <w:rFonts w:ascii="Arial" w:cs="Arial" w:eastAsia="Arial" w:hAnsi="Arial"/>
          <w:sz w:val="11"/>
          <w:szCs w:val="11"/>
          <w:i w:val="1"/>
          <w:iCs w:val="1"/>
          <w:color w:val="auto"/>
        </w:rPr>
        <w:t>VistaStem Canada</w:t>
      </w:r>
      <w:r>
        <w:rPr>
          <w:rFonts w:ascii="Arial" w:cs="Arial" w:eastAsia="Arial" w:hAnsi="Arial"/>
          <w:sz w:val="11"/>
          <w:szCs w:val="1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Going Concern</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The accompanying Consolidated Financial Statements of the Company have been prepared assuming the Company will continue as a going concern. As a development stage company without sustainable revenues, VistaGen has experienced recurring losses and negative cash flows from operations. From inception through March 31, 2014, VistaGen has a deficit accumulated during its development stage of $70.6 million. The Company expects these conditions to continue for the foreseeable future as it expands its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platform and executes its drug rescue programs and, potentially, regenerative medicine programs.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4" w:name="page125"/>
    <w:bookmarkEnd w:id="12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Since its inception in May 1998 and through March 2014, the Company has financed its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during the same period, the Company has issued equity securities with an approximate aggregate value at issuance of $12.6 million in non-cash settlements of certain liabilities, including liabilities for professional services rendered to the Company or as compensation for such services. At March 31, 2014, the Company did not have sufficient cash or cash equivalents to enable it to fund its operations, including expected cash expenditures of approximately $5 million, through the next twelve months. To meet its cash needs and fund its working capital requirements after March 31, 2014 and prior to a debt or equity-based financing, through July 1, 2014, the Company entered into securities purchase agreements with accredited investors and institutions pursuant to which it sold to such accredited investors units of our securities (“</w:t>
      </w:r>
      <w:r>
        <w:rPr>
          <w:rFonts w:ascii="Arial" w:cs="Arial" w:eastAsia="Arial" w:hAnsi="Arial"/>
          <w:sz w:val="11"/>
          <w:szCs w:val="11"/>
          <w:i w:val="1"/>
          <w:iCs w:val="1"/>
          <w:color w:val="auto"/>
        </w:rPr>
        <w:t>Units</w:t>
      </w:r>
      <w:r>
        <w:rPr>
          <w:rFonts w:ascii="Arial" w:cs="Arial" w:eastAsia="Arial" w:hAnsi="Arial"/>
          <w:sz w:val="11"/>
          <w:szCs w:val="11"/>
          <w:color w:val="auto"/>
        </w:rPr>
        <w:t>”), for aggregate proceeds of $1,465,000, consisting of: (i) 10% subordinate convertible promissory notes in the aggregate face amount of $1,465,000 maturing on March 31, 2015; (ii) an aggregate of 1,465,000 restricted shares of its common stock; and (iii) warrants exercisable through December 31, 2016 to purchase an aggregate of 1,465,000 restricted shares of its common stock at an exercise price of $0.50 per share.</w:t>
      </w:r>
    </w:p>
    <w:p>
      <w:pPr>
        <w:spacing w:after="0" w:line="1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April 2013, the Company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under which Autilion is contractually obligated to purchase an aggregate of 72.0 million restricted shares of the Company’s common stock at a purchase price of $0.50 per share for aggregate cash proceeds to us of $36.0 million (the “</w:t>
      </w:r>
      <w:r>
        <w:rPr>
          <w:rFonts w:ascii="Arial" w:cs="Arial" w:eastAsia="Arial" w:hAnsi="Arial"/>
          <w:sz w:val="12"/>
          <w:szCs w:val="12"/>
          <w:i w:val="1"/>
          <w:iCs w:val="1"/>
          <w:color w:val="auto"/>
        </w:rPr>
        <w:t>Autilion</w:t>
      </w:r>
      <w:r>
        <w:rPr>
          <w:rFonts w:ascii="Arial" w:cs="Arial" w:eastAsia="Arial" w:hAnsi="Arial"/>
          <w:sz w:val="12"/>
          <w:szCs w:val="12"/>
          <w:color w:val="auto"/>
        </w:rPr>
        <w:t xml:space="preserve"> </w:t>
      </w:r>
      <w:r>
        <w:rPr>
          <w:rFonts w:ascii="Arial" w:cs="Arial" w:eastAsia="Arial" w:hAnsi="Arial"/>
          <w:sz w:val="12"/>
          <w:szCs w:val="12"/>
          <w:i w:val="1"/>
          <w:iCs w:val="1"/>
          <w:color w:val="auto"/>
        </w:rPr>
        <w:t>Financing</w:t>
      </w:r>
      <w:r>
        <w:rPr>
          <w:rFonts w:ascii="Arial" w:cs="Arial" w:eastAsia="Arial" w:hAnsi="Arial"/>
          <w:sz w:val="12"/>
          <w:szCs w:val="12"/>
          <w:color w:val="auto"/>
        </w:rPr>
        <w:t>”). To date, Autilion has completed only a nominal closing under the Securities Purchase Agreement. Therefore, Autilion is in default under the Securities Purchase Agreement, and the Company can provide no assurance that</w:t>
      </w:r>
      <w:r>
        <w:rPr>
          <w:rFonts w:ascii="Arial" w:cs="Arial" w:eastAsia="Arial" w:hAnsi="Arial"/>
          <w:sz w:val="12"/>
          <w:szCs w:val="12"/>
          <w:i w:val="1"/>
          <w:iCs w:val="1"/>
          <w:color w:val="auto"/>
        </w:rPr>
        <w:t xml:space="preserve"> </w:t>
      </w:r>
      <w:r>
        <w:rPr>
          <w:rFonts w:ascii="Arial" w:cs="Arial" w:eastAsia="Arial" w:hAnsi="Arial"/>
          <w:sz w:val="12"/>
          <w:szCs w:val="12"/>
          <w:color w:val="auto"/>
        </w:rPr>
        <w:t>Autilion will complete a material closing under the Securities Purchase Agreement. In the event that Autilion does not complete a material portion of the Autilion Financing pursuant to the Securities Purchase Agreement in the near term, the Company will need to obtain from $4.0 million to $6.0 million from alternative financing sources to execute its business plan over the next twelve to fifteen months. Substantial additional financing may not be available to the Company on a timely basis, on acceptable terms, or at all. In the event the Company is unable to obtain substantial additional financing on a timely basis, its business, financial condition, and results of operations may be harmed, the price of its stock may decline, and it may not be able to continue as a going concern.</w:t>
      </w:r>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To meet its working capital needs during the fiscal year ended March 31, 2014, the Company issued an additional Senior Secured Convertible Promissory Note to Platinum, and sold Units consisting of convertible promissory notes, shares of its restricted common stock and warrants to purchase restricted shares of its common stock, to accredited investors in private placements as described more completely in Note 9, </w:t>
      </w:r>
      <w:r>
        <w:rPr>
          <w:rFonts w:ascii="Arial" w:cs="Arial" w:eastAsia="Arial" w:hAnsi="Arial"/>
          <w:sz w:val="12"/>
          <w:szCs w:val="12"/>
          <w:i w:val="1"/>
          <w:iCs w:val="1"/>
          <w:color w:val="auto"/>
        </w:rPr>
        <w:t>Convertible Promissory Notes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Notes Payable</w:t>
      </w:r>
      <w:r>
        <w:rPr>
          <w:rFonts w:ascii="Arial" w:cs="Arial" w:eastAsia="Arial" w:hAnsi="Arial"/>
          <w:sz w:val="12"/>
          <w:szCs w:val="12"/>
          <w:color w:val="auto"/>
        </w:rPr>
        <w:t>, and Note 10</w:t>
      </w:r>
      <w:r>
        <w:rPr>
          <w:rFonts w:ascii="Arial" w:cs="Arial" w:eastAsia="Arial" w:hAnsi="Arial"/>
          <w:sz w:val="12"/>
          <w:szCs w:val="12"/>
          <w:i w:val="1"/>
          <w:iCs w:val="1"/>
          <w:color w:val="auto"/>
        </w:rPr>
        <w:t>, Capital Stock</w:t>
      </w:r>
      <w:r>
        <w:rPr>
          <w:rFonts w:ascii="Arial" w:cs="Arial" w:eastAsia="Arial" w:hAnsi="Arial"/>
          <w:sz w:val="12"/>
          <w:szCs w:val="12"/>
          <w:color w:val="auto"/>
        </w:rPr>
        <w:t>. To provide working capital for operations from March 31, 2014 through the date of this report, the Company completed private placements of its securities to Platinum and other accredited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investors resulting in aggregate cash proceeds of $1,465,000, as described in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To the extent necessary, the Company may also seek to meet its future cash needs and fund its working capital requirements through a combination of additional private placements of its securities, which may include both debt and equity securities, research and development collaborations, license fees, and government grant awards. Alternatively, the Company may seek to raise additional capital through a registered public offering of its securities. In May 2014, the Company filed a Registration Statement on Form S-1 with the Securities and Exchange Commission covering the potential sale of shares of its common stock in a registered public offering. Additionally, the Company believes that its participation in strategic collaborations, including licensing transactions, may provide additional cash in support of its future working capital requirements. If the Company is unable to obtain sufficient financing from the Autilion Financing or alternative sources, it may be required to reduce, defer, or discontinue certain of its research and development activities or it may not be able to continue as a going concern. The consolidated financial statements do not include any adjustments that might result from the outcome of this uncertainty.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5" w:name="page126"/>
    <w:bookmarkEnd w:id="12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preparation of financial statements in conformity with U.S. generally accepted accounting principles (“</w:t>
      </w:r>
      <w:r>
        <w:rPr>
          <w:rFonts w:ascii="Arial" w:cs="Arial" w:eastAsia="Arial" w:hAnsi="Arial"/>
          <w:sz w:val="11"/>
          <w:szCs w:val="11"/>
          <w:i w:val="1"/>
          <w:iCs w:val="1"/>
          <w:color w:val="auto"/>
        </w:rPr>
        <w:t>U.S. GAAP</w:t>
      </w:r>
      <w:r>
        <w:rPr>
          <w:rFonts w:ascii="Arial" w:cs="Arial" w:eastAsia="Arial" w:hAnsi="Arial"/>
          <w:sz w:val="11"/>
          <w:szCs w:val="11"/>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accompanying consolidated financial statements include the Company’s accounts, and the accounts of VistaGen California’s wholly-owned inactive subsidiaries, Artemis Neurosciences and VistaStem Canada.</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Cash and cash equivalents are considered to be highly liquid investments with maturities of three months or less at the date of purchase.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or Disposal of Long-Lived Assets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evaluates its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the Company records an impairment loss in the amount by which the carrying value of the assets exceeds their fair value. If the assets are determined to be recoverable, but the useful lives are shorter than originally estimated, the Company depreciates or amortizes the net book value of the assets over the newly determined remaining useful lives. The Company has not recorded any impairment charges to date.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Although the Company does not currently have any such arrangements, it has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2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recognizes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the Company complies with the above revenue recognition criteria in the following manner: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6" w:name="page127"/>
    <w:bookmarkEnd w:id="12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222" w:lineRule="exact"/>
        <w:rPr>
          <w:sz w:val="20"/>
          <w:szCs w:val="20"/>
          <w:color w:val="auto"/>
        </w:rPr>
      </w:pPr>
    </w:p>
    <w:p>
      <w:pPr>
        <w:jc w:val="both"/>
        <w:ind w:left="680"/>
        <w:spacing w:after="0" w:line="281" w:lineRule="auto"/>
        <w:rPr>
          <w:sz w:val="20"/>
          <w:szCs w:val="20"/>
          <w:color w:val="auto"/>
        </w:rPr>
      </w:pPr>
      <w:r>
        <w:rPr>
          <w:rFonts w:ascii="Arial" w:cs="Arial" w:eastAsia="Arial" w:hAnsi="Arial"/>
          <w:sz w:val="11"/>
          <w:szCs w:val="11"/>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jc w:val="both"/>
        <w:ind w:left="680"/>
        <w:spacing w:after="0" w:line="254" w:lineRule="auto"/>
        <w:rPr>
          <w:sz w:val="20"/>
          <w:szCs w:val="20"/>
          <w:color w:val="auto"/>
        </w:rPr>
      </w:pPr>
      <w:r>
        <w:rPr>
          <w:rFonts w:ascii="Arial" w:cs="Arial" w:eastAsia="Arial" w:hAnsi="Arial"/>
          <w:sz w:val="12"/>
          <w:szCs w:val="12"/>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 and, in the case of development and/or regulatory milestone payments, when the applicable event triggering such a payment has occurred.</w:t>
      </w:r>
    </w:p>
    <w:p>
      <w:pPr>
        <w:spacing w:after="0" w:line="272" w:lineRule="exact"/>
        <w:rPr>
          <w:sz w:val="20"/>
          <w:szCs w:val="20"/>
          <w:color w:val="auto"/>
        </w:rPr>
      </w:pPr>
    </w:p>
    <w:p>
      <w:pPr>
        <w:ind w:left="680" w:right="20" w:hanging="377"/>
        <w:spacing w:after="0" w:line="276" w:lineRule="auto"/>
        <w:tabs>
          <w:tab w:leader="none" w:pos="6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68"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 xml:space="preserve">Research and development expenses include internal and external costs. Internal costs include salaries and employment related expenses of the Company’s internal scientific personnel and direct project costs. External research and development expenses consist of sponsored stem cell research and development costs, costs associated with non-clinical and clinical drug rescue and development activities, including development of AV-101, the Company’s drug development candidate which has successfully completed Phase 1 development, and costs related to protection of the Company’s intellectual property, including, but not limited to, application and prosecution of patents related to the Company’s stem cell technology platform,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and AV-101. All such research and development costs are charged to expense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recognizes compensation cost for all stock-based awards to employees in its financial statements based on their grant date fair value. Stock-based compensation expense is recognized over the period during which the employee is required to perform service in exchange for the award, which generally represents the scheduled vesting period of options and warrants to purchase shares of the Company’s common stock. The Company has no awards with market or performance conditions. For stock-based awards to non-employees, the Company re-measures the fair value of such awards as they vest and the resulting value is recognized as an expense during the period over which applicable services are performed by the recipient.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Company accounts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7" w:name="page128"/>
    <w:bookmarkEnd w:id="12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68"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Financial instruments, which potentially subject the Company to concentrations of credit risk, consist principally of cash and cash equivalents. The Company’s investment policies limit any such investments to short-term, low-risk investments. The Company deposits cash and cash equivalents with quality financial institutions and is insured to the maximum of federal limitations. Balances in these accounts may exceed federally insured limits at times.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 Liability</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The Company has issued certain warrants to Platinum and, subject to Platinum’s exercise of its rights to exchange shares of the Company’s Series A Preferred that it holds, the Company is also obligated to issue an additional warrant to Platinum, that contain an exercise price adjustment feature in the event the Company subsequently issues additional equity instruments at a price lower than the exercise price of the warrants. The Company accounts for these warrants as non-cash liabilities and estimates their fair value 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and Note 10</w:t>
      </w:r>
      <w:r>
        <w:rPr>
          <w:rFonts w:ascii="Arial" w:cs="Arial" w:eastAsia="Arial" w:hAnsi="Arial"/>
          <w:sz w:val="11"/>
          <w:szCs w:val="11"/>
          <w:i w:val="1"/>
          <w:iCs w:val="1"/>
          <w:color w:val="auto"/>
        </w:rPr>
        <w:t>, Capital Stock</w:t>
      </w:r>
      <w:r>
        <w:rPr>
          <w:rFonts w:ascii="Arial" w:cs="Arial" w:eastAsia="Arial" w:hAnsi="Arial"/>
          <w:sz w:val="11"/>
          <w:szCs w:val="11"/>
          <w:color w:val="auto"/>
        </w:rPr>
        <w:t>. The Company computes the fair value of the warrant liability at each reporting period and the change in the fair value is recorded as non-cash expense or non-cash income. The key component in determining the fair value of the warrant and the related liability is the Company‘s stock price, which is subject to significant fluctuation and is not under the Company’s control. The resulting change in the fair value of the warrant liability on the Company’s net income or loss is therefore also subject to significant fluctuation and will continue to be so until all of the warrants are issued and exercised, amended or expire. Assuming all other fair value inputs remain generally constant, the Company will record an increase in the warrant liability and non-cash expense when its stock price increases and a decrease in the warrant liability and non-cash income when its stock price decreases.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Comprehensive Loss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no components of other comprehensive loss other than net loss, and accordingly the Company’s comprehensive loss is equivalent to its net loss for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per Common Share</w:t>
      </w:r>
    </w:p>
    <w:p>
      <w:pPr>
        <w:spacing w:after="0" w:line="168" w:lineRule="exact"/>
        <w:rPr>
          <w:sz w:val="20"/>
          <w:szCs w:val="20"/>
          <w:color w:val="auto"/>
        </w:rPr>
      </w:pPr>
    </w:p>
    <w:p>
      <w:pPr>
        <w:jc w:val="both"/>
        <w:ind w:right="20" w:firstLine="432"/>
        <w:spacing w:after="0" w:line="310" w:lineRule="auto"/>
        <w:rPr>
          <w:sz w:val="20"/>
          <w:szCs w:val="20"/>
          <w:color w:val="auto"/>
        </w:rPr>
      </w:pPr>
      <w:r>
        <w:rPr>
          <w:rFonts w:ascii="Arial" w:cs="Arial" w:eastAsia="Arial" w:hAnsi="Arial"/>
          <w:sz w:val="10"/>
          <w:szCs w:val="10"/>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w:t>
      </w:r>
    </w:p>
    <w:p>
      <w:pPr>
        <w:jc w:val="both"/>
        <w:spacing w:after="0" w:line="290" w:lineRule="auto"/>
        <w:rPr>
          <w:sz w:val="20"/>
          <w:szCs w:val="20"/>
          <w:color w:val="auto"/>
        </w:rPr>
      </w:pPr>
      <w:r>
        <w:rPr>
          <w:rFonts w:ascii="Arial" w:cs="Arial" w:eastAsia="Arial" w:hAnsi="Arial"/>
          <w:sz w:val="11"/>
          <w:szCs w:val="11"/>
          <w:color w:val="auto"/>
        </w:rPr>
        <w:t>(loss) per share, the Company adjusts the numerator for the change in the fair value of the warrant liability attributable to outstanding warrants, only if dilutive, and increases the denominator to include the number of potentially dilutive common shares assumed to be outstanding during the period using the treasury stock method. As a result of the Company’s net loss for both periods presented, potentially dilutive securities were excluded from the computation, as their effect would be antidilutive. Additionally, no potentially dilutive securities were assumed to be converted into common shares and outstanding during either period for purposes of calculating diluted earnings per share.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26"/>
        </w:trPr>
        <w:tc>
          <w:tcPr>
            <w:tcW w:w="8840" w:type="dxa"/>
            <w:vAlign w:val="bottom"/>
            <w:gridSpan w:val="4"/>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Basic and diluted net loss attributable to common stockholders per share was computed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Years Ended March 31,</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Numerator: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attributable to common stockholders for basic earnings per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less: change in fair value of warrant liability attributable to Exchange,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Investment and July 2013 Warrants issued to Platinum</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(1,219,500)</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for diluted earnings per share attributable to common stockholders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(4,187,200)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gridSpan w:val="2"/>
          </w:tcPr>
          <w:p>
            <w:pPr>
              <w:spacing w:after="0"/>
              <w:rPr>
                <w:sz w:val="10"/>
                <w:szCs w:val="10"/>
                <w:color w:val="auto"/>
              </w:rPr>
            </w:pPr>
          </w:p>
        </w:tc>
        <w:tc>
          <w:tcPr>
            <w:tcW w:w="8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Denominator: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Weighted average basic common shares outstanding</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Assumed conversion of dilutive securities: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ind w:left="400"/>
              <w:spacing w:after="0"/>
              <w:rPr>
                <w:sz w:val="20"/>
                <w:szCs w:val="20"/>
                <w:color w:val="auto"/>
              </w:rPr>
            </w:pPr>
            <w:r>
              <w:rPr>
                <w:rFonts w:ascii="Arial" w:cs="Arial" w:eastAsia="Arial" w:hAnsi="Arial"/>
                <w:sz w:val="12"/>
                <w:szCs w:val="12"/>
                <w:color w:val="auto"/>
              </w:rPr>
              <w:t>Warrants to purchase common stock</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7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2"/>
                <w:szCs w:val="12"/>
                <w:color w:val="auto"/>
              </w:rPr>
              <w:t>Potentially dilutive common shares assumed converted</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Denominator for diluted earnings per share - adjusted</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ind w:left="420"/>
              <w:spacing w:after="0"/>
              <w:rPr>
                <w:sz w:val="20"/>
                <w:szCs w:val="20"/>
                <w:color w:val="auto"/>
              </w:rPr>
            </w:pPr>
            <w:r>
              <w:rPr>
                <w:rFonts w:ascii="Arial" w:cs="Arial" w:eastAsia="Arial" w:hAnsi="Arial"/>
                <w:sz w:val="12"/>
                <w:szCs w:val="12"/>
                <w:color w:val="auto"/>
              </w:rPr>
              <w:t>weighted average shares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(0.14)</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gridSpan w:val="2"/>
          </w:tcPr>
          <w:p>
            <w:pPr>
              <w:spacing w:after="0"/>
              <w:rPr>
                <w:sz w:val="10"/>
                <w:szCs w:val="10"/>
                <w:color w:val="auto"/>
              </w:rPr>
            </w:pPr>
          </w:p>
        </w:tc>
        <w:tc>
          <w:tcPr>
            <w:tcW w:w="8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(0.19)</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Potentially dilutive securities excluded in determining diluted net loss per common share for the fiscal years ended March 31, 2014 and 2013 are as follows:</w:t>
            </w:r>
          </w:p>
        </w:tc>
        <w:tc>
          <w:tcPr>
            <w:tcW w:w="260" w:type="dxa"/>
            <w:vAlign w:val="bottom"/>
          </w:tcPr>
          <w:p>
            <w:pPr>
              <w:spacing w:after="0"/>
              <w:rPr>
                <w:sz w:val="24"/>
                <w:szCs w:val="24"/>
                <w:color w:val="auto"/>
              </w:rPr>
            </w:pPr>
          </w:p>
        </w:tc>
        <w:tc>
          <w:tcPr>
            <w:tcW w:w="2380" w:type="dxa"/>
            <w:vAlign w:val="bottom"/>
            <w:gridSpan w:val="5"/>
            <w:vMerge w:val="restart"/>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w w:val="92"/>
              </w:rPr>
              <w:t>Warrant shares issuable to Platinum upon exercise of common stock warrants by Platinum upon exchange of Series A preferred stock under the terms of the October 11, 2012 Note</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Purchase and Exchange Agreement</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4,249,271</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warrants to purchase common stock</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17,095,633</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14,660,335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w w:val="93"/>
              </w:rPr>
              <w:t xml:space="preserve">10% convertible Exchange Note and Investment Notes issued to Platinum in October 2012, February 2013 and March 2013, including accrued interest through March 31, 2014 </w:t>
            </w:r>
            <w:r>
              <w:rPr>
                <w:rFonts w:ascii="Arial" w:cs="Arial" w:eastAsia="Arial" w:hAnsi="Arial"/>
                <w:sz w:val="16"/>
                <w:szCs w:val="16"/>
                <w:color w:val="auto"/>
                <w:w w:val="93"/>
                <w:vertAlign w:val="superscript"/>
              </w:rPr>
              <w:t>(2)</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7,495,957</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6,775,682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 convertible note issued to Platinum on July 26, 2013, including accrued interest through March 31, 2014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535,506</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10% convertible notes issued as a component of Unit Private Placements, including accrued interest through March 31, 2014</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2,186,811</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54,063,178</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48,848,621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40" w:type="dxa"/>
            <w:vAlign w:val="bottom"/>
            <w:tcBorders>
              <w:top w:val="single" w:sz="8" w:color="CCEEFF"/>
            </w:tcBorders>
            <w:gridSpan w:val="2"/>
          </w:tcPr>
          <w:p>
            <w:pPr>
              <w:spacing w:after="0" w:line="111" w:lineRule="exact"/>
              <w:rPr>
                <w:sz w:val="20"/>
                <w:szCs w:val="20"/>
                <w:color w:val="auto"/>
              </w:rPr>
            </w:pPr>
            <w:r>
              <w:rPr>
                <w:rFonts w:ascii="Arial" w:cs="Arial" w:eastAsia="Arial" w:hAnsi="Arial"/>
                <w:sz w:val="12"/>
                <w:szCs w:val="12"/>
                <w:color w:val="auto"/>
                <w:w w:val="89"/>
              </w:rPr>
              <w:t>____________</w:t>
            </w:r>
          </w:p>
        </w:tc>
        <w:tc>
          <w:tcPr>
            <w:tcW w:w="808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20" w:type="dxa"/>
            <w:vAlign w:val="bottom"/>
            <w:gridSpan w:val="2"/>
          </w:tcPr>
          <w:p>
            <w:pPr>
              <w:spacing w:after="0"/>
              <w:rPr>
                <w:sz w:val="20"/>
                <w:szCs w:val="20"/>
                <w:color w:val="auto"/>
              </w:rPr>
            </w:pPr>
            <w:r>
              <w:rPr>
                <w:rFonts w:ascii="Arial" w:cs="Arial" w:eastAsia="Arial" w:hAnsi="Arial"/>
                <w:sz w:val="8"/>
                <w:szCs w:val="8"/>
                <w:color w:val="auto"/>
              </w:rPr>
              <w:t>(1)</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exchange under the terms of the October 11, 2012 Note Exchange and Purchase Agreement with Platinum</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0" w:type="dxa"/>
            <w:vAlign w:val="bottom"/>
            <w:gridSpan w:val="2"/>
          </w:tcPr>
          <w:p>
            <w:pPr>
              <w:spacing w:after="0"/>
              <w:rPr>
                <w:sz w:val="20"/>
                <w:szCs w:val="20"/>
                <w:color w:val="auto"/>
              </w:rPr>
            </w:pPr>
            <w:r>
              <w:rPr>
                <w:rFonts w:ascii="Arial" w:cs="Arial" w:eastAsia="Arial" w:hAnsi="Arial"/>
                <w:sz w:val="8"/>
                <w:szCs w:val="8"/>
                <w:color w:val="auto"/>
              </w:rPr>
              <w:t>(2)</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conversion under the terms of the October 11, 2012 Note Exchange and Purchase Agreement with Platinum and the terms of the individual notes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80" w:type="dxa"/>
            <w:vAlign w:val="bottom"/>
          </w:tcPr>
          <w:p>
            <w:pPr>
              <w:ind w:left="4860"/>
              <w:spacing w:after="0"/>
              <w:rPr>
                <w:sz w:val="20"/>
                <w:szCs w:val="20"/>
                <w:color w:val="auto"/>
              </w:rPr>
            </w:pPr>
            <w:r>
              <w:rPr>
                <w:rFonts w:ascii="Arial" w:cs="Arial" w:eastAsia="Arial" w:hAnsi="Arial"/>
                <w:sz w:val="12"/>
                <w:szCs w:val="12"/>
                <w:color w:val="auto"/>
              </w:rPr>
              <w:t>F-16</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80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9" w:name="page130"/>
    <w:bookmarkEnd w:id="12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In May 2014, the Financial Accounting Standards Board (“</w:t>
      </w:r>
      <w:r>
        <w:rPr>
          <w:rFonts w:ascii="Arial" w:cs="Arial" w:eastAsia="Arial" w:hAnsi="Arial"/>
          <w:sz w:val="12"/>
          <w:szCs w:val="12"/>
          <w:i w:val="1"/>
          <w:i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i w:val="1"/>
          <w:iCs w:val="1"/>
          <w:color w:val="auto"/>
        </w:rPr>
        <w:t>ASU</w:t>
      </w:r>
      <w:r>
        <w:rPr>
          <w:rFonts w:ascii="Arial" w:cs="Arial" w:eastAsia="Arial" w:hAnsi="Arial"/>
          <w:sz w:val="12"/>
          <w:szCs w:val="12"/>
          <w:color w:val="auto"/>
        </w:rPr>
        <w:t xml:space="preserve">”)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which supersedes the revenue recognition requirements in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will be the first annual period beginning after December 15, 2016, using one of two retrospective application methods. The Company is currently evaluating the impact on its Consolidated Financial Statements of adopting this ASU.</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 xml:space="preserve">In June 2014, the FASB issued ASU No. 2014-10, </w:t>
      </w:r>
      <w:r>
        <w:rPr>
          <w:rFonts w:ascii="Arial" w:cs="Arial" w:eastAsia="Arial" w:hAnsi="Arial"/>
          <w:sz w:val="12"/>
          <w:szCs w:val="12"/>
          <w:i w:val="1"/>
          <w:iCs w:val="1"/>
          <w:color w:val="auto"/>
        </w:rPr>
        <w:t>Development Stage Entities (Topic 915): Elimination of Certain Financial Reporting Requirements, Including an Amendment to Variable Interest Entities Guidance in Topic 810,</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Consolidation</w:t>
      </w:r>
      <w:r>
        <w:rPr>
          <w:rFonts w:ascii="Arial" w:cs="Arial" w:eastAsia="Arial" w:hAnsi="Arial"/>
          <w:sz w:val="12"/>
          <w:szCs w:val="12"/>
          <w:color w:val="auto"/>
        </w:rPr>
        <w:t>. The amendments in this ASU remove all incremental financial reporting requirements for development stage entities. Among other changes, this ASU will no longer require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The Company’s adoption of this ASU will result in the elimination of the inception-to-date information currently included in its Consolidated Statements of Operations and Comprehensive Loss, Cash Flows and Stockholders’ Deficit effective with the fiscal year beginning in April 2015.</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Fair Value Measurements</w:t>
      </w:r>
    </w:p>
    <w:p>
      <w:pPr>
        <w:spacing w:after="0" w:line="17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12" w:lineRule="exact"/>
        <w:rPr>
          <w:sz w:val="20"/>
          <w:szCs w:val="20"/>
          <w:color w:val="auto"/>
        </w:rPr>
      </w:pPr>
    </w:p>
    <w:p>
      <w:pPr>
        <w:ind w:left="680" w:hanging="382"/>
        <w:spacing w:after="0"/>
        <w:tabs>
          <w:tab w:leader="none" w:pos="680" w:val="left"/>
        </w:tabs>
        <w:numPr>
          <w:ilvl w:val="1"/>
          <w:numId w:val="66"/>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660" w:right="20" w:hanging="371"/>
        <w:spacing w:after="0" w:line="276" w:lineRule="auto"/>
        <w:tabs>
          <w:tab w:leader="none" w:pos="660" w:val="left"/>
        </w:tabs>
        <w:numPr>
          <w:ilvl w:val="1"/>
          <w:numId w:val="66"/>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 can</w:t>
      </w:r>
      <w:r>
        <w:rPr>
          <w:rFonts w:ascii="Arial" w:cs="Arial" w:eastAsia="Arial" w:hAnsi="Arial"/>
          <w:sz w:val="12"/>
          <w:szCs w:val="12"/>
          <w:i w:val="1"/>
          <w:iCs w:val="1"/>
          <w:color w:val="auto"/>
        </w:rPr>
        <w:t xml:space="preserve"> </w:t>
      </w:r>
      <w:r>
        <w:rPr>
          <w:rFonts w:ascii="Arial" w:cs="Arial" w:eastAsia="Arial" w:hAnsi="Arial"/>
          <w:sz w:val="12"/>
          <w:szCs w:val="12"/>
          <w:color w:val="auto"/>
        </w:rPr>
        <w:t>be 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640" w:right="20" w:hanging="355"/>
        <w:spacing w:after="0" w:line="276"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 little</w:t>
      </w:r>
      <w:r>
        <w:rPr>
          <w:rFonts w:ascii="Arial" w:cs="Arial" w:eastAsia="Arial" w:hAnsi="Arial"/>
          <w:sz w:val="12"/>
          <w:szCs w:val="12"/>
          <w:i w:val="1"/>
          <w:iCs w:val="1"/>
          <w:color w:val="auto"/>
        </w:rPr>
        <w:t xml:space="preserve"> </w:t>
      </w:r>
      <w:r>
        <w:rPr>
          <w:rFonts w:ascii="Arial" w:cs="Arial" w:eastAsia="Arial" w:hAnsi="Arial"/>
          <w:sz w:val="12"/>
          <w:szCs w:val="12"/>
          <w:color w:val="auto"/>
        </w:rPr>
        <w:t>or no market data is available. The fair value hierarchy gives the lowest priority to Level 3 inputs.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0" w:name="page131"/>
    <w:bookmarkEnd w:id="13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1"/>
          <w:szCs w:val="11"/>
          <w:color w:val="auto"/>
        </w:rPr>
        <w:t xml:space="preserve">The Company does not use derivative instruments for hedging of market risks or for trading or speculative purposes. In conjunction with the Senior Secured Convertible Promissory Notes and related Exchange Warrant and Investment Warrants issued to Platinum in October 2012, February 2013 and March 2013 (see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xml:space="preserve">), and the potential issuance of the Series A Exchange Warrant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all pursuant to the October 2012 Agreement, and the Senior Secured Convertible Promissory Note and related warrant issued to Platinum in July 2013, the Company determined that the warrants included certain exercise</w:t>
      </w:r>
      <w:r>
        <w:rPr>
          <w:rFonts w:ascii="Arial" w:cs="Arial" w:eastAsia="Arial" w:hAnsi="Arial"/>
          <w:sz w:val="11"/>
          <w:szCs w:val="11"/>
          <w:i w:val="1"/>
          <w:iCs w:val="1"/>
          <w:color w:val="auto"/>
        </w:rPr>
        <w:t xml:space="preserve"> </w:t>
      </w:r>
      <w:r>
        <w:rPr>
          <w:rFonts w:ascii="Arial" w:cs="Arial" w:eastAsia="Arial" w:hAnsi="Arial"/>
          <w:sz w:val="11"/>
          <w:szCs w:val="11"/>
          <w:color w:val="auto"/>
        </w:rPr>
        <w:t>price adjustment features requiring the warrants to be treated as liabilities, which were recorded at their estimated fair value. The Company determined the fair value of the warrant liability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2014 and 2013.</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fair value hierarchy for liabilities measured at fair value on a recurring basis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rPr>
              <w:t>Fair Value Measurements at Reporting Date Using</w:t>
            </w: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3"/>
          </w:tcPr>
          <w:p>
            <w:pPr>
              <w:jc w:val="center"/>
              <w:ind w:right="220"/>
              <w:spacing w:after="0" w:line="129" w:lineRule="exact"/>
              <w:rPr>
                <w:sz w:val="20"/>
                <w:szCs w:val="20"/>
                <w:color w:val="auto"/>
              </w:rPr>
            </w:pPr>
            <w:r>
              <w:rPr>
                <w:rFonts w:ascii="Arial" w:cs="Arial" w:eastAsia="Arial" w:hAnsi="Arial"/>
                <w:sz w:val="12"/>
                <w:szCs w:val="12"/>
                <w:b w:val="1"/>
                <w:bCs w:val="1"/>
                <w:color w:val="auto"/>
                <w:w w:val="92"/>
              </w:rPr>
              <w:t>Quoted Prices inActive Markets</w:t>
            </w:r>
          </w:p>
        </w:tc>
        <w:tc>
          <w:tcPr>
            <w:tcW w:w="15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Significant Other Observable</w:t>
            </w:r>
          </w:p>
        </w:tc>
        <w:tc>
          <w:tcPr>
            <w:tcW w:w="260" w:type="dxa"/>
            <w:vAlign w:val="bottom"/>
          </w:tcPr>
          <w:p>
            <w:pPr>
              <w:spacing w:after="0"/>
              <w:rPr>
                <w:sz w:val="11"/>
                <w:szCs w:val="11"/>
                <w:color w:val="auto"/>
              </w:rPr>
            </w:pPr>
          </w:p>
        </w:tc>
        <w:tc>
          <w:tcPr>
            <w:tcW w:w="1520" w:type="dxa"/>
            <w:vAlign w:val="bottom"/>
            <w:gridSpan w:val="4"/>
          </w:tcPr>
          <w:p>
            <w:pPr>
              <w:jc w:val="center"/>
              <w:ind w:right="40"/>
              <w:spacing w:after="0" w:line="129" w:lineRule="exact"/>
              <w:rPr>
                <w:sz w:val="20"/>
                <w:szCs w:val="20"/>
                <w:color w:val="auto"/>
              </w:rPr>
            </w:pPr>
            <w:r>
              <w:rPr>
                <w:rFonts w:ascii="Arial" w:cs="Arial" w:eastAsia="Arial" w:hAnsi="Arial"/>
                <w:sz w:val="12"/>
                <w:szCs w:val="12"/>
                <w:b w:val="1"/>
                <w:bCs w:val="1"/>
                <w:color w:val="auto"/>
                <w:w w:val="88"/>
              </w:rPr>
              <w:t>Significant Unobservable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9"/>
              </w:rPr>
              <w:t>forIdentical Assets</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88"/>
              </w:rPr>
              <w:t>Inputs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8"/>
              </w:rPr>
              <w:t>Inputs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3"/>
          </w:tcPr>
          <w:p>
            <w:pPr>
              <w:ind w:left="260"/>
              <w:spacing w:after="0"/>
              <w:rPr>
                <w:sz w:val="20"/>
                <w:szCs w:val="20"/>
                <w:color w:val="auto"/>
              </w:rPr>
            </w:pPr>
            <w:r>
              <w:rPr>
                <w:rFonts w:ascii="Arial" w:cs="Arial" w:eastAsia="Arial" w:hAnsi="Arial"/>
                <w:sz w:val="12"/>
                <w:szCs w:val="12"/>
                <w:b w:val="1"/>
                <w:bCs w:val="1"/>
                <w:color w:val="auto"/>
              </w:rPr>
              <w:t>Total Carrying Value</w:t>
            </w:r>
          </w:p>
        </w:tc>
        <w:tc>
          <w:tcPr>
            <w:tcW w:w="36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4"/>
              </w:rPr>
              <w:t>(Level 1)</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90"/>
              </w:rPr>
              <w:t>(Level 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(Level 3)</w:t>
            </w:r>
          </w:p>
        </w:tc>
        <w:tc>
          <w:tcPr>
            <w:tcW w:w="0" w:type="dxa"/>
            <w:vAlign w:val="bottom"/>
          </w:tcPr>
          <w:p>
            <w:pPr>
              <w:spacing w:after="0"/>
              <w:rPr>
                <w:sz w:val="1"/>
                <w:szCs w:val="1"/>
                <w:color w:val="auto"/>
              </w:rPr>
            </w:pPr>
          </w:p>
        </w:tc>
      </w:tr>
      <w:tr>
        <w:trPr>
          <w:trHeight w:val="151"/>
        </w:trPr>
        <w:tc>
          <w:tcPr>
            <w:tcW w:w="3140" w:type="dxa"/>
            <w:vAlign w:val="bottom"/>
            <w:gridSpan w:val="2"/>
          </w:tcPr>
          <w:p>
            <w:pPr>
              <w:spacing w:after="0"/>
              <w:rPr>
                <w:sz w:val="20"/>
                <w:szCs w:val="20"/>
                <w:color w:val="auto"/>
              </w:rPr>
            </w:pPr>
            <w:r>
              <w:rPr>
                <w:rFonts w:ascii="Arial" w:cs="Arial" w:eastAsia="Arial" w:hAnsi="Arial"/>
                <w:sz w:val="12"/>
                <w:szCs w:val="12"/>
                <w:color w:val="auto"/>
              </w:rPr>
              <w:t>March 31, 2014:</w:t>
            </w:r>
          </w:p>
        </w:tc>
        <w:tc>
          <w:tcPr>
            <w:tcW w:w="12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2280" w:type="dxa"/>
            <w:vAlign w:val="bottom"/>
            <w:gridSpan w:val="2"/>
            <w:shd w:val="clear" w:color="auto" w:fill="CCEEFF"/>
          </w:tcPr>
          <w:p>
            <w:pPr>
              <w:jc w:val="right"/>
              <w:ind w:right="945"/>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2,973,900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2,973,900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20" w:type="dxa"/>
            <w:vAlign w:val="bottom"/>
            <w:tcBorders>
              <w:top w:val="single" w:sz="8" w:color="CCEEFF"/>
            </w:tcBorders>
          </w:tcPr>
          <w:p>
            <w:pPr>
              <w:spacing w:after="0" w:line="120" w:lineRule="exact"/>
              <w:rPr>
                <w:sz w:val="20"/>
                <w:szCs w:val="20"/>
                <w:color w:val="auto"/>
              </w:rPr>
            </w:pPr>
            <w:r>
              <w:rPr>
                <w:rFonts w:ascii="Arial" w:cs="Arial" w:eastAsia="Arial" w:hAnsi="Arial"/>
                <w:sz w:val="12"/>
                <w:szCs w:val="12"/>
                <w:color w:val="auto"/>
              </w:rPr>
              <w:t>March 31, 2013:</w:t>
            </w:r>
          </w:p>
        </w:tc>
        <w:tc>
          <w:tcPr>
            <w:tcW w:w="1220" w:type="dxa"/>
            <w:vAlign w:val="bottom"/>
            <w:tcBorders>
              <w:top w:val="single" w:sz="8" w:color="CCEEFF"/>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1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6,394,000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6,394,000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80" w:type="dxa"/>
            <w:vAlign w:val="bottom"/>
            <w:gridSpan w:val="9"/>
          </w:tcPr>
          <w:p>
            <w:pPr>
              <w:ind w:left="300"/>
              <w:spacing w:after="0"/>
              <w:rPr>
                <w:sz w:val="20"/>
                <w:szCs w:val="20"/>
                <w:color w:val="auto"/>
              </w:rPr>
            </w:pPr>
            <w:r>
              <w:rPr>
                <w:rFonts w:ascii="Arial" w:cs="Arial" w:eastAsia="Arial" w:hAnsi="Arial"/>
                <w:sz w:val="12"/>
                <w:szCs w:val="12"/>
                <w:color w:val="auto"/>
                <w:w w:val="91"/>
              </w:rPr>
              <w:t>During the fiscal years ended March 31, 2014 and 2013, there were no significant changes to the valuation models used for purposes of determining the fair value of the Level 3 warrant liability.</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400" w:type="dxa"/>
            <w:vAlign w:val="bottom"/>
            <w:gridSpan w:val="3"/>
          </w:tcPr>
          <w:p>
            <w:pPr>
              <w:ind w:left="300"/>
              <w:spacing w:after="0"/>
              <w:rPr>
                <w:sz w:val="20"/>
                <w:szCs w:val="20"/>
                <w:color w:val="auto"/>
              </w:rPr>
            </w:pPr>
            <w:r>
              <w:rPr>
                <w:rFonts w:ascii="Arial" w:cs="Arial" w:eastAsia="Arial" w:hAnsi="Arial"/>
                <w:sz w:val="12"/>
                <w:szCs w:val="12"/>
                <w:color w:val="auto"/>
              </w:rPr>
              <w:t>The changes in Level 3 liabilities measured at fair value on a recurring basis are as follows: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Warrant Liability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2012</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0" w:type="dxa"/>
            <w:vAlign w:val="bottom"/>
            <w:gridSpan w:val="5"/>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00" w:type="dxa"/>
            <w:vAlign w:val="bottom"/>
            <w:gridSpan w:val="5"/>
            <w:shd w:val="clear" w:color="auto" w:fill="CCEEFF"/>
          </w:tcPr>
          <w:p>
            <w:pPr>
              <w:spacing w:after="0"/>
              <w:rPr>
                <w:sz w:val="20"/>
                <w:szCs w:val="20"/>
                <w:color w:val="auto"/>
              </w:rPr>
            </w:pPr>
            <w:r>
              <w:rPr>
                <w:rFonts w:ascii="Arial" w:cs="Arial" w:eastAsia="Arial" w:hAnsi="Arial"/>
                <w:sz w:val="12"/>
                <w:szCs w:val="12"/>
                <w:color w:val="auto"/>
                <w:w w:val="90"/>
              </w:rPr>
              <w:t>Recognition of warrant liability upon issuance of Exchange and Investment Warrants to Platinum under October 2012 Agreement</w:t>
            </w: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20" w:type="dxa"/>
            <w:vAlign w:val="bottom"/>
            <w:gridSpan w:val="8"/>
          </w:tcPr>
          <w:p>
            <w:pPr>
              <w:spacing w:after="0"/>
              <w:rPr>
                <w:sz w:val="20"/>
                <w:szCs w:val="20"/>
                <w:color w:val="auto"/>
              </w:rPr>
            </w:pPr>
            <w:r>
              <w:rPr>
                <w:rFonts w:ascii="Arial" w:cs="Arial" w:eastAsia="Arial" w:hAnsi="Arial"/>
                <w:sz w:val="12"/>
                <w:szCs w:val="12"/>
                <w:color w:val="auto"/>
              </w:rPr>
              <w:t>Recognition of warrant liability in connection with Series A Exchange Warrant potentially issuable to Platinum under October 2012 Agreement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Mark to market loss included in net loss</w:t>
            </w:r>
          </w:p>
        </w:tc>
        <w:tc>
          <w:tcPr>
            <w:tcW w:w="12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left w:val="single" w:sz="8" w:color="CCEEFF"/>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2013</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560" w:type="dxa"/>
            <w:vAlign w:val="bottom"/>
            <w:gridSpan w:val="6"/>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560" w:type="dxa"/>
            <w:vAlign w:val="bottom"/>
            <w:gridSpan w:val="6"/>
            <w:shd w:val="clear" w:color="auto" w:fill="CCEEFF"/>
          </w:tcPr>
          <w:p>
            <w:pPr>
              <w:spacing w:after="0"/>
              <w:rPr>
                <w:sz w:val="20"/>
                <w:szCs w:val="20"/>
                <w:color w:val="auto"/>
              </w:rPr>
            </w:pPr>
            <w:r>
              <w:rPr>
                <w:rFonts w:ascii="Arial" w:cs="Arial" w:eastAsia="Arial" w:hAnsi="Arial"/>
                <w:sz w:val="12"/>
                <w:szCs w:val="12"/>
                <w:color w:val="auto"/>
                <w:w w:val="91"/>
              </w:rPr>
              <w:t>Recognition of warrant liability upon issuance of Senior Secured Convertible Promissory Note and warrant to Platinum on July 26, 2013</w:t>
            </w: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Mark to market gain included in net loss</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(3,566,900)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Balance at March 31, 2014</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gridSpan w:val="3"/>
            <w:vMerge w:val="restart"/>
          </w:tcPr>
          <w:p>
            <w:pPr>
              <w:ind w:left="300"/>
              <w:spacing w:after="0"/>
              <w:rPr>
                <w:sz w:val="20"/>
                <w:szCs w:val="20"/>
                <w:color w:val="auto"/>
              </w:rPr>
            </w:pPr>
            <w:r>
              <w:rPr>
                <w:rFonts w:ascii="Arial" w:cs="Arial" w:eastAsia="Arial" w:hAnsi="Arial"/>
                <w:sz w:val="12"/>
                <w:szCs w:val="12"/>
                <w:color w:val="auto"/>
                <w:w w:val="91"/>
              </w:rPr>
              <w:t>No assets or other liabilities were measured on a recurring basis at fair value at March 31, 2014 or 2013.</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400" w:type="dxa"/>
            <w:vAlign w:val="bottom"/>
            <w:gridSpan w:val="3"/>
            <w:vMerge w:val="continue"/>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F-18</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1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6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080" w:type="dxa"/>
            <w:vAlign w:val="bottom"/>
            <w:gridSpan w:val="3"/>
          </w:tcPr>
          <w:p>
            <w:pPr>
              <w:spacing w:after="0"/>
              <w:rPr>
                <w:sz w:val="20"/>
                <w:szCs w:val="20"/>
                <w:color w:val="auto"/>
              </w:rPr>
            </w:pPr>
            <w:r>
              <w:rPr>
                <w:rFonts w:ascii="Arial" w:cs="Arial" w:eastAsia="Arial" w:hAnsi="Arial"/>
                <w:sz w:val="12"/>
                <w:szCs w:val="12"/>
                <w:b w:val="1"/>
                <w:bCs w:val="1"/>
                <w:color w:val="auto"/>
              </w:rPr>
              <w:t>5. Prepaid Expenses and Other Current Assets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060" w:type="dxa"/>
            <w:vAlign w:val="bottom"/>
            <w:gridSpan w:val="2"/>
          </w:tcPr>
          <w:p>
            <w:pPr>
              <w:ind w:left="400"/>
              <w:spacing w:after="0"/>
              <w:rPr>
                <w:sz w:val="20"/>
                <w:szCs w:val="20"/>
                <w:color w:val="auto"/>
              </w:rPr>
            </w:pPr>
            <w:r>
              <w:rPr>
                <w:rFonts w:ascii="Arial" w:cs="Arial" w:eastAsia="Arial" w:hAnsi="Arial"/>
                <w:sz w:val="12"/>
                <w:szCs w:val="12"/>
                <w:color w:val="auto"/>
              </w:rPr>
              <w:t>Prepaid expenses and other current assets consist of the following:</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color w:val="auto"/>
              </w:rPr>
              <w:t>March 31,</w:t>
            </w: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2014</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2013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Insurance</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21,800</w:t>
            </w: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19,700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Legal fees</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Interest receivable on note receivable from sale of common stock</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Technology license fees and all other</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63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6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4"/>
                <w:szCs w:val="14"/>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33,700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080" w:type="dxa"/>
            <w:vAlign w:val="bottom"/>
            <w:gridSpan w:val="3"/>
          </w:tcPr>
          <w:p>
            <w:pPr>
              <w:spacing w:after="0"/>
              <w:rPr>
                <w:sz w:val="20"/>
                <w:szCs w:val="20"/>
                <w:color w:val="auto"/>
              </w:rPr>
            </w:pPr>
            <w:r>
              <w:rPr>
                <w:rFonts w:ascii="Arial" w:cs="Arial" w:eastAsia="Arial" w:hAnsi="Arial"/>
                <w:sz w:val="12"/>
                <w:szCs w:val="12"/>
                <w:b w:val="1"/>
                <w:bCs w:val="1"/>
                <w:color w:val="auto"/>
              </w:rPr>
              <w:t>6. Property and Equipment</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060" w:type="dxa"/>
            <w:vAlign w:val="bottom"/>
            <w:gridSpan w:val="2"/>
          </w:tcPr>
          <w:p>
            <w:pPr>
              <w:ind w:left="400"/>
              <w:spacing w:after="0"/>
              <w:rPr>
                <w:sz w:val="20"/>
                <w:szCs w:val="20"/>
                <w:color w:val="auto"/>
              </w:rPr>
            </w:pPr>
            <w:r>
              <w:rPr>
                <w:rFonts w:ascii="Arial" w:cs="Arial" w:eastAsia="Arial" w:hAnsi="Arial"/>
                <w:sz w:val="12"/>
                <w:szCs w:val="12"/>
                <w:color w:val="auto"/>
              </w:rPr>
              <w:t>Property and equipment consists of the following:</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2"/>
                <w:szCs w:val="12"/>
                <w:color w:val="auto"/>
              </w:rPr>
              <w:t>March 31,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color w:val="auto"/>
                <w:w w:val="89"/>
              </w:rPr>
              <w:t>2013</w:t>
            </w:r>
          </w:p>
        </w:tc>
        <w:tc>
          <w:tcPr>
            <w:tcW w:w="5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653,600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649,500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Tenant improvements</w:t>
            </w: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27,000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Computers and network equipment</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32,100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Office furniture and equipment</w:t>
            </w: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69,600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69,600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782,300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732,000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Accumulated depreciation and amortization</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(606,000</w:t>
            </w:r>
          </w:p>
        </w:tc>
        <w:tc>
          <w:tcPr>
            <w:tcW w:w="840" w:type="dxa"/>
            <w:vAlign w:val="bottom"/>
            <w:gridSpan w:val="2"/>
            <w:shd w:val="clear" w:color="auto" w:fill="CCEEFF"/>
          </w:tcPr>
          <w:p>
            <w:pPr>
              <w:jc w:val="right"/>
              <w:ind w:right="42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(551,300</w:t>
            </w:r>
          </w:p>
        </w:tc>
        <w:tc>
          <w:tcPr>
            <w:tcW w:w="4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63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176,300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180,700</w:t>
            </w:r>
          </w:p>
        </w:tc>
        <w:tc>
          <w:tcPr>
            <w:tcW w:w="3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connection with the issuance of Senior Secured Convertible Promissory Notes to Platinum in July and August 2012, and under the October 2012 Agreement with Platinum, the Company entered into a Security Agreement with Platinum under which the repayment of all amounts due under the terms of the various Senior Secured Convertible Promissory Notes is secured by the Company’s assets, including its tangible and intangible personal property, licenses, patent licenses, trademarks and trademark licenses (see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AV-101 Acquisition</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November 2003, pursuant to an Agreement and Plan of Merger (the “</w:t>
      </w:r>
      <w:r>
        <w:rPr>
          <w:rFonts w:ascii="Arial" w:cs="Arial" w:eastAsia="Arial" w:hAnsi="Arial"/>
          <w:sz w:val="12"/>
          <w:szCs w:val="12"/>
          <w:i w:val="1"/>
          <w:iCs w:val="1"/>
          <w:color w:val="auto"/>
        </w:rPr>
        <w:t>Artemis Agreement</w:t>
      </w:r>
      <w:r>
        <w:rPr>
          <w:rFonts w:ascii="Arial" w:cs="Arial" w:eastAsia="Arial" w:hAnsi="Arial"/>
          <w:sz w:val="12"/>
          <w:szCs w:val="12"/>
          <w:color w:val="auto"/>
        </w:rPr>
        <w:t>”), the Company acquired Artemis Neurosciences (“</w:t>
      </w:r>
      <w:r>
        <w:rPr>
          <w:rFonts w:ascii="Arial" w:cs="Arial" w:eastAsia="Arial" w:hAnsi="Arial"/>
          <w:sz w:val="12"/>
          <w:szCs w:val="12"/>
          <w:i w:val="1"/>
          <w:iCs w:val="1"/>
          <w:color w:val="auto"/>
        </w:rPr>
        <w:t>Artemis</w:t>
      </w:r>
      <w:r>
        <w:rPr>
          <w:rFonts w:ascii="Arial" w:cs="Arial" w:eastAsia="Arial" w:hAnsi="Arial"/>
          <w:sz w:val="12"/>
          <w:szCs w:val="12"/>
          <w:color w:val="auto"/>
        </w:rPr>
        <w:t>”), a privately-held company also in the development stage, for the purpose of acquiring exclusive licenses to patents and other intellectual property related to the use and function of AV-101, a prodrug candidate then in nonclinical development, with the potential to treat neuropathic pain, depression, and other neurological diseases and disorders, epilepsy, Huntington’s disease and Parkinson’s disease. Pursuant to the Artemis Agreement, all shares of Artemis common stock were converted into shares of VistaGen California’s Series B-1 Preferred Stock, resulting in VistaGen California’s pre-merger issuance of 1,356,750 shares of its Series B-1 Preferred Stock, valued, pre-merger, at $5.545 per share, resulting in the pre-merger purchase price of all outstanding shares of Artemis of $7,523,200. The total purchase price was allocated to AV-101 acquired in-process research and development and was expensed concurrent with the Artemis acquisition, since AV-101 required further research and development before the Company could commence clinical trials and did not have any proven alternative future uses.</w:t>
      </w:r>
    </w:p>
    <w:p>
      <w:pPr>
        <w:spacing w:after="0" w:line="12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To date, the Company has received an aggregate of $8.8 million from the NIH for non-clinical and clinical development of AV-101. The Company successfully completed a Phase 1a clinical trial of AV-101 during the fiscal year ended March 31, 2012 and successfully completed a Phase 1b clinical trial of AV-101 in the fiscal year ended March 31, 2013.</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32" w:name="page133"/>
    <w:bookmarkEnd w:id="132"/>
    <w:tbl>
      <w:tblPr>
        <w:tblLayout w:type="fixed"/>
        <w:tblInd w:w="8"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60" w:type="dxa"/>
            <w:vAlign w:val="bottom"/>
            <w:gridSpan w:val="3"/>
          </w:tcPr>
          <w:p>
            <w:pPr>
              <w:spacing w:after="0"/>
              <w:rPr>
                <w:sz w:val="20"/>
                <w:szCs w:val="20"/>
                <w:color w:val="auto"/>
              </w:rPr>
            </w:pPr>
            <w:r>
              <w:rPr>
                <w:rFonts w:ascii="Arial" w:cs="Arial" w:eastAsia="Arial" w:hAnsi="Arial"/>
                <w:sz w:val="12"/>
                <w:szCs w:val="12"/>
                <w:b w:val="1"/>
                <w:bCs w:val="1"/>
                <w:color w:val="auto"/>
              </w:rPr>
              <w:t>8. Accrued Expenses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Accrued expenses consist of: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2014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professional services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135,700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Accrued compensation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489,900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219,300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royalties and license fees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All other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625,600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4"/>
              </w:rPr>
              <w:t>9. Convertible Promissory Notes and Other Notes Payable</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1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480" w:type="dxa"/>
            <w:vAlign w:val="bottom"/>
            <w:gridSpan w:val="10"/>
          </w:tcPr>
          <w:p>
            <w:pPr>
              <w:ind w:left="560"/>
              <w:spacing w:after="0"/>
              <w:rPr>
                <w:sz w:val="20"/>
                <w:szCs w:val="20"/>
                <w:color w:val="auto"/>
              </w:rPr>
            </w:pPr>
            <w:r>
              <w:rPr>
                <w:rFonts w:ascii="Arial" w:cs="Arial" w:eastAsia="Arial" w:hAnsi="Arial"/>
                <w:sz w:val="12"/>
                <w:szCs w:val="12"/>
                <w:color w:val="auto"/>
                <w:w w:val="91"/>
              </w:rPr>
              <w:t>The following table summarizes the components of the Company’s convertible promissory notes and other notes payable:</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93"/>
              </w:rPr>
              <w:t>March 31, 2014</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5"/>
              </w:rPr>
              <w:t>March 31, 2013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2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Arial" w:cs="Arial" w:eastAsia="Arial" w:hAnsi="Arial"/>
                <w:sz w:val="12"/>
                <w:szCs w:val="12"/>
                <w:color w:val="auto"/>
                <w:w w:val="90"/>
              </w:rPr>
              <w:t>Accrued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auto"/>
              </w:rPr>
              <w:t>Principal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580"/>
              <w:spacing w:after="0" w:line="133" w:lineRule="exact"/>
              <w:rPr>
                <w:sz w:val="20"/>
                <w:szCs w:val="20"/>
                <w:color w:val="auto"/>
              </w:rPr>
            </w:pPr>
            <w:r>
              <w:rPr>
                <w:rFonts w:ascii="Arial" w:cs="Arial" w:eastAsia="Arial" w:hAnsi="Arial"/>
                <w:sz w:val="12"/>
                <w:szCs w:val="12"/>
                <w:color w:val="auto"/>
              </w:rPr>
              <w:t>Accrued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Interest</w:t>
            </w:r>
          </w:p>
        </w:tc>
        <w:tc>
          <w:tcPr>
            <w:tcW w:w="400" w:type="dxa"/>
            <w:vAlign w:val="bottom"/>
          </w:tcPr>
          <w:p>
            <w:pPr>
              <w:spacing w:after="0"/>
              <w:rPr>
                <w:sz w:val="13"/>
                <w:szCs w:val="13"/>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2"/>
                <w:szCs w:val="12"/>
                <w:color w:val="auto"/>
              </w:rPr>
              <w:t>Balance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2"/>
                <w:szCs w:val="12"/>
                <w:color w:val="auto"/>
              </w:rPr>
              <w:t>Interest</w:t>
            </w:r>
          </w:p>
        </w:tc>
        <w:tc>
          <w:tcPr>
            <w:tcW w:w="28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3160" w:type="dxa"/>
            <w:vAlign w:val="bottom"/>
            <w:gridSpan w:val="3"/>
          </w:tcPr>
          <w:p>
            <w:pPr>
              <w:spacing w:after="0" w:line="133" w:lineRule="exact"/>
              <w:rPr>
                <w:sz w:val="20"/>
                <w:szCs w:val="20"/>
                <w:color w:val="auto"/>
              </w:rPr>
            </w:pPr>
            <w:r>
              <w:rPr>
                <w:rFonts w:ascii="Arial" w:cs="Arial" w:eastAsia="Arial" w:hAnsi="Arial"/>
                <w:sz w:val="12"/>
                <w:szCs w:val="12"/>
                <w:b w:val="1"/>
                <w:bCs w:val="1"/>
                <w:i w:val="1"/>
                <w:iCs w:val="1"/>
                <w:color w:val="auto"/>
                <w:w w:val="90"/>
              </w:rPr>
              <w:t>Senior Secured 10% Convertible Promissory Notes issued to</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Platinum:</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Exchange Note issued on October 11, 2012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1,272,600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203,400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1,476,000</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1,272,600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61,700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1,334,300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October 11, 2012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79,900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579,900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24,200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524,200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October 19, 2012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78,600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578,600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523,000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February 22,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29,400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279,400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2,600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252,600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March 12, 2013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834,100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754,700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3,272,600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475,400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3,748,000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Convertible promissory note issued on July 26,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17,700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267,700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Total Senior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4,015,700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Aggregate 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(2,085,900)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(2,085,900)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(1,963,100)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(1,963,100)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Senior notes (non-current)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1,436,700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1,929,800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1,309,500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10% Convertible Promissory Notes (Unit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2013/2014 Unit Notes, due 7/31/14</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1,007,500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1,043,200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2014 Unit Note, due 3/31/15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1,057,500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1,093,400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(697,400)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(697,400)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convertible notes (all 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396,000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unrelated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7.5% Notes payable to service providers for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accounts payable converted to notes payable: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Burr, Pilger, Mayer</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90,400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97,200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90,400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90,400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Desjardins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178,600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192,700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194,100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194,900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McCarthy Tetrault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360,900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24,800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385,700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403,100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404,800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August 2012 Morrison &amp; Foerster Note A</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918,200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87,900</w:t>
            </w: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1,006,100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937,400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937,400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line="144" w:lineRule="exact"/>
              <w:rPr>
                <w:sz w:val="20"/>
                <w:szCs w:val="20"/>
                <w:color w:val="auto"/>
              </w:rPr>
            </w:pPr>
            <w:r>
              <w:rPr>
                <w:rFonts w:ascii="Arial" w:cs="Arial" w:eastAsia="Arial" w:hAnsi="Arial"/>
                <w:sz w:val="12"/>
                <w:szCs w:val="12"/>
                <w:color w:val="auto"/>
              </w:rPr>
              <w:t xml:space="preserve">August 2012 Morrison &amp; Foerster Note B </w:t>
            </w:r>
            <w:r>
              <w:rPr>
                <w:rFonts w:ascii="Arial" w:cs="Arial" w:eastAsia="Arial" w:hAnsi="Arial"/>
                <w:sz w:val="16"/>
                <w:szCs w:val="16"/>
                <w:color w:val="auto"/>
                <w:vertAlign w:val="superscript"/>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1,379,400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195,200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1,574,600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1,379,400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60,100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1,439,500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549,500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610,100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549,500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568,900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3,477,000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3,866,400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3,553,900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3,635,900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2,628,900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3,018,300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2,411,300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2,493,300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(1,130,100)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(1,263,700)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(450,300)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1,498,800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1,754,600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1,961,000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2,040,500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80"/>
              <w:spacing w:after="0"/>
              <w:rPr>
                <w:sz w:val="20"/>
                <w:szCs w:val="20"/>
                <w:color w:val="auto"/>
              </w:rPr>
            </w:pPr>
            <w:r>
              <w:rPr>
                <w:rFonts w:ascii="Arial" w:cs="Arial" w:eastAsia="Arial" w:hAnsi="Arial"/>
                <w:sz w:val="12"/>
                <w:szCs w:val="12"/>
                <w:color w:val="auto"/>
              </w:rPr>
              <w:t>5.75% and 10.25% Notes payable to insurance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premium financing company (current)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10% Notes payable to vendors for accounts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payable converted to notes payable</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34,700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154,100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128,800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23,300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(119,400)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(34,700)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(128,800)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(23,300)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 payable (August 2012)</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62,600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59,400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59,400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(15,800)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Notes payable - 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43,000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43,000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51,300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51,300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60"/>
              <w:spacing w:after="0"/>
              <w:rPr>
                <w:sz w:val="20"/>
                <w:szCs w:val="20"/>
                <w:color w:val="auto"/>
              </w:rPr>
            </w:pPr>
            <w:r>
              <w:rPr>
                <w:rFonts w:ascii="Arial" w:cs="Arial" w:eastAsia="Arial" w:hAnsi="Arial"/>
                <w:sz w:val="12"/>
                <w:szCs w:val="12"/>
                <w:color w:val="auto"/>
              </w:rPr>
              <w:t>Total notes payable to unrelated parties</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427,900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4,088,000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3,746,300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105,300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3,851,600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(1,270,200)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(172,100)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(1,442,300)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(591,400)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(25,800)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2,389,900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2,645,700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3,154,900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3,234,400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1,541,800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1,797,600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2,012,300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October 2012 7.5% Note to Cato Holding Co.</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293,600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30,800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324,400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293,600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7,400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line="144" w:lineRule="exact"/>
              <w:rPr>
                <w:sz w:val="20"/>
                <w:szCs w:val="20"/>
                <w:color w:val="auto"/>
              </w:rPr>
            </w:pPr>
            <w:r>
              <w:rPr>
                <w:rFonts w:ascii="Arial" w:cs="Arial" w:eastAsia="Arial" w:hAnsi="Arial"/>
                <w:sz w:val="12"/>
                <w:szCs w:val="12"/>
                <w:color w:val="auto"/>
              </w:rPr>
              <w:t xml:space="preserve">October 2012 7.5% Note to Cato Research Ltd.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1,009,000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1,009,000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1,302,600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1,450,700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1,346,200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(103,200)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(147,200)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Total notes payable to related parties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1,347,500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1,155,400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1,199,000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(259,600)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(290,400)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(85,600)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2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939,800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1,057,100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1,069,800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Arial" w:cs="Arial" w:eastAsia="Arial" w:hAnsi="Arial"/>
                <w:sz w:val="12"/>
                <w:szCs w:val="12"/>
                <w:color w:val="auto"/>
                <w:w w:val="92"/>
              </w:rPr>
              <w:t>____________</w:t>
            </w: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60" w:type="dxa"/>
            <w:vAlign w:val="bottom"/>
            <w:gridSpan w:val="2"/>
            <w:vMerge w:val="continue"/>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28" w:hanging="128"/>
        <w:spacing w:after="0" w:line="204" w:lineRule="auto"/>
        <w:tabs>
          <w:tab w:leader="none" w:pos="128" w:val="left"/>
        </w:tabs>
        <w:numPr>
          <w:ilvl w:val="0"/>
          <w:numId w:val="67"/>
        </w:numPr>
        <w:rPr>
          <w:rFonts w:ascii="Arial" w:cs="Arial" w:eastAsia="Arial" w:hAnsi="Arial"/>
          <w:sz w:val="15"/>
          <w:szCs w:val="15"/>
          <w:color w:val="auto"/>
          <w:vertAlign w:val="superscript"/>
        </w:rPr>
      </w:pPr>
      <w:r>
        <w:rPr>
          <w:rFonts w:ascii="Arial" w:cs="Arial" w:eastAsia="Arial" w:hAnsi="Arial"/>
          <w:sz w:val="11"/>
          <w:szCs w:val="11"/>
          <w:color w:val="auto"/>
        </w:rPr>
        <w:t>Note and interest payable solely in restricted shares of the Company's common stock.</w:t>
      </w:r>
    </w:p>
    <w:p>
      <w:pPr>
        <w:sectPr>
          <w:pgSz w:w="11900" w:h="16838" w:orient="portrait"/>
          <w:cols w:equalWidth="0" w:num="1">
            <w:col w:w="11488"/>
          </w:cols>
          <w:pgMar w:left="212" w:top="121" w:right="199" w:bottom="1440" w:gutter="0" w:footer="0" w:header="0"/>
        </w:sectPr>
      </w:pPr>
    </w:p>
    <w:p>
      <w:pPr>
        <w:spacing w:after="0" w:line="253"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29932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type w:val="continuous"/>
        </w:sectPr>
      </w:pPr>
    </w:p>
    <w:bookmarkStart w:id="133" w:name="page134"/>
    <w:bookmarkEnd w:id="13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On July 2, 2012 and on August 31, 2012, the Company issued to Platinum senior secured convertible promissory notes in the principal amount of $500,000 (the </w:t>
      </w:r>
      <w:r>
        <w:rPr>
          <w:rFonts w:ascii="Arial" w:cs="Arial" w:eastAsia="Arial" w:hAnsi="Arial"/>
          <w:sz w:val="12"/>
          <w:szCs w:val="12"/>
          <w:i w:val="1"/>
          <w:iCs w:val="1"/>
          <w:color w:val="auto"/>
        </w:rPr>
        <w:t>“July 2012 Platinum Note</w:t>
      </w:r>
      <w:r>
        <w:rPr>
          <w:rFonts w:ascii="Arial" w:cs="Arial" w:eastAsia="Arial" w:hAnsi="Arial"/>
          <w:sz w:val="12"/>
          <w:szCs w:val="12"/>
          <w:color w:val="auto"/>
        </w:rPr>
        <w:t>”) and $750,000 (the "</w:t>
      </w:r>
      <w:r>
        <w:rPr>
          <w:rFonts w:ascii="Arial" w:cs="Arial" w:eastAsia="Arial" w:hAnsi="Arial"/>
          <w:sz w:val="12"/>
          <w:szCs w:val="12"/>
          <w:i w:val="1"/>
          <w:iCs w:val="1"/>
          <w:color w:val="auto"/>
        </w:rPr>
        <w:t>August 2012</w:t>
      </w:r>
      <w:r>
        <w:rPr>
          <w:rFonts w:ascii="Arial" w:cs="Arial" w:eastAsia="Arial" w:hAnsi="Arial"/>
          <w:sz w:val="12"/>
          <w:szCs w:val="12"/>
          <w:color w:val="auto"/>
        </w:rPr>
        <w:t xml:space="preserve"> </w:t>
      </w:r>
      <w:r>
        <w:rPr>
          <w:rFonts w:ascii="Arial" w:cs="Arial" w:eastAsia="Arial" w:hAnsi="Arial"/>
          <w:sz w:val="12"/>
          <w:szCs w:val="12"/>
          <w:i w:val="1"/>
          <w:iCs w:val="1"/>
          <w:color w:val="auto"/>
        </w:rPr>
        <w:t>Platinum Note</w:t>
      </w:r>
      <w:r>
        <w:rPr>
          <w:rFonts w:ascii="Arial" w:cs="Arial" w:eastAsia="Arial" w:hAnsi="Arial"/>
          <w:sz w:val="12"/>
          <w:szCs w:val="12"/>
          <w:color w:val="auto"/>
        </w:rPr>
        <w:t>"), respectively. The July 2012 Platinum Note and the August 2012 Platinum Note each accrued interest at the rate of 10% per annum and were due and payable on July 2, 2015. The July 2012 Platinum Note and the August</w:t>
      </w:r>
      <w:r>
        <w:rPr>
          <w:rFonts w:ascii="Arial" w:cs="Arial" w:eastAsia="Arial" w:hAnsi="Arial"/>
          <w:sz w:val="12"/>
          <w:szCs w:val="12"/>
          <w:i w:val="1"/>
          <w:iCs w:val="1"/>
          <w:color w:val="auto"/>
        </w:rPr>
        <w:t xml:space="preserve"> </w:t>
      </w:r>
      <w:r>
        <w:rPr>
          <w:rFonts w:ascii="Arial" w:cs="Arial" w:eastAsia="Arial" w:hAnsi="Arial"/>
          <w:sz w:val="12"/>
          <w:szCs w:val="12"/>
          <w:color w:val="auto"/>
        </w:rPr>
        <w:t>2012 Platinum Note were each mandatorily convertible into securities that the Company might have issued in an equity, equity-based, or debt financing, or series of financings, subsequent to the issuance of the note resulting in gross proceeds to the Company of at least $3,000,000, excluding any additional investment by Platinum.</w:t>
      </w:r>
    </w:p>
    <w:p>
      <w:pPr>
        <w:spacing w:after="0" w:line="1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October 11, 2012, the Company and Platinum entered into a Note Exchange and Purchase Agreement (the “</w:t>
      </w:r>
      <w:r>
        <w:rPr>
          <w:rFonts w:ascii="Arial" w:cs="Arial" w:eastAsia="Arial" w:hAnsi="Arial"/>
          <w:sz w:val="11"/>
          <w:szCs w:val="11"/>
          <w:i w:val="1"/>
          <w:iCs w:val="1"/>
          <w:color w:val="auto"/>
        </w:rPr>
        <w:t>October 2012 Agreement</w:t>
      </w:r>
      <w:r>
        <w:rPr>
          <w:rFonts w:ascii="Arial" w:cs="Arial" w:eastAsia="Arial" w:hAnsi="Arial"/>
          <w:sz w:val="11"/>
          <w:szCs w:val="11"/>
          <w:color w:val="auto"/>
        </w:rPr>
        <w:t>”) in which the July 2012 Platinum Note and the August 2012 Platinum Note (together, the “</w:t>
      </w:r>
      <w:r>
        <w:rPr>
          <w:rFonts w:ascii="Arial" w:cs="Arial" w:eastAsia="Arial" w:hAnsi="Arial"/>
          <w:sz w:val="11"/>
          <w:szCs w:val="11"/>
          <w:i w:val="1"/>
          <w:iCs w:val="1"/>
          <w:color w:val="auto"/>
        </w:rPr>
        <w:t>Existing Notes</w:t>
      </w:r>
      <w:r>
        <w:rPr>
          <w:rFonts w:ascii="Arial" w:cs="Arial" w:eastAsia="Arial" w:hAnsi="Arial"/>
          <w:sz w:val="11"/>
          <w:szCs w:val="11"/>
          <w:color w:val="auto"/>
        </w:rPr>
        <w:t>”), as well as the related accrued interest, were consolidated into and exchanged for a single senior secured convertible note in the amount of $1,272,577 (the “</w:t>
      </w:r>
      <w:r>
        <w:rPr>
          <w:rFonts w:ascii="Arial" w:cs="Arial" w:eastAsia="Arial" w:hAnsi="Arial"/>
          <w:sz w:val="11"/>
          <w:szCs w:val="11"/>
          <w:i w:val="1"/>
          <w:iCs w:val="1"/>
          <w:color w:val="auto"/>
        </w:rPr>
        <w:t>Exchange Note</w:t>
      </w:r>
      <w:r>
        <w:rPr>
          <w:rFonts w:ascii="Arial" w:cs="Arial" w:eastAsia="Arial" w:hAnsi="Arial"/>
          <w:sz w:val="11"/>
          <w:szCs w:val="11"/>
          <w:color w:val="auto"/>
        </w:rPr>
        <w:t>”) and Platinum agreed to purchase four additional 10% senior secured convertible promissory notes in the aggregate principal amount of $2.0 million (the “</w:t>
      </w:r>
      <w:r>
        <w:rPr>
          <w:rFonts w:ascii="Arial" w:cs="Arial" w:eastAsia="Arial" w:hAnsi="Arial"/>
          <w:sz w:val="11"/>
          <w:szCs w:val="11"/>
          <w:i w:val="1"/>
          <w:iCs w:val="1"/>
          <w:color w:val="auto"/>
        </w:rPr>
        <w:t>Investment Notes</w:t>
      </w:r>
      <w:r>
        <w:rPr>
          <w:rFonts w:ascii="Arial" w:cs="Arial" w:eastAsia="Arial" w:hAnsi="Arial"/>
          <w:sz w:val="11"/>
          <w:szCs w:val="11"/>
          <w:color w:val="auto"/>
        </w:rPr>
        <w:t>”), issuable over four separate $500,000 tranches between October 2012 and December 2012. The first and second $500,000 Investment Notes, in the aggregate principal amount of $1.0 million, were purchased by Platinum on October 11, 2012 and October 19, 2012, respectively. The Company and Platinum also entered into an amended and restated Security Agreement to secure repayment of all obligations due and payable under the terms of the Investment Notes and Exchange Note.</w:t>
      </w:r>
    </w:p>
    <w:p>
      <w:pPr>
        <w:spacing w:after="0" w:line="12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November 14, 2012 and January 31, 2013, the Company and Platinum entered into amendments to the October 2012 Agreement (the “</w:t>
      </w:r>
      <w:r>
        <w:rPr>
          <w:rFonts w:ascii="Arial" w:cs="Arial" w:eastAsia="Arial" w:hAnsi="Arial"/>
          <w:sz w:val="11"/>
          <w:szCs w:val="11"/>
          <w:i w:val="1"/>
          <w:iCs w:val="1"/>
          <w:color w:val="auto"/>
        </w:rPr>
        <w:t>NEPA Amendments</w:t>
      </w:r>
      <w:r>
        <w:rPr>
          <w:rFonts w:ascii="Arial" w:cs="Arial" w:eastAsia="Arial" w:hAnsi="Arial"/>
          <w:sz w:val="11"/>
          <w:szCs w:val="11"/>
          <w:color w:val="auto"/>
        </w:rPr>
        <w:t xml:space="preserve">”), pursuant to which the final two $500,000 tranches contemplated by the October 2012 Agreement were combined into a single Investment Note in the aggregate principal amount of $1.0 million (the </w:t>
      </w:r>
      <w:r>
        <w:rPr>
          <w:rFonts w:ascii="Arial" w:cs="Arial" w:eastAsia="Arial" w:hAnsi="Arial"/>
          <w:sz w:val="11"/>
          <w:szCs w:val="11"/>
          <w:i w:val="1"/>
          <w:iCs w:val="1"/>
          <w:color w:val="auto"/>
        </w:rPr>
        <w:t>“$1.0 Million Note</w:t>
      </w:r>
      <w:r>
        <w:rPr>
          <w:rFonts w:ascii="Arial" w:cs="Arial" w:eastAsia="Arial" w:hAnsi="Arial"/>
          <w:sz w:val="11"/>
          <w:szCs w:val="11"/>
          <w:color w:val="auto"/>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Arial" w:cs="Arial" w:eastAsia="Arial" w:hAnsi="Arial"/>
          <w:sz w:val="11"/>
          <w:szCs w:val="11"/>
          <w:i w:val="1"/>
          <w:iCs w:val="1"/>
          <w:color w:val="auto"/>
        </w:rPr>
        <w:t>Additional Financing Requirement</w:t>
      </w:r>
      <w:r>
        <w:rPr>
          <w:rFonts w:ascii="Arial" w:cs="Arial" w:eastAsia="Arial" w:hAnsi="Arial"/>
          <w:sz w:val="11"/>
          <w:szCs w:val="11"/>
          <w:color w:val="auto"/>
        </w:rPr>
        <w:t xml:space="preserve">”). The Company satisfied the Additional Financing Requirement on February 12, 2013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spacing w:after="0" w:line="13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Exchange Note and each Investment Note (together, the “</w:t>
      </w:r>
      <w:r>
        <w:rPr>
          <w:rFonts w:ascii="Arial" w:cs="Arial" w:eastAsia="Arial" w:hAnsi="Arial"/>
          <w:sz w:val="11"/>
          <w:szCs w:val="11"/>
          <w:i w:val="1"/>
          <w:iCs w:val="1"/>
          <w:color w:val="auto"/>
        </w:rPr>
        <w:t>Notes</w:t>
      </w:r>
      <w:r>
        <w:rPr>
          <w:rFonts w:ascii="Arial" w:cs="Arial" w:eastAsia="Arial" w:hAnsi="Arial"/>
          <w:sz w:val="11"/>
          <w:szCs w:val="11"/>
          <w:color w:val="auto"/>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Investment Notes. Subject to certain terms and conditions, at maturity, all principal and accrued interest under the Notes will be paid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spacing w:after="0" w:line="13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As additional consideration for the purchase of the Investment Notes, the Company issued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In addition, the Company issued Platinum a warrant to purchase 1,272,577 shares of the Company’s common stock in connection with the issuance of the Exchange Note (the “</w:t>
      </w:r>
      <w:r>
        <w:rPr>
          <w:rFonts w:ascii="Arial" w:cs="Arial" w:eastAsia="Arial" w:hAnsi="Arial"/>
          <w:sz w:val="12"/>
          <w:szCs w:val="12"/>
          <w:i w:val="1"/>
          <w:iCs w:val="1"/>
          <w:color w:val="auto"/>
        </w:rPr>
        <w:t>Exchange Warrant</w:t>
      </w:r>
      <w:r>
        <w:rPr>
          <w:rFonts w:ascii="Arial" w:cs="Arial" w:eastAsia="Arial" w:hAnsi="Arial"/>
          <w:sz w:val="12"/>
          <w:szCs w:val="12"/>
          <w:color w:val="auto"/>
        </w:rPr>
        <w:t xml:space="preserve">”). At issuance, the Platinum Exchange Warrant and each Investment Warrant had a term of five-years and an exercise price of $1.50 per share, subject to certain adjustments. Effective on May 24, 2013, the Company and Platinum entered into an Amendment and Waiver pursuant to which the Company agreed to reduce the exercise price of the Exchange Warrant and the Investment Warrants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Company securities, including issuances pursuant to the Autilion Financing and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at a price of less than $1.50 per share.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4" w:name="page135"/>
    <w:bookmarkEnd w:id="13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On July 26, 2013, the Company issued an additional senior secured convertible promissory note in the principal amount of $250,000 to Platinum (the “</w:t>
      </w:r>
      <w:r>
        <w:rPr>
          <w:rFonts w:ascii="Arial" w:cs="Arial" w:eastAsia="Arial" w:hAnsi="Arial"/>
          <w:sz w:val="12"/>
          <w:szCs w:val="12"/>
          <w:i w:val="1"/>
          <w:iCs w:val="1"/>
          <w:color w:val="auto"/>
        </w:rPr>
        <w:t>July 2013 Note</w:t>
      </w:r>
      <w:r>
        <w:rPr>
          <w:rFonts w:ascii="Arial" w:cs="Arial" w:eastAsia="Arial" w:hAnsi="Arial"/>
          <w:sz w:val="12"/>
          <w:szCs w:val="12"/>
          <w:color w:val="auto"/>
        </w:rPr>
        <w:t>”). The July 2013 Note matures on July 26, 2016 and accrues interest at a rate of 10% per annum. Subject to certain terms and conditions, at maturity, all principal and accrued interest under the July 2013 Note will be paid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In the same manner as the Exchange Note and the Investment Notes, prior to maturity, the outstanding principal and any accrued interest on the July 2013 Note is convertible, in whole or in part, at Platinum’s option into shares of the Company’s restricted common stock at a conversion price of $0.50 per share, subject to certain adjustments. The conversion feature in the July 2013 Note constituted a beneficial conversion feature at the date of issuance. As additional consideration for the purchase of the July 2013 Note, the Company issued to Platinum a five-year warrant to purchase 250,000 shares of the Company’s common stock at an exercise price of $0.50 per share (the “</w:t>
      </w:r>
      <w:r>
        <w:rPr>
          <w:rFonts w:ascii="Arial" w:cs="Arial" w:eastAsia="Arial" w:hAnsi="Arial"/>
          <w:sz w:val="12"/>
          <w:szCs w:val="12"/>
          <w:i w:val="1"/>
          <w:iCs w:val="1"/>
          <w:color w:val="auto"/>
        </w:rPr>
        <w:t>July 2013 Warrant</w:t>
      </w:r>
      <w:r>
        <w:rPr>
          <w:rFonts w:ascii="Arial" w:cs="Arial" w:eastAsia="Arial" w:hAnsi="Arial"/>
          <w:sz w:val="12"/>
          <w:szCs w:val="12"/>
          <w:color w:val="auto"/>
        </w:rPr>
        <w:t>”).</w:t>
      </w:r>
    </w:p>
    <w:p>
      <w:pPr>
        <w:spacing w:after="0" w:line="149"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 xml:space="preserve">As a result of the beneficial conversion feature in the Exchange Note and the issuance of the Exchange Warrant, the Company determined that the cancellation of the Existing Notes and the issuance of the Exchange Note should be accounted for as an extinguishment of debt. The Company determined that the fair value of the Exchange Note, including the beneficial conversion feature, was $2,355,800 using a Monte Carlo simulation model and inception-date assumptions including market price of common stock of $0.75 per share; stock price volatility of 85%; risk-free interest rate of 0.67%; conversion price of $0.50 per share; note term of 3 years; 75% probability that conversion would occur at or immediately prior to maturity; and 25% probability that an event requiring either the repayment of the Exchange Note or its conversion into common stock would occur prior to maturity. The fair value of the Exchange Note at inception represented a substantial premium over its face value. In accordance with the provisions of ASC 470-20,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the Company recognized the premium in excess of the face value, $1,083,200, as a non-cash charge to loss on early extinguishment of debt in the accompanying Consolidated Statement of Operations and Comprehensive Income for the year ended March 31, 2013 and as a credit to additional paid-in capital and recorded the liability for the Exchange Note at its face value.</w:t>
      </w:r>
    </w:p>
    <w:p>
      <w:pPr>
        <w:spacing w:after="0" w:line="149" w:lineRule="exact"/>
        <w:rPr>
          <w:sz w:val="20"/>
          <w:szCs w:val="20"/>
          <w:color w:val="auto"/>
        </w:rPr>
      </w:pPr>
    </w:p>
    <w:p>
      <w:pPr>
        <w:jc w:val="both"/>
        <w:ind w:right="60" w:firstLine="432"/>
        <w:spacing w:after="0" w:line="257" w:lineRule="auto"/>
        <w:rPr>
          <w:sz w:val="20"/>
          <w:szCs w:val="20"/>
          <w:color w:val="auto"/>
        </w:rPr>
      </w:pPr>
      <w:r>
        <w:rPr>
          <w:rFonts w:ascii="Arial" w:cs="Arial" w:eastAsia="Arial" w:hAnsi="Arial"/>
          <w:sz w:val="12"/>
          <w:szCs w:val="12"/>
          <w:color w:val="auto"/>
        </w:rPr>
        <w:t xml:space="preserve">Subject to limited exceptions, which include issuances of common stock pursuant to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the Exchange Warrant, each of the Investment Warrants and the July 2013 Warrant include certain exercise price reset and anti-dilution protection features in the event that the Company issues other shares of common stock during the five-year term of the warrants at a price less than their initial $1.50 per share, or $0.50 per share in the case of the July 2013 Warrant, exercise price. As a result of these provisions, the Exchange Warrant, the Investment Warrants and the July 2013 Warrant do not meet the criteria set forth in ASC 815, </w:t>
      </w:r>
      <w:r>
        <w:rPr>
          <w:rFonts w:ascii="Arial" w:cs="Arial" w:eastAsia="Arial" w:hAnsi="Arial"/>
          <w:sz w:val="12"/>
          <w:szCs w:val="12"/>
          <w:i w:val="1"/>
          <w:iCs w:val="1"/>
          <w:color w:val="auto"/>
        </w:rPr>
        <w:t>Derivatives</w:t>
      </w:r>
      <w:r>
        <w:rPr>
          <w:rFonts w:ascii="Arial" w:cs="Arial" w:eastAsia="Arial" w:hAnsi="Arial"/>
          <w:sz w:val="12"/>
          <w:szCs w:val="12"/>
          <w:color w:val="auto"/>
        </w:rPr>
        <w:t xml:space="preserve"> </w:t>
      </w:r>
      <w:r>
        <w:rPr>
          <w:rFonts w:ascii="Arial" w:cs="Arial" w:eastAsia="Arial" w:hAnsi="Arial"/>
          <w:sz w:val="12"/>
          <w:szCs w:val="12"/>
          <w:i w:val="1"/>
          <w:iCs w:val="1"/>
          <w:color w:val="auto"/>
        </w:rPr>
        <w:t>and Hedging</w:t>
      </w:r>
      <w:r>
        <w:rPr>
          <w:rFonts w:ascii="Arial" w:cs="Arial" w:eastAsia="Arial" w:hAnsi="Arial"/>
          <w:sz w:val="12"/>
          <w:szCs w:val="12"/>
          <w:color w:val="auto"/>
        </w:rPr>
        <w:t>, to be treated as equity instruments. Consequently, the Company recorded the Exchange Warrant, each of the Investment Warrants and the July 2013 Warrant as liabilities at their fair value, which was estimated at the issuance</w:t>
      </w:r>
      <w:r>
        <w:rPr>
          <w:rFonts w:ascii="Arial" w:cs="Arial" w:eastAsia="Arial" w:hAnsi="Arial"/>
          <w:sz w:val="12"/>
          <w:szCs w:val="12"/>
          <w:i w:val="1"/>
          <w:iCs w:val="1"/>
          <w:color w:val="auto"/>
        </w:rPr>
        <w:t xml:space="preserve"> </w:t>
      </w:r>
      <w:r>
        <w:rPr>
          <w:rFonts w:ascii="Arial" w:cs="Arial" w:eastAsia="Arial" w:hAnsi="Arial"/>
          <w:sz w:val="12"/>
          <w:szCs w:val="12"/>
          <w:color w:val="auto"/>
        </w:rPr>
        <w:t>date using a Monte Carlo simulation model and the following assumptions: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gridSpan w:val="3"/>
          </w:tcPr>
          <w:p>
            <w:pPr>
              <w:jc w:val="right"/>
              <w:ind w:right="680"/>
              <w:spacing w:after="0"/>
              <w:rPr>
                <w:sz w:val="20"/>
                <w:szCs w:val="20"/>
                <w:color w:val="auto"/>
              </w:rPr>
            </w:pPr>
            <w:r>
              <w:rPr>
                <w:rFonts w:ascii="Arial" w:cs="Arial" w:eastAsia="Arial" w:hAnsi="Arial"/>
                <w:sz w:val="12"/>
                <w:szCs w:val="12"/>
                <w:color w:val="auto"/>
              </w:rPr>
              <w:t>Exchange</w:t>
            </w:r>
          </w:p>
        </w:tc>
        <w:tc>
          <w:tcPr>
            <w:tcW w:w="8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color w:val="auto"/>
                <w:w w:val="93"/>
              </w:rPr>
              <w:t>Investment Warrants Issued on:</w:t>
            </w: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2"/>
                <w:szCs w:val="12"/>
                <w:color w:val="auto"/>
                <w:w w:val="84"/>
              </w:rPr>
              <w:t>Warrant</w:t>
            </w:r>
          </w:p>
        </w:tc>
        <w:tc>
          <w:tcPr>
            <w:tcW w:w="8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10/11/2012</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10/19/2012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ind w:left="1200"/>
              <w:spacing w:after="0"/>
              <w:rPr>
                <w:sz w:val="20"/>
                <w:szCs w:val="20"/>
                <w:color w:val="auto"/>
              </w:rPr>
            </w:pPr>
            <w:r>
              <w:rPr>
                <w:rFonts w:ascii="Arial" w:cs="Arial" w:eastAsia="Arial" w:hAnsi="Arial"/>
                <w:sz w:val="12"/>
                <w:szCs w:val="12"/>
                <w:color w:val="auto"/>
                <w:w w:val="89"/>
              </w:rPr>
              <w:t>3/12/2013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Market</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price of</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common</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stock</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5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0.60</w:t>
            </w:r>
          </w:p>
        </w:tc>
        <w:tc>
          <w:tcPr>
            <w:tcW w:w="1700" w:type="dxa"/>
            <w:vAlign w:val="bottom"/>
            <w:gridSpan w:val="2"/>
            <w:shd w:val="clear" w:color="auto" w:fill="CCEEFF"/>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Exercise</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price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Risk-free</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interest</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rate</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0.84</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Volatility</w:t>
            </w:r>
          </w:p>
        </w:tc>
        <w:tc>
          <w:tcPr>
            <w:tcW w:w="5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Term</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(years)</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Dividend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rate</w:t>
            </w:r>
          </w:p>
        </w:tc>
        <w:tc>
          <w:tcPr>
            <w:tcW w:w="5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per</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share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0.39</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Number</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of shares</w:t>
            </w: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1,272,577</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500,000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500,000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250,000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6"/>
              </w:rPr>
              <w:t>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at</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date of</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issuance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672,000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264,000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w w:val="82"/>
              </w:rPr>
              <w:t>264,000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97,000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w w:val="86"/>
              </w:rPr>
              <w:t>393,0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2"/>
                <w:szCs w:val="12"/>
                <w:color w:val="auto"/>
              </w:rPr>
              <w:t>F-22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134" w:right="139" w:bottom="1440" w:gutter="0" w:footer="0" w:header="0"/>
        </w:sectPr>
      </w:pPr>
    </w:p>
    <w:bookmarkStart w:id="135" w:name="page136"/>
    <w:bookmarkEnd w:id="13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60" w:firstLine="432"/>
        <w:spacing w:after="0" w:line="283" w:lineRule="auto"/>
        <w:rPr>
          <w:sz w:val="20"/>
          <w:szCs w:val="20"/>
          <w:color w:val="auto"/>
        </w:rPr>
      </w:pPr>
      <w:r>
        <w:rPr>
          <w:rFonts w:ascii="Arial" w:cs="Arial" w:eastAsia="Arial" w:hAnsi="Arial"/>
          <w:sz w:val="11"/>
          <w:szCs w:val="11"/>
          <w:color w:val="auto"/>
        </w:rPr>
        <w:t>The fair value of the Exchange Warrant at the date of issuance was recorded as a liability and as a corresponding charge to loss on early extinguishment of debt in the accompanying Consolidated Statement of Operations and Comprehensive Income for the year ended March 31, 2013. The fair value of each Investment Warrant and the July 2013 Warrant at the date of issuance was recorded as a liability and as a corresponding discount to the related Investment Note or the July 2013 Note. Subject to limitations of the absolute amount of discount attributable to each Investment Note and the July 2013 Note, the Company treated the issuance-date intrinsic value of the beneficial conversion feature embedded in each Investment Note and the July 2013 Note as an additional component of the discount attributable to each note and recorded a discount attributable to the beneficial conversion feature for each note. The Company amortizes the aggregate discount attributable to each of the Investment Notes and the July 2013 Note using the interest method over the respective term of each note. The table below summarizes the components of the discount and the effective interest rate at inception for the Exchange Note, each of the Investment Notes and the July 2013 Note.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340"/>
              <w:spacing w:after="0"/>
              <w:rPr>
                <w:sz w:val="20"/>
                <w:szCs w:val="20"/>
                <w:color w:val="auto"/>
              </w:rPr>
            </w:pPr>
            <w:r>
              <w:rPr>
                <w:rFonts w:ascii="Arial" w:cs="Arial" w:eastAsia="Arial" w:hAnsi="Arial"/>
                <w:sz w:val="12"/>
                <w:szCs w:val="12"/>
                <w:color w:val="auto"/>
                <w:w w:val="95"/>
              </w:rPr>
              <w:t>Inception Date Carrying Value of</w:t>
            </w: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40" w:type="dxa"/>
            <w:vAlign w:val="bottom"/>
            <w:gridSpan w:val="3"/>
          </w:tcPr>
          <w:p>
            <w:pPr>
              <w:jc w:val="right"/>
              <w:ind w:right="700"/>
              <w:spacing w:after="0"/>
              <w:rPr>
                <w:sz w:val="20"/>
                <w:szCs w:val="20"/>
                <w:color w:val="auto"/>
              </w:rPr>
            </w:pPr>
            <w:r>
              <w:rPr>
                <w:rFonts w:ascii="Arial" w:cs="Arial" w:eastAsia="Arial" w:hAnsi="Arial"/>
                <w:sz w:val="12"/>
                <w:szCs w:val="12"/>
                <w:color w:val="auto"/>
              </w:rPr>
              <w:t>Exchange</w:t>
            </w:r>
          </w:p>
        </w:tc>
        <w:tc>
          <w:tcPr>
            <w:tcW w:w="7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ind w:left="480"/>
              <w:spacing w:after="0"/>
              <w:rPr>
                <w:sz w:val="20"/>
                <w:szCs w:val="20"/>
                <w:color w:val="auto"/>
              </w:rPr>
            </w:pPr>
            <w:r>
              <w:rPr>
                <w:rFonts w:ascii="Arial" w:cs="Arial" w:eastAsia="Arial" w:hAnsi="Arial"/>
                <w:sz w:val="12"/>
                <w:szCs w:val="12"/>
                <w:color w:val="auto"/>
                <w:w w:val="99"/>
              </w:rPr>
              <w:t>Investment Notes Issued on:</w:t>
            </w: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right"/>
              <w:ind w:right="820"/>
              <w:spacing w:after="0"/>
              <w:rPr>
                <w:sz w:val="20"/>
                <w:szCs w:val="20"/>
                <w:color w:val="auto"/>
              </w:rPr>
            </w:pPr>
            <w:r>
              <w:rPr>
                <w:rFonts w:ascii="Arial" w:cs="Arial" w:eastAsia="Arial" w:hAnsi="Arial"/>
                <w:sz w:val="12"/>
                <w:szCs w:val="12"/>
                <w:color w:val="auto"/>
              </w:rPr>
              <w:t>Note</w:t>
            </w:r>
          </w:p>
        </w:tc>
        <w:tc>
          <w:tcPr>
            <w:tcW w:w="78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10/11/2012</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10/19/2012</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ind w:left="440"/>
              <w:spacing w:after="0"/>
              <w:rPr>
                <w:sz w:val="20"/>
                <w:szCs w:val="20"/>
                <w:color w:val="auto"/>
              </w:rPr>
            </w:pPr>
            <w:r>
              <w:rPr>
                <w:rFonts w:ascii="Arial" w:cs="Arial" w:eastAsia="Arial" w:hAnsi="Arial"/>
                <w:sz w:val="12"/>
                <w:szCs w:val="12"/>
                <w:color w:val="auto"/>
                <w:w w:val="93"/>
              </w:rPr>
              <w:t>3/12/2013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Face value</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500,000</w:t>
            </w: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2"/>
              </w:rPr>
              <w:t>250,000</w:t>
            </w:r>
          </w:p>
        </w:tc>
        <w:tc>
          <w:tcPr>
            <w:tcW w:w="800" w:type="dxa"/>
            <w:vAlign w:val="bottom"/>
            <w:shd w:val="clear" w:color="auto" w:fill="CCEEFF"/>
          </w:tcPr>
          <w:p>
            <w:pPr>
              <w:spacing w:after="0"/>
              <w:rPr>
                <w:sz w:val="12"/>
                <w:szCs w:val="12"/>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Discount</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attributable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to:</w:t>
            </w: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Fair value</w:t>
            </w: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of warrant</w:t>
            </w:r>
          </w:p>
        </w:tc>
        <w:tc>
          <w:tcPr>
            <w:tcW w:w="5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(264,000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(264,000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8"/>
              </w:rPr>
              <w:t>(97,000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ind w:left="60"/>
              <w:spacing w:after="0" w:line="136" w:lineRule="exact"/>
              <w:rPr>
                <w:sz w:val="20"/>
                <w:szCs w:val="20"/>
                <w:color w:val="auto"/>
              </w:rPr>
            </w:pPr>
            <w:r>
              <w:rPr>
                <w:rFonts w:ascii="Arial" w:cs="Arial" w:eastAsia="Arial" w:hAnsi="Arial"/>
                <w:sz w:val="12"/>
                <w:szCs w:val="12"/>
                <w:color w:val="auto"/>
              </w:rPr>
              <w:t>Beneficial</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conversion</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feature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(231,000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(231,000</w:t>
            </w:r>
          </w:p>
        </w:tc>
        <w:tc>
          <w:tcPr>
            <w:tcW w:w="220" w:type="dxa"/>
            <w:vAlign w:val="bottom"/>
          </w:tcPr>
          <w:p>
            <w:pPr>
              <w:spacing w:after="0"/>
              <w:rPr>
                <w:sz w:val="13"/>
                <w:szCs w:val="13"/>
                <w:color w:val="auto"/>
              </w:rPr>
            </w:pP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w w:val="84"/>
              </w:rPr>
              <w:t>(147,000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Inception</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date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carrying</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value</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5,000</w:t>
            </w:r>
          </w:p>
        </w:tc>
        <w:tc>
          <w:tcPr>
            <w:tcW w:w="800" w:type="dxa"/>
            <w:vAlign w:val="bottom"/>
          </w:tcPr>
          <w:p>
            <w:pPr>
              <w:spacing w:after="0"/>
              <w:rPr>
                <w:sz w:val="13"/>
                <w:szCs w:val="13"/>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6,000</w:t>
            </w:r>
          </w:p>
        </w:tc>
        <w:tc>
          <w:tcPr>
            <w:tcW w:w="800" w:type="dxa"/>
            <w:vAlign w:val="bottom"/>
          </w:tcPr>
          <w:p>
            <w:pPr>
              <w:spacing w:after="0"/>
              <w:rPr>
                <w:sz w:val="13"/>
                <w:szCs w:val="13"/>
                <w:color w:val="auto"/>
              </w:rPr>
            </w:pPr>
          </w:p>
        </w:tc>
        <w:tc>
          <w:tcPr>
            <w:tcW w:w="960" w:type="dxa"/>
            <w:vAlign w:val="bottom"/>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Effective</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Interest</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Rate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78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127.27</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The fair value of the Exchange Warrant, the Investment Warrants and the July 2013 Warrant was re-measured as of March 31, 2014 and 2013 at an aggregate of $915,300 and $1,988,000; respectively. The aggregate decrease in fair value since March 31, 2013, or inception in the case of the July 2013 Warrant, of $1,219,500 and the aggregate increase in fair value of $298,000 from inception through March 31, 2013 is reflected in the Change in Warrant Liability in the accompanying Consolidated Statement of Operations and Comprehensive Income for the years ended March 31, 2014 and 2013.</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Notes Issued in Connection with 2013/2014 Unit Private Placement</w:t>
      </w:r>
    </w:p>
    <w:p>
      <w:pPr>
        <w:spacing w:after="0" w:line="172"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 xml:space="preserve">As described more completely in the section entitled 2013/2014 Unit Private Placement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between August 2013 and March 2014, the Company issued to accredited investors 10% convertible promissory notes (the “</w:t>
      </w:r>
      <w:r>
        <w:rPr>
          <w:rFonts w:ascii="Arial" w:cs="Arial" w:eastAsia="Arial" w:hAnsi="Arial"/>
          <w:sz w:val="12"/>
          <w:szCs w:val="12"/>
          <w:i w:val="1"/>
          <w:iCs w:val="1"/>
          <w:color w:val="auto"/>
        </w:rPr>
        <w:t>2013/2014 Unit Notes</w:t>
      </w:r>
      <w:r>
        <w:rPr>
          <w:rFonts w:ascii="Arial" w:cs="Arial" w:eastAsia="Arial" w:hAnsi="Arial"/>
          <w:sz w:val="12"/>
          <w:szCs w:val="12"/>
          <w:color w:val="auto"/>
        </w:rPr>
        <w:t>”) in an aggregate face amount of $1,007,500 in connection with its private placement of Units. The 2013/2014 Unit Notes mature on July 30, 2014 and each 2013 Unit Note and its related accrued interest is convertible into shares of the Company’s common stock at a fixed conversion price of $0.50 per share at or prior to maturity, at the option of the accredited investor. The Company has the right to prepay the 2013 Unit Notes and accrued interest in cash prior to maturity without penalty.</w:t>
      </w: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34" w:right="139" w:bottom="1440" w:gutter="0" w:footer="0" w:header="0"/>
        </w:sectPr>
      </w:pPr>
    </w:p>
    <w:bookmarkStart w:id="136" w:name="page137"/>
    <w:bookmarkEnd w:id="13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allocated the proceeds from the sale of the units to the 2013/2014 Unit Notes, the common stock and the warrants comprising the Units based on the relative fair value of the individual securities in each Unit on the dates of the Unit sales. Based on the short-duration of the 2013/2014 Unit Notes and their other terms, the Company determined that the fair value of the 2013/2014 Unit Notes at the date of issuance was equal to their face value. Accordingly, the Company recorded an initial discount attributable to each 2013/2014 Unit Note for an amount representing the difference between the face value of the 2013/2014 Unit Note and its relative value. Additionally, the 2013/2014 Unit Notes contain an embedded conversion feature, certain of which had an intrinsic value at the issuance date, which value the Company treated as an additional discount attributable to those 2013/2014 Unit Notes, subject to limitations on the absolute amount of discount attributable to each 2013/2014 Unit Note. The Company recorded a corresponding credit to additional paid-in capital, an equity account in the Consolidated Balance Sheet, attributable to the beneficial conversion feature. The Company amortizes the aggregate discount attributable to each of the 2013/2014 Unit Notes using the interest method over the respective term of each Unit Note. Based on their respective discounts, the weighted average effective interest rate attributable to the 2013/2014 Unit Notes is 464.1%.</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 Issued in Connection with 2014 Unit Private Placement</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As described more completely in the section entitled 2014 Unit Private Placement in Note 10,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during March 2014, the Company issued to an accredited investor a 10% convertible note (the “</w:t>
      </w:r>
      <w:r>
        <w:rPr>
          <w:rFonts w:ascii="Arial" w:cs="Arial" w:eastAsia="Arial" w:hAnsi="Arial"/>
          <w:sz w:val="11"/>
          <w:szCs w:val="11"/>
          <w:i w:val="1"/>
          <w:iCs w:val="1"/>
          <w:color w:val="auto"/>
        </w:rPr>
        <w:t>2014 Unit Note</w:t>
      </w:r>
      <w:r>
        <w:rPr>
          <w:rFonts w:ascii="Arial" w:cs="Arial" w:eastAsia="Arial" w:hAnsi="Arial"/>
          <w:sz w:val="11"/>
          <w:szCs w:val="11"/>
          <w:color w:val="auto"/>
        </w:rPr>
        <w:t xml:space="preserve">”) in the face amount of $50,000 in connection with its private placement offering of Units.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notes issued in connection with the 2014 Unit Private Placement.) The 2014 Unit Note matures on March 31, 2015 (“</w:t>
      </w:r>
      <w:r>
        <w:rPr>
          <w:rFonts w:ascii="Arial" w:cs="Arial" w:eastAsia="Arial" w:hAnsi="Arial"/>
          <w:sz w:val="11"/>
          <w:szCs w:val="11"/>
          <w:i w:val="1"/>
          <w:iCs w:val="1"/>
          <w:color w:val="auto"/>
        </w:rPr>
        <w:t>Maturity</w:t>
      </w:r>
      <w:r>
        <w:rPr>
          <w:rFonts w:ascii="Arial" w:cs="Arial" w:eastAsia="Arial" w:hAnsi="Arial"/>
          <w:sz w:val="11"/>
          <w:szCs w:val="11"/>
          <w:color w:val="auto"/>
        </w:rPr>
        <w:t>”) and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automatically convert into the securities sold in the Qualified Financing, based on the following formula: (the Outstanding Balance as of the closing of the Qualified Financing) x 1.25 / (the per security price of the securities sold in the Qualified Financing). This automatic conversion feature results in a contingent beneficial conversion feature that will be recorded upon the consummation of a Qualified Financing.</w:t>
      </w:r>
    </w:p>
    <w:p>
      <w:pPr>
        <w:spacing w:after="0" w:line="13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Accordingly, the Company recorded an initial discount attributable to the 2014 Unit Note for an amount representing the difference between the face value of the 2014 Unit Note and its relative value. Additionally, the 2014 Unit Note contains an embedded conversion feature which had an intrinsic value at the issuance date. The Company treated the intrinsic value of the conversion feature as an additional discount to the 2014 Unit Note. The Company recorded a corresponding credit to additional paid-in capital, an equity account in the Consolidated Balance Sheet, attributable to the beneficial conversion feature. The Company amortizes the aggregate discount attributable to the 2014 Unit Note using the interest method over the term of the note. Based on its aggregate discount, the effective interest rate attributable to the 2014 Unit Note is 123.8%.</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Convertible Promissory Notes</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February 28, 2012, the Company completed a private placement of convertible promissory notes to accredited investors in the aggregate principal amount of $500,000 (the "</w:t>
      </w:r>
      <w:r>
        <w:rPr>
          <w:rFonts w:ascii="Arial" w:cs="Arial" w:eastAsia="Arial" w:hAnsi="Arial"/>
          <w:sz w:val="11"/>
          <w:szCs w:val="11"/>
          <w:i w:val="1"/>
          <w:iCs w:val="1"/>
          <w:color w:val="auto"/>
        </w:rPr>
        <w:t>2012 Notes</w:t>
      </w:r>
      <w:r>
        <w:rPr>
          <w:rFonts w:ascii="Arial" w:cs="Arial" w:eastAsia="Arial" w:hAnsi="Arial"/>
          <w:sz w:val="11"/>
          <w:szCs w:val="11"/>
          <w:color w:val="auto"/>
        </w:rPr>
        <w:t>"). Each 2012 Note accrued interest at the rate of 12% per annum and was to mature on the earlier of (i) twenty-four months from the date of issuance, or (ii) the consummation of an equity, equity-based, or series of equity-based financings resulting in gross proceeds to the Company of at least $4.0 million (the “</w:t>
      </w:r>
      <w:r>
        <w:rPr>
          <w:rFonts w:ascii="Arial" w:cs="Arial" w:eastAsia="Arial" w:hAnsi="Arial"/>
          <w:sz w:val="11"/>
          <w:szCs w:val="11"/>
          <w:i w:val="1"/>
          <w:iCs w:val="1"/>
          <w:color w:val="auto"/>
        </w:rPr>
        <w:t>Qualified Financing Threshold</w:t>
      </w:r>
      <w:r>
        <w:rPr>
          <w:rFonts w:ascii="Arial" w:cs="Arial" w:eastAsia="Arial" w:hAnsi="Arial"/>
          <w:sz w:val="11"/>
          <w:szCs w:val="11"/>
          <w:color w:val="auto"/>
        </w:rPr>
        <w:t>”). The holders of the 2012 Notes had the right to voluntarily convert the outstanding principal amount of the 2012 Notes and all accrued and unpaid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at any time prior to maturity into that number of restricted shares of the Company’s common stock equal to the Outstanding Balance, divided by $3.00 (the "</w:t>
      </w:r>
      <w:r>
        <w:rPr>
          <w:rFonts w:ascii="Arial" w:cs="Arial" w:eastAsia="Arial" w:hAnsi="Arial"/>
          <w:sz w:val="11"/>
          <w:szCs w:val="11"/>
          <w:i w:val="1"/>
          <w:iCs w:val="1"/>
          <w:color w:val="auto"/>
        </w:rPr>
        <w:t>Conversion Shares</w:t>
      </w:r>
      <w:r>
        <w:rPr>
          <w:rFonts w:ascii="Arial" w:cs="Arial" w:eastAsia="Arial" w:hAnsi="Arial"/>
          <w:sz w:val="11"/>
          <w:szCs w:val="11"/>
          <w:color w:val="auto"/>
        </w:rPr>
        <w:t>"). In addition, in the event the Company consummated a financing equal to or exceeding the Qualified Financing Threshold, and the price per unit of the securities sold, or price per share of common stock issuable in connection with such financing, was at least $2.00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would have automatically converted into such securities, including warrants, that were issued in the Qualified Financing, the amount of which would have been determined according to the following formula: (Outstanding Balance at the closing date of the Qualified Financing) x (1.25) / (the per security price of the securities sold in the Qualified Financing).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7" w:name="page138"/>
    <w:bookmarkEnd w:id="13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On November 15, 2012, the holders of the 2012 Notes entered into an Exchange Agreement with the Company (the "</w:t>
      </w:r>
      <w:r>
        <w:rPr>
          <w:rFonts w:ascii="Arial" w:cs="Arial" w:eastAsia="Arial" w:hAnsi="Arial"/>
          <w:sz w:val="12"/>
          <w:szCs w:val="12"/>
          <w:i w:val="1"/>
          <w:iCs w:val="1"/>
          <w:color w:val="auto"/>
        </w:rPr>
        <w:t>Exchange Agreement</w:t>
      </w:r>
      <w:r>
        <w:rPr>
          <w:rFonts w:ascii="Arial" w:cs="Arial" w:eastAsia="Arial" w:hAnsi="Arial"/>
          <w:sz w:val="12"/>
          <w:szCs w:val="12"/>
          <w:color w:val="auto"/>
        </w:rPr>
        <w:t>"). Under the terms of the Exchange Agreement, (i) the current amount due under the terms of the 2012 Notes, $678,600, which amount included all accrued interest as well as additional consideration for the conversion, was exchanged for a total of 1,357,281 restricted shares of the Company's common stock and five-year warrants to purchase 678,641 restricted shares of the Company's common stock at an exercise price of $1.50 per share (the "</w:t>
      </w:r>
      <w:r>
        <w:rPr>
          <w:rFonts w:ascii="Arial" w:cs="Arial" w:eastAsia="Arial" w:hAnsi="Arial"/>
          <w:sz w:val="12"/>
          <w:szCs w:val="12"/>
          <w:i w:val="1"/>
          <w:iCs w:val="1"/>
          <w:color w:val="auto"/>
        </w:rPr>
        <w:t>Note Exchange Securities</w:t>
      </w:r>
      <w:r>
        <w:rPr>
          <w:rFonts w:ascii="Arial" w:cs="Arial" w:eastAsia="Arial" w:hAnsi="Arial"/>
          <w:sz w:val="12"/>
          <w:szCs w:val="12"/>
          <w:color w:val="auto"/>
        </w:rPr>
        <w:t>"). Additionally, the Company issued a five-year warrant to purchase 72,000 restricted shares of the Company’s common stock at an exercise price of $1.50 per share as partial compensation to a placement agent that had placed certain of the 2012 Notes. The Company recorded the issuance of the warrants with a charge to interest expense of $28,200 and a corresponding credit to additional paid-in capital.</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Company determined that the exchange of the 2012 Notes into restricted shares of its common stock should be accounted for as an extinguishment of debt. The Company recognized as consideration in the exchange the sum of (i) the fair value of the restricted common stock issued in the exchange at the quoted market price of $0.70 per share on the date of the exchange, or $950,100, and (ii) the fair value of the warrants, which was determined to be $0.39 per share, or $265,500, using the Black Scholes Option Pricing Model and the following assumptions: market price per share: $0.70; exercise price per share: $1.50; risk-free interest rate: 0.62%; contractual term: 5 years; volatility: 89.5%; expected dividend rate: 0%. The aggregate consideration less the net carrying value of the 2012 Notes, including accrued interest, resulted in the recognition of $1,145,100 as a non-cash loss on early extinguishment of debt in the accompanying Consolidated Statements of Operations and Comprehensive Income for the fiscal year ended March 31, 2013. The warrants issued to the placement agent were valued using the same assumptions as used for the warrants issued to the exchanging note holders.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Note Payable to Morrison &amp; Foerster</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May 5, 2011, the Company and Morrison &amp; Foerster LLP (“</w:t>
      </w:r>
      <w:r>
        <w:rPr>
          <w:rFonts w:ascii="Arial" w:cs="Arial" w:eastAsia="Arial" w:hAnsi="Arial"/>
          <w:sz w:val="11"/>
          <w:szCs w:val="11"/>
          <w:i w:val="1"/>
          <w:iCs w:val="1"/>
          <w:color w:val="auto"/>
        </w:rPr>
        <w:t>Morrison &amp; Foerster</w:t>
      </w:r>
      <w:r>
        <w:rPr>
          <w:rFonts w:ascii="Arial" w:cs="Arial" w:eastAsia="Arial" w:hAnsi="Arial"/>
          <w:sz w:val="11"/>
          <w:szCs w:val="11"/>
          <w:color w:val="auto"/>
        </w:rPr>
        <w:t>”), then the Company’s general corporate and intellectual property counsel, amended a previously outstanding note (the “</w:t>
      </w:r>
      <w:r>
        <w:rPr>
          <w:rFonts w:ascii="Arial" w:cs="Arial" w:eastAsia="Arial" w:hAnsi="Arial"/>
          <w:sz w:val="11"/>
          <w:szCs w:val="11"/>
          <w:i w:val="1"/>
          <w:iCs w:val="1"/>
          <w:color w:val="auto"/>
        </w:rPr>
        <w:t>Original Note</w:t>
      </w:r>
      <w:r>
        <w:rPr>
          <w:rFonts w:ascii="Arial" w:cs="Arial" w:eastAsia="Arial" w:hAnsi="Arial"/>
          <w:sz w:val="11"/>
          <w:szCs w:val="11"/>
          <w:color w:val="auto"/>
        </w:rPr>
        <w:t>”) issued by the Company in payment of legal services (the “</w:t>
      </w:r>
      <w:r>
        <w:rPr>
          <w:rFonts w:ascii="Arial" w:cs="Arial" w:eastAsia="Arial" w:hAnsi="Arial"/>
          <w:sz w:val="11"/>
          <w:szCs w:val="11"/>
          <w:i w:val="1"/>
          <w:iCs w:val="1"/>
          <w:color w:val="auto"/>
        </w:rPr>
        <w:t>Amended Note</w:t>
      </w:r>
      <w:r>
        <w:rPr>
          <w:rFonts w:ascii="Arial" w:cs="Arial" w:eastAsia="Arial" w:hAnsi="Arial"/>
          <w:sz w:val="11"/>
          <w:szCs w:val="11"/>
          <w:color w:val="auto"/>
        </w:rPr>
        <w:t>”). Under the Amended Note, the principal balance of the Original Note was increased to $2,200,000, interest accrued at the rate of 7.5% per annum, and the Company was required to make an additional payment of $100,000 within three business days of the date of the Amended Note. The Company made the required $100,000 payment in a timely manner.</w:t>
      </w:r>
    </w:p>
    <w:p>
      <w:pPr>
        <w:spacing w:after="0" w:line="1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On August 31, 2012, the Company restructured the Amended Note (the “</w:t>
      </w:r>
      <w:r>
        <w:rPr>
          <w:rFonts w:ascii="Arial" w:cs="Arial" w:eastAsia="Arial" w:hAnsi="Arial"/>
          <w:sz w:val="11"/>
          <w:szCs w:val="11"/>
          <w:i w:val="1"/>
          <w:iCs w:val="1"/>
          <w:color w:val="auto"/>
        </w:rPr>
        <w:t>Restructuring Agreement</w:t>
      </w:r>
      <w:r>
        <w:rPr>
          <w:rFonts w:ascii="Arial" w:cs="Arial" w:eastAsia="Arial" w:hAnsi="Arial"/>
          <w:sz w:val="11"/>
          <w:szCs w:val="11"/>
          <w:color w:val="auto"/>
        </w:rPr>
        <w:t>”). Pursuant to the Restructuring Agreement, the Company issued to Morrison &amp; Foerster two new unsecured promissory notes to replace the Amended Note, one in the principal amount of $1,000,000 ("</w:t>
      </w:r>
      <w:r>
        <w:rPr>
          <w:rFonts w:ascii="Arial" w:cs="Arial" w:eastAsia="Arial" w:hAnsi="Arial"/>
          <w:sz w:val="11"/>
          <w:szCs w:val="11"/>
          <w:i w:val="1"/>
          <w:iCs w:val="1"/>
          <w:color w:val="auto"/>
        </w:rPr>
        <w:t>Replacement Note A</w:t>
      </w:r>
      <w:r>
        <w:rPr>
          <w:rFonts w:ascii="Arial" w:cs="Arial" w:eastAsia="Arial" w:hAnsi="Arial"/>
          <w:sz w:val="11"/>
          <w:szCs w:val="11"/>
          <w:color w:val="auto"/>
        </w:rPr>
        <w:t>") and the other in the principal amount of $1,379,400 ("</w:t>
      </w:r>
      <w:r>
        <w:rPr>
          <w:rFonts w:ascii="Arial" w:cs="Arial" w:eastAsia="Arial" w:hAnsi="Arial"/>
          <w:sz w:val="11"/>
          <w:szCs w:val="11"/>
          <w:i w:val="1"/>
          <w:iCs w:val="1"/>
          <w:color w:val="auto"/>
        </w:rPr>
        <w:t>Replacement Note B</w:t>
      </w:r>
      <w:r>
        <w:rPr>
          <w:rFonts w:ascii="Arial" w:cs="Arial" w:eastAsia="Arial" w:hAnsi="Arial"/>
          <w:sz w:val="11"/>
          <w:szCs w:val="11"/>
          <w:color w:val="auto"/>
        </w:rPr>
        <w:t>") (together, the "</w:t>
      </w:r>
      <w:r>
        <w:rPr>
          <w:rFonts w:ascii="Arial" w:cs="Arial" w:eastAsia="Arial" w:hAnsi="Arial"/>
          <w:sz w:val="11"/>
          <w:szCs w:val="11"/>
          <w:i w:val="1"/>
          <w:iCs w:val="1"/>
          <w:color w:val="auto"/>
        </w:rPr>
        <w:t>Replacement Notes</w:t>
      </w:r>
      <w:r>
        <w:rPr>
          <w:rFonts w:ascii="Arial" w:cs="Arial" w:eastAsia="Arial" w:hAnsi="Arial"/>
          <w:sz w:val="11"/>
          <w:szCs w:val="11"/>
          <w:color w:val="auto"/>
        </w:rPr>
        <w:t xml:space="preserve">"); amended an outstanding warrant to purchase restricted shares of the Company’s common stock (the </w:t>
      </w:r>
      <w:r>
        <w:rPr>
          <w:rFonts w:ascii="Arial" w:cs="Arial" w:eastAsia="Arial" w:hAnsi="Arial"/>
          <w:sz w:val="11"/>
          <w:szCs w:val="11"/>
          <w:i w:val="1"/>
          <w:iCs w:val="1"/>
          <w:color w:val="auto"/>
        </w:rPr>
        <w:t>“Amended M&amp;F Warrant”)</w:t>
      </w:r>
      <w:r>
        <w:rPr>
          <w:rFonts w:ascii="Arial" w:cs="Arial" w:eastAsia="Arial" w:hAnsi="Arial"/>
          <w:sz w:val="11"/>
          <w:szCs w:val="11"/>
          <w:color w:val="auto"/>
        </w:rPr>
        <w:t>; and issued a new warrant to purchase restricted shares of the Company’s common stock (the “</w:t>
      </w:r>
      <w:r>
        <w:rPr>
          <w:rFonts w:ascii="Arial" w:cs="Arial" w:eastAsia="Arial" w:hAnsi="Arial"/>
          <w:sz w:val="11"/>
          <w:szCs w:val="11"/>
          <w:i w:val="1"/>
          <w:iCs w:val="1"/>
          <w:color w:val="auto"/>
        </w:rPr>
        <w:t>New M&amp;F Warrant”).</w:t>
      </w:r>
      <w:r>
        <w:rPr>
          <w:rFonts w:ascii="Arial" w:cs="Arial" w:eastAsia="Arial" w:hAnsi="Arial"/>
          <w:sz w:val="11"/>
          <w:szCs w:val="11"/>
          <w:color w:val="auto"/>
        </w:rPr>
        <w:t xml:space="preserve"> 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Payment of the principal and interest on Replacement Note B will be made solely in restricted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shall have the option to require payment of Replacement Note B in cash upon the occurrence of a change in control of the Company or an event of default, and only in such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8" w:name="page139"/>
    <w:bookmarkEnd w:id="13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treated the aggregate of the incremental value of the Amended M&amp;F Warrant and the fair value of the New M&amp;F Warrant as a discount to the Replacement Notes. Under the terms of the Amended M&amp;F Warrant, the Company amended the warrant to purchase 425,000 restricted shares of its common stock originally issued to Morrison &amp; Foerster on March 15, 2010 to extend the expiration date of the warrant from December 31, 2014 to September 15, 2017 and to provide for exercise by paying cash or by the cancellation in whole or in part of the Company’s indebtedness under either of the Replacement Notes. The Company determined that the incremental value of the Amended M&amp;F Warrant was $121,650 at the modification date using the Black-Scholes Option Pricing Model and the following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Expected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5.04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0.24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0.52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New M&amp;F Warrant is exercisable for the number of restricted shares of the Company’s common stock equal to the principal and accrued interest due under the terms of Replacement Note B divided by the warrant exercise price of $1.00 per share. At the August 31, 2012 date of grant, the New M&amp;F Warrant was exercisable to purchase 1,379,376 restricted shares of the Company’s common stock. The New M&amp;F Warrant effectively permits exercise only by the cancellation in whole or in part of the Company’s indebtedness under either of the Replacement Notes. The New M&amp;F Warrant expires on September 15, 2017. The Company determined the fair value of the New M&amp;F Warrant to be $0.64 per share, or $876,800, at the date of grant using the Black Scholes Option Pricing Model and the following assumptions: market price per share: $0.94; exercise price per share: $1.00; risk-free interest rate: 0.61%; contractual term: 5.04 years; volatility: 88.8%; expected dividend rate: 0%. The note discounts totaling $1,197,900, including the $199,500 remaining unamortized discount recorded prior to the modification, will be amortized to interest expense using the effective interest method over the term of the Replacement Notes. The aggregate amount of the incremental fair value of the Amended M&amp;F Warrant and the fair value of the New M&amp;F Warrant, $998,450, was recognized as equity and was credited to additional paid-in capital in the accompanying Consolidated Balance Sheets. The effective interest rate on the Replacement Notes at the date of issuance was 32.3%, based on the stated interest rate, the amount of discount, and the term of the Replacement Notes. Through March 31, 2014, the Company has adjusted the New M&amp;F Warrant to increase the number of restricted shares available for purchase by 195,191 shares, based on interest accrued on Replacement Note B through that date. The Company has recorded the fair value of the additional shares as a charge to interest expense and a corresponding credit to additional paid-in capital.</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Cato Research Ltd.</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October 10, 2012, the Company issued to Cato Research Ltd (“</w:t>
      </w:r>
      <w:r>
        <w:rPr>
          <w:rFonts w:ascii="Arial" w:cs="Arial" w:eastAsia="Arial" w:hAnsi="Arial"/>
          <w:sz w:val="11"/>
          <w:szCs w:val="11"/>
          <w:i w:val="1"/>
          <w:iCs w:val="1"/>
          <w:color w:val="auto"/>
        </w:rPr>
        <w:t>CRL”</w:t>
      </w:r>
      <w:r>
        <w:rPr>
          <w:rFonts w:ascii="Arial" w:cs="Arial" w:eastAsia="Arial" w:hAnsi="Arial"/>
          <w:sz w:val="11"/>
          <w:szCs w:val="11"/>
          <w:color w:val="auto"/>
        </w:rPr>
        <w:t>), a contract research and development partner and a related party: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w:t>
      </w:r>
      <w:r>
        <w:rPr>
          <w:rFonts w:ascii="Arial" w:cs="Arial" w:eastAsia="Arial" w:hAnsi="Arial"/>
          <w:sz w:val="11"/>
          <w:szCs w:val="11"/>
          <w:i w:val="1"/>
          <w:iCs w:val="1"/>
          <w:color w:val="auto"/>
        </w:rPr>
        <w:t>CRO Services</w:t>
      </w:r>
      <w:r>
        <w:rPr>
          <w:rFonts w:ascii="Arial" w:cs="Arial" w:eastAsia="Arial" w:hAnsi="Arial"/>
          <w:sz w:val="11"/>
          <w:szCs w:val="11"/>
          <w:color w:val="auto"/>
        </w:rPr>
        <w:t>”) rendered by CRL to the Company and its affiliates through December 31, 2012 with respect to the non-clinical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Arial" w:cs="Arial" w:eastAsia="Arial" w:hAnsi="Arial"/>
          <w:sz w:val="11"/>
          <w:szCs w:val="11"/>
          <w:i w:val="1"/>
          <w:iCs w:val="1"/>
          <w:color w:val="auto"/>
        </w:rPr>
        <w:t>CRL Warrant</w:t>
      </w:r>
      <w:r>
        <w:rPr>
          <w:rFonts w:ascii="Arial" w:cs="Arial" w:eastAsia="Arial" w:hAnsi="Arial"/>
          <w:sz w:val="11"/>
          <w:szCs w:val="11"/>
          <w:color w:val="auto"/>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9" w:name="page140"/>
    <w:bookmarkEnd w:id="13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$486,164,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CRL Note and the CRL Warrant less the accounts payable balance due to CRL, $335,100, as a non-cash loss on early extinguishment of debt in the accompanying Consolidated Statements of Operations and Comprehensive Income for the year ended March 31, 2013. The fair value of the warrant, $486,164,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resulting in an effective interest rate of 12.1% on the CRL Note. Through March 31, 2014, the Company has adjusted the CRL Warrant to increase the number of restricted shares available for purchase by 117,329 shares, based on interest accrued on the CRL Note through that date. The Company has recorded the fair value of the additional shares as a charge to interest expense and a corresponding credit to additional paid-in capital.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and Restructuring of Long-Term Promissory Note to Cato Holding Company</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April 2011, all amounts owed by the Company to Cato Holding Company ("</w:t>
      </w:r>
      <w:r>
        <w:rPr>
          <w:rFonts w:ascii="Arial" w:cs="Arial" w:eastAsia="Arial" w:hAnsi="Arial"/>
          <w:sz w:val="12"/>
          <w:szCs w:val="12"/>
          <w:i w:val="1"/>
          <w:iCs w:val="1"/>
          <w:color w:val="auto"/>
        </w:rPr>
        <w:t>CHC</w:t>
      </w:r>
      <w:r>
        <w:rPr>
          <w:rFonts w:ascii="Arial" w:cs="Arial" w:eastAsia="Arial" w:hAnsi="Arial"/>
          <w:sz w:val="12"/>
          <w:szCs w:val="12"/>
          <w:color w:val="auto"/>
        </w:rPr>
        <w:t>") and its affiliates, were consolidated into a single note, in the principal amount of $352,300 (the “</w:t>
      </w:r>
      <w:r>
        <w:rPr>
          <w:rFonts w:ascii="Arial" w:cs="Arial" w:eastAsia="Arial" w:hAnsi="Arial"/>
          <w:sz w:val="12"/>
          <w:szCs w:val="12"/>
          <w:i w:val="1"/>
          <w:iCs w:val="1"/>
          <w:color w:val="auto"/>
        </w:rPr>
        <w:t>2011 CHC Note</w:t>
      </w:r>
      <w:r>
        <w:rPr>
          <w:rFonts w:ascii="Arial" w:cs="Arial" w:eastAsia="Arial" w:hAnsi="Arial"/>
          <w:sz w:val="12"/>
          <w:szCs w:val="12"/>
          <w:color w:val="auto"/>
        </w:rPr>
        <w:t>”). Concurrently, CHC released all of its security interests in certain of the Company’s personal property.</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October 10, 2012, the Company and CHC restructured the 2011 CHC Note. The 2011 CHC Note was cancelled and exchanged for a new unsecured promissory note in the principal amount of $310,400 (the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250,000 restricted shares of the Company’s common stock at a price of $1.50 per share (the “</w:t>
      </w:r>
      <w:r>
        <w:rPr>
          <w:rFonts w:ascii="Arial" w:cs="Arial" w:eastAsia="Arial" w:hAnsi="Arial"/>
          <w:sz w:val="12"/>
          <w:szCs w:val="12"/>
          <w:i w:val="1"/>
          <w:iCs w:val="1"/>
          <w:color w:val="auto"/>
        </w:rPr>
        <w:t>CHC Warrant</w:t>
      </w:r>
      <w:r>
        <w:rPr>
          <w:rFonts w:ascii="Arial" w:cs="Arial" w:eastAsia="Arial" w:hAnsi="Arial"/>
          <w:sz w:val="12"/>
          <w:szCs w:val="12"/>
          <w:color w:val="auto"/>
        </w:rPr>
        <w:t>”). The 2012 CHC Note accrues interest at a rate of 7.5% per annum and is due and payable in monthly installments of $10,000, beginning November 1, 2012 and continuing until the outstanding balance is paid in full.</w:t>
      </w:r>
    </w:p>
    <w:p>
      <w:pPr>
        <w:spacing w:after="0" w:line="14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$120,500, using the Black Scholes Option Pricing Model and the following assumptions: market price per share: $0.75; exercise price per share: $1.50; risk-free interest rate: 0.66%; contractual term: 5 years; volatility: 89.9%; expected dividend rate: 0%. The Company recognized the difference between the sum of the fair values of the 2012 CHC Note and the CHC Warrant less the carrying value of the 2011 CHC Note, $119,100, as a non-cash loss on early extinguishment of debt in the accompanying Consolidated Statements of Operations and Comprehensive Income for the year ended March 31, 2013. The fair value of the warrant, $120,500, which is treated as an equity instrument, was credited to additional paid in capital at the issuance date. The difference between the face value of the 2012 CHC Note and its fair value, $19,300, has been treated as a discount to the note and is being amortized over the term of the note using the interest method, resulting in an effective interest rate of 11.9% on the CHC 2012 Note.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University Health Network</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October 10, 2012, the Company issued to the 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2"/>
          <w:szCs w:val="12"/>
          <w:i w:val="1"/>
          <w:iCs w:val="1"/>
          <w:color w:val="auto"/>
        </w:rPr>
        <w:t>UHN</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and (ii) a five-year warrant to purchase, at a price of $1.00 per share, 549,500 restricted shares of the Company’s common stock, the amount equal to the sum of the principal amount of the UHN Note, plus all accrued interest</w:t>
      </w:r>
      <w:r>
        <w:rPr>
          <w:rFonts w:ascii="Arial" w:cs="Arial" w:eastAsia="Arial" w:hAnsi="Arial"/>
          <w:sz w:val="12"/>
          <w:szCs w:val="12"/>
          <w:i w:val="1"/>
          <w:iCs w:val="1"/>
          <w:color w:val="auto"/>
        </w:rPr>
        <w:t xml:space="preserve"> </w:t>
      </w:r>
      <w:r>
        <w:rPr>
          <w:rFonts w:ascii="Arial" w:cs="Arial" w:eastAsia="Arial" w:hAnsi="Arial"/>
          <w:sz w:val="12"/>
          <w:szCs w:val="12"/>
          <w:color w:val="auto"/>
        </w:rPr>
        <w:t>thereon, divided by $1.00 per share (the “</w:t>
      </w:r>
      <w:r>
        <w:rPr>
          <w:rFonts w:ascii="Arial" w:cs="Arial" w:eastAsia="Arial" w:hAnsi="Arial"/>
          <w:sz w:val="12"/>
          <w:szCs w:val="12"/>
          <w:i w:val="1"/>
          <w:iCs w:val="1"/>
          <w:color w:val="auto"/>
        </w:rPr>
        <w:t>UHN Warrant</w:t>
      </w:r>
      <w:r>
        <w:rPr>
          <w:rFonts w:ascii="Arial" w:cs="Arial" w:eastAsia="Arial" w:hAnsi="Arial"/>
          <w:sz w:val="12"/>
          <w:szCs w:val="12"/>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0" w:name="page141"/>
    <w:bookmarkEnd w:id="140"/>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firstLine="432"/>
        <w:spacing w:after="0" w:line="253" w:lineRule="auto"/>
        <w:rPr>
          <w:sz w:val="20"/>
          <w:szCs w:val="20"/>
          <w:color w:val="auto"/>
        </w:rPr>
      </w:pPr>
      <w:r>
        <w:rPr>
          <w:rFonts w:ascii="Arial" w:cs="Arial" w:eastAsia="Arial" w:hAnsi="Arial"/>
          <w:sz w:val="12"/>
          <w:szCs w:val="12"/>
          <w:color w:val="auto"/>
        </w:rPr>
        <w:t>The Company determined that the restructuring of the accounts payable to UHN under the SRCA, defined below, and the related issuance of the UHN Note should be accounted for as an extinguishment of debt. Accordingly, the Company recorded the UHN Note at its fair value of $467,211 based on the present value of its scheduled cash flows and assumptions regarding market interest rates for unsecured debt of similar quality. The Company determined the fair value of the UHN Warrant to be $0.48 per share, or $264,775,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UHN Note and the UHN Warrant less the accounts payable balance due to UHN, $182,500, as a non-cash loss on early extinguishment of debt in the accompanying Consolidated Statements of Operations and Comprehensive Income for the year ended March 31, 2013. The fair value of the warrant, $264,775, which is treated as an equity instrument, was credited to additional paid in capital at the issuance date. The difference between the face value of the UHN Note and its fair value has been treated as a discount to the note and is being amortized over the term of the note using the interest method, resulting in an effective interest rate of 11.3% on the UHN Note. Through March 31, 2014, the Company has adjusted the UHN Warrant to increase the number of restricted shares available for purchase by 60,633 shares, based on interest accrued on the UHN Note through that date. The Company has recorded the fair value of the additional shares as a charge to interest expense and a corresponding credit to additional paid-in capital.</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Issuance of Long-Term Notes and Cancellation of Amounts Payable</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On February 25, 2011, the Company issued to Burr, Pilger, and Mayer, LLC (“</w:t>
      </w:r>
      <w:r>
        <w:rPr>
          <w:rFonts w:ascii="Arial" w:cs="Arial" w:eastAsia="Arial" w:hAnsi="Arial"/>
          <w:sz w:val="12"/>
          <w:szCs w:val="12"/>
          <w:i w:val="1"/>
          <w:iCs w:val="1"/>
          <w:color w:val="auto"/>
        </w:rPr>
        <w:t>BPM</w:t>
      </w:r>
      <w:r>
        <w:rPr>
          <w:rFonts w:ascii="Arial" w:cs="Arial" w:eastAsia="Arial" w:hAnsi="Arial"/>
          <w:sz w:val="12"/>
          <w:szCs w:val="12"/>
          <w:color w:val="auto"/>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spacing w:after="0" w:line="125"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April 29, 2011, the Company issued to Desjardins Securities, Inc. (“</w:t>
      </w:r>
      <w:r>
        <w:rPr>
          <w:rFonts w:ascii="Arial" w:cs="Arial" w:eastAsia="Arial" w:hAnsi="Arial"/>
          <w:sz w:val="12"/>
          <w:szCs w:val="12"/>
          <w:i w:val="1"/>
          <w:iCs w:val="1"/>
          <w:color w:val="auto"/>
        </w:rPr>
        <w:t>Desjardins</w:t>
      </w:r>
      <w:r>
        <w:rPr>
          <w:rFonts w:ascii="Arial" w:cs="Arial" w:eastAsia="Arial" w:hAnsi="Arial"/>
          <w:sz w:val="12"/>
          <w:szCs w:val="12"/>
          <w:color w:val="auto"/>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is also required to make payments equal to one-half of one percent (0.5%) of the net proceeds of all private or public equity financings closed during the term of the note. The note payable to Desjardins is due on June 30, 2014.</w:t>
      </w:r>
    </w:p>
    <w:p>
      <w:pPr>
        <w:spacing w:after="0" w:line="126" w:lineRule="exact"/>
        <w:rPr>
          <w:sz w:val="20"/>
          <w:szCs w:val="20"/>
          <w:color w:val="auto"/>
        </w:rPr>
      </w:pPr>
    </w:p>
    <w:p>
      <w:pPr>
        <w:jc w:val="both"/>
        <w:ind w:left="8" w:firstLine="432"/>
        <w:spacing w:after="0" w:line="310" w:lineRule="auto"/>
        <w:rPr>
          <w:sz w:val="20"/>
          <w:szCs w:val="20"/>
          <w:color w:val="auto"/>
        </w:rPr>
      </w:pPr>
      <w:r>
        <w:rPr>
          <w:rFonts w:ascii="Arial" w:cs="Arial" w:eastAsia="Arial" w:hAnsi="Arial"/>
          <w:sz w:val="10"/>
          <w:szCs w:val="10"/>
          <w:color w:val="auto"/>
        </w:rPr>
        <w:t>On May 5, 2011, the Company issued to McCarthy Tetrault LLP (“</w:t>
      </w:r>
      <w:r>
        <w:rPr>
          <w:rFonts w:ascii="Arial" w:cs="Arial" w:eastAsia="Arial" w:hAnsi="Arial"/>
          <w:sz w:val="10"/>
          <w:szCs w:val="10"/>
          <w:i w:val="1"/>
          <w:iCs w:val="1"/>
          <w:color w:val="auto"/>
        </w:rPr>
        <w:t>McCarthy</w:t>
      </w:r>
      <w:r>
        <w:rPr>
          <w:rFonts w:ascii="Arial" w:cs="Arial" w:eastAsia="Arial" w:hAnsi="Arial"/>
          <w:sz w:val="10"/>
          <w:szCs w:val="10"/>
          <w:color w:val="auto"/>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w:t>
      </w:r>
    </w:p>
    <w:p>
      <w:pPr>
        <w:jc w:val="both"/>
        <w:ind w:left="8" w:hanging="8"/>
        <w:spacing w:after="0" w:line="255" w:lineRule="auto"/>
        <w:tabs>
          <w:tab w:leader="none" w:pos="226" w:val="left"/>
        </w:tabs>
        <w:numPr>
          <w:ilvl w:val="0"/>
          <w:numId w:val="68"/>
        </w:numPr>
        <w:rPr>
          <w:rFonts w:ascii="Arial" w:cs="Arial" w:eastAsia="Arial" w:hAnsi="Arial"/>
          <w:sz w:val="12"/>
          <w:szCs w:val="12"/>
          <w:color w:val="auto"/>
        </w:rPr>
      </w:pPr>
      <w:r>
        <w:rPr>
          <w:rFonts w:ascii="Arial" w:cs="Arial" w:eastAsia="Arial" w:hAnsi="Arial"/>
          <w:sz w:val="12"/>
          <w:szCs w:val="12"/>
          <w:color w:val="auto"/>
        </w:rPr>
        <w:t xml:space="preserve">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The note payable to McCarthy is due on June 14, 2014. However, see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 xml:space="preserve"> regarding an amendment extending the maturity date of the McCarthy note and modifying other terms.</w:t>
      </w:r>
    </w:p>
    <w:p>
      <w:pPr>
        <w:spacing w:after="0" w:line="128"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w:t>
      </w: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41" w:name="page142"/>
    <w:bookmarkEnd w:id="14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On October 12, 2009, the Company issued a promissory note payable to the Regents of the University of California (“</w:t>
      </w:r>
      <w:r>
        <w:rPr>
          <w:rFonts w:ascii="Arial" w:cs="Arial" w:eastAsia="Arial" w:hAnsi="Arial"/>
          <w:sz w:val="11"/>
          <w:szCs w:val="11"/>
          <w:i w:val="1"/>
          <w:iCs w:val="1"/>
          <w:color w:val="auto"/>
        </w:rPr>
        <w:t>UC</w:t>
      </w:r>
      <w:r>
        <w:rPr>
          <w:rFonts w:ascii="Arial" w:cs="Arial" w:eastAsia="Arial" w:hAnsi="Arial"/>
          <w:sz w:val="11"/>
          <w:szCs w:val="11"/>
          <w:color w:val="auto"/>
        </w:rPr>
        <w:t>”) with a principal balance of $90,000 in exchange for the cancellation of certain amounts payable under a research collaboration agreement (the “</w:t>
      </w:r>
      <w:r>
        <w:rPr>
          <w:rFonts w:ascii="Arial" w:cs="Arial" w:eastAsia="Arial" w:hAnsi="Arial"/>
          <w:sz w:val="11"/>
          <w:szCs w:val="11"/>
          <w:i w:val="1"/>
          <w:iCs w:val="1"/>
          <w:color w:val="auto"/>
        </w:rPr>
        <w:t>UC Note 1</w:t>
      </w:r>
      <w:r>
        <w:rPr>
          <w:rFonts w:ascii="Arial" w:cs="Arial" w:eastAsia="Arial" w:hAnsi="Arial"/>
          <w:sz w:val="11"/>
          <w:szCs w:val="11"/>
          <w:color w:val="auto"/>
        </w:rPr>
        <w:t>”). UC Note 1 was payable in monthly principal installments of $15,000 through May 30, 2010. Interest on UC Note 1 at 10% per annum was payable on May 30, 2010. If the Company had completed an initial public offering of its stock prior to May 30, 2010, the remaining balance of UC Note 1 would have been payable within 10 business days after the initial public offering was consummated. The Company made the first two monthly installments totaling an aggregate of $30,000. On February 25, 2010, the Company issued a promissory note payable to UC having a principal balance of $170,000 in exchange for the cancellation of the remaining $60,000 principal balance of UC Note 1 and certain amounts payable under a research collaboration agreement (“</w:t>
      </w:r>
      <w:r>
        <w:rPr>
          <w:rFonts w:ascii="Arial" w:cs="Arial" w:eastAsia="Arial" w:hAnsi="Arial"/>
          <w:sz w:val="11"/>
          <w:szCs w:val="11"/>
          <w:i w:val="1"/>
          <w:iCs w:val="1"/>
          <w:color w:val="auto"/>
        </w:rPr>
        <w:t>UC Note 2</w:t>
      </w:r>
      <w:r>
        <w:rPr>
          <w:rFonts w:ascii="Arial" w:cs="Arial" w:eastAsia="Arial" w:hAnsi="Arial"/>
          <w:sz w:val="11"/>
          <w:szCs w:val="11"/>
          <w:color w:val="auto"/>
        </w:rPr>
        <w:t>”). UC Note 2 was payable in monthly principal installments of $15,000 through May 31, 2010, with the remaining $125,000 plus all accrued and unpaid interest due on or before June 30, 2010. If the Company had completed an initial public offering of its stock prior to June 30, 2010, the remaining balance of the Note would have been payable within 10 business days after the initial public offering was consummated. On June 28, 2010, the Company amended UC Note 2 to extend the payment terms as follows: monthly installments of $15,000 payable through May 31, 2010, $10,000 due on June 30, 2010 and $115,000 plus all accrued and unpaid interest due and payable on or before August 30, 2010. On August 25, 2010 and again on October 30, 2010, the Company amended UC Note 2 to extend the date of the final installment payment to be made under UC Note 2 to December 31, 2010 while adding a strategic premium to preserve license rights under the research collaboration agreement in exchange for an increase in the then-outstanding principal amount of UC Note 2 by $15,000 to $125,000. On December 22, 2010, the Company amended UC Note 2 a fourth time and decreased the monthly payment amount to $5,000 with payments continuing until the outstanding balance of principal and interest is paid in full. The provision requiring the payment of the outstanding balance within 10 business days following the closing of an initial public offering remains unchanged.</w:t>
      </w:r>
    </w:p>
    <w:p>
      <w:pPr>
        <w:spacing w:after="0" w:line="11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March 1, 2010, the Company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2"/>
          <w:szCs w:val="12"/>
          <w:i w:val="1"/>
          <w:iCs w:val="1"/>
          <w:color w:val="auto"/>
        </w:rPr>
        <w:t>March 2010 Note</w:t>
      </w:r>
      <w:r>
        <w:rPr>
          <w:rFonts w:ascii="Arial" w:cs="Arial" w:eastAsia="Arial" w:hAnsi="Arial"/>
          <w:sz w:val="12"/>
          <w:szCs w:val="12"/>
          <w:color w:val="auto"/>
        </w:rPr>
        <w:t>”). If the Company had completed an initial public offering of its stock prior to any installment dates, $25,000 of the remaining balance of the March 2010 Note would have been due on June 30, 2010, and any remaining principal balance and all accrued and unpaid interest would have been payable within 90 business days after the initial public offering was consummated. On December 28, 2010, the Company amended the March 2010 Note and extended its maturity date to the first to occur of April 30, 2011 or 30 days following the closing of a financing with gross proceeds of $5,000,000 or more. The Company has been in extended discussions with the holder of the March 2010 Note and anticipates that the Note will be cancelled in favor of certain amounts payable to the Company equal to or greater than the outstanding balance of the Note.</w:t>
      </w:r>
    </w:p>
    <w:p>
      <w:pPr>
        <w:spacing w:after="0" w:line="1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August 13, 2010, the Company issued a 10% promissory note with a principal balance of $40,962 to MicroConstants, Inc. in exchange for the cancellation of certain amounts payable for services rendered. Under the terms of this note, the Company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the Company’s stock or assets.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Capital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Series A Preferred Stock</w:t>
      </w:r>
    </w:p>
    <w:p>
      <w:pPr>
        <w:spacing w:after="0" w:line="172"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Each restricted share of Series A Preferred was initially convertible at the option of the holder into ten restricted shares of the Company's common stock. The Series A Preferred ranks prior to the common stock for purposes of liquidation preference.</w:t>
      </w:r>
    </w:p>
    <w:p>
      <w:pPr>
        <w:spacing w:after="0" w:line="11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2" w:name="page143"/>
    <w:bookmarkEnd w:id="14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the Company’s common stock.</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the debts and other liabilities of the Company, the holders of Series A Preferred then outstanding shall be entitled to receive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w:t>
      </w:r>
    </w:p>
    <w:p>
      <w:pPr>
        <w:spacing w:after="0" w:line="14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At March 31, 2014 and 2013, there were 500,000 restricted shares of Series A Preferred outstanding, all issued to Platinum.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0" w:lineRule="exact"/>
        <w:rPr>
          <w:sz w:val="20"/>
          <w:szCs w:val="20"/>
          <w:color w:val="auto"/>
        </w:rPr>
      </w:pPr>
    </w:p>
    <w:p>
      <w:pPr>
        <w:ind w:left="860" w:hanging="451"/>
        <w:spacing w:after="0"/>
        <w:tabs>
          <w:tab w:leader="none" w:pos="86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Common Stock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On December 22, 2011, the Company entered into a Common Stock Exchange Agreement (the "</w:t>
      </w:r>
      <w:r>
        <w:rPr>
          <w:rFonts w:ascii="Arial" w:cs="Arial" w:eastAsia="Arial" w:hAnsi="Arial"/>
          <w:sz w:val="12"/>
          <w:szCs w:val="12"/>
          <w:i w:val="1"/>
          <w:iCs w:val="1"/>
          <w:color w:val="auto"/>
        </w:rPr>
        <w:t>Exchange Agreement</w:t>
      </w:r>
      <w:r>
        <w:rPr>
          <w:rFonts w:ascii="Arial" w:cs="Arial" w:eastAsia="Arial" w:hAnsi="Arial"/>
          <w:sz w:val="12"/>
          <w:szCs w:val="12"/>
          <w:color w:val="auto"/>
        </w:rPr>
        <w:t>") with Platinum, pursuant to which Platinum converted 484,000 restricted shares of the Company’s common stock into 45,980 restricted shares of Series A Preferred (the "</w:t>
      </w:r>
      <w:r>
        <w:rPr>
          <w:rFonts w:ascii="Arial" w:cs="Arial" w:eastAsia="Arial" w:hAnsi="Arial"/>
          <w:sz w:val="12"/>
          <w:szCs w:val="12"/>
          <w:i w:val="1"/>
          <w:iCs w:val="1"/>
          <w:color w:val="auto"/>
        </w:rPr>
        <w:t>Exchange</w:t>
      </w:r>
      <w:r>
        <w:rPr>
          <w:rFonts w:ascii="Arial" w:cs="Arial" w:eastAsia="Arial" w:hAnsi="Arial"/>
          <w:sz w:val="12"/>
          <w:szCs w:val="12"/>
          <w:color w:val="auto"/>
        </w:rPr>
        <w:t>"). Each restricted share of Series A Preferred issued to Platinum was initially convertible into ten restricted shares of the Company’s common stock. At the time of the Exchange, the Company determined the fair value of the common stock subject to the Exchange to be $1.55 per share and has reflected the 484,000 restricted common shares as treasury stock on that basis in the accompanying Consolidated Balance Sheet at March 31, 2014 and 2013.</w:t>
      </w:r>
    </w:p>
    <w:p>
      <w:pPr>
        <w:spacing w:after="0" w:line="142" w:lineRule="exact"/>
        <w:rPr>
          <w:rFonts w:ascii="Arial" w:cs="Arial" w:eastAsia="Arial" w:hAnsi="Arial"/>
          <w:sz w:val="12"/>
          <w:szCs w:val="12"/>
          <w:b w:val="1"/>
          <w:bCs w:val="1"/>
          <w:color w:val="auto"/>
        </w:rPr>
      </w:pPr>
    </w:p>
    <w:p>
      <w:pPr>
        <w:ind w:left="860" w:hanging="451"/>
        <w:spacing w:after="0"/>
        <w:tabs>
          <w:tab w:leader="none" w:pos="86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Note and Warrant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83" w:lineRule="auto"/>
        <w:rPr>
          <w:rFonts w:ascii="Arial" w:cs="Arial" w:eastAsia="Arial" w:hAnsi="Arial"/>
          <w:sz w:val="12"/>
          <w:szCs w:val="12"/>
          <w:b w:val="1"/>
          <w:bCs w:val="1"/>
          <w:color w:val="auto"/>
        </w:rPr>
      </w:pPr>
      <w:r>
        <w:rPr>
          <w:rFonts w:ascii="Arial" w:cs="Arial" w:eastAsia="Arial" w:hAnsi="Arial"/>
          <w:sz w:val="11"/>
          <w:szCs w:val="11"/>
          <w:color w:val="auto"/>
        </w:rPr>
        <w:t>On December 29, 2011, the Company and Platinum entered into a Note and Warrant Exchange Agreement pursuant to which a promissory note in the face amount of $4,000,000 plus accrued interest and all outstanding warrants issued to Platinum to purchase an aggregate of 1,599,858 restricted shares of the Company’s common stock were cancelled in exchange for 391,075 restricted shares of Series A Preferred. Each share of Series A Preferred was initially convertible into ten shares of the Company’s common stock. The Company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1,599,858 outstanding warrants held by Platinum, and a contractual conversion basis of $1.75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31" w:lineRule="exact"/>
        <w:rPr>
          <w:rFonts w:ascii="Arial" w:cs="Arial" w:eastAsia="Arial" w:hAnsi="Arial"/>
          <w:sz w:val="12"/>
          <w:szCs w:val="12"/>
          <w:b w:val="1"/>
          <w:bCs w:val="1"/>
          <w:color w:val="auto"/>
        </w:rPr>
      </w:pPr>
    </w:p>
    <w:p>
      <w:pPr>
        <w:ind w:left="860" w:hanging="451"/>
        <w:spacing w:after="0"/>
        <w:tabs>
          <w:tab w:leader="none" w:pos="86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2012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7" w:lineRule="auto"/>
        <w:rPr>
          <w:rFonts w:ascii="Arial" w:cs="Arial" w:eastAsia="Arial" w:hAnsi="Arial"/>
          <w:sz w:val="12"/>
          <w:szCs w:val="12"/>
          <w:b w:val="1"/>
          <w:bCs w:val="1"/>
          <w:color w:val="auto"/>
        </w:rPr>
      </w:pPr>
      <w:r>
        <w:rPr>
          <w:rFonts w:ascii="Arial" w:cs="Arial" w:eastAsia="Arial" w:hAnsi="Arial"/>
          <w:sz w:val="12"/>
          <w:szCs w:val="12"/>
          <w:color w:val="auto"/>
        </w:rPr>
        <w:t>On June 29, 2012, the Company and Platinum entered into an Exchange Agreement (the “</w:t>
      </w:r>
      <w:r>
        <w:rPr>
          <w:rFonts w:ascii="Arial" w:cs="Arial" w:eastAsia="Arial" w:hAnsi="Arial"/>
          <w:sz w:val="12"/>
          <w:szCs w:val="12"/>
          <w:i w:val="1"/>
          <w:iCs w:val="1"/>
          <w:color w:val="auto"/>
        </w:rPr>
        <w:t>2012 Platinum Exchange Agreement</w:t>
      </w:r>
      <w:r>
        <w:rPr>
          <w:rFonts w:ascii="Arial" w:cs="Arial" w:eastAsia="Arial" w:hAnsi="Arial"/>
          <w:sz w:val="12"/>
          <w:szCs w:val="12"/>
          <w:color w:val="auto"/>
        </w:rPr>
        <w:t xml:space="preserve">”) pursuant to which the Company issued Platinum 62,945 restricted shares of Series A Preferred in exchange for 629,450 restricted shares of common stock then owned by Platinum, in consideration for Platinum’s agreement to purchase from the Company the July 2012 Platinum Note, as described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The Company estimated the fair value of the Series A Preferred shares tendered to Platinum under the terms of the 2012 Platinum Exchange Agreement at $736,400 ($1.17 per share on a common share equivalent basis). The common shares exchanged for shares of Series A Preferred are treated as treasury stock on that basis in the accompanying Consolidated Balance Sheet at March 31, 2014 and 2013.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3" w:name="page144"/>
    <w:bookmarkEnd w:id="14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Series A Preferred Exchange Right and Deemed Dividends</w:t>
      </w:r>
    </w:p>
    <w:p>
      <w:pPr>
        <w:spacing w:after="0" w:line="172"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Pursuant to the October 2012 Agreement described more completely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Platinum’s exchange rights in the Series A Preferred were modified such that Platinum now has the right and option to exchange the 500,000 restricted shares of the Company’s Series A Preferred that it holds for (i) a total of 15,000,000 restricted shares of the Company’s common stock, and (ii) a five-year warrant to purchase 7,500,000 restricted shares of the Company’s common stock at an initial exercise price of $1.50 per share (the “</w:t>
      </w:r>
      <w:r>
        <w:rPr>
          <w:rFonts w:ascii="Arial" w:cs="Arial" w:eastAsia="Arial" w:hAnsi="Arial"/>
          <w:sz w:val="11"/>
          <w:szCs w:val="11"/>
          <w:i w:val="1"/>
          <w:iCs w:val="1"/>
          <w:color w:val="auto"/>
        </w:rPr>
        <w:t>Series A Exchange Warrant</w:t>
      </w:r>
      <w:r>
        <w:rPr>
          <w:rFonts w:ascii="Arial" w:cs="Arial" w:eastAsia="Arial" w:hAnsi="Arial"/>
          <w:sz w:val="11"/>
          <w:szCs w:val="11"/>
          <w:color w:val="auto"/>
        </w:rPr>
        <w:t>”). See the section entitled Modification of Platinum Warrants, later in this note, for a description of the subsequent modification of the exercise price of the Series A Preferred Exchange Warrant. The modification of the exchange ratio resulted in a deemed dividend of $7,125,000 to Platinum for accounting purposes, which has been reflected in the accompanying Consolidated Statement of Operations and Comprehensive Loss for the fiscal year ended March 31, 2013. The amount of the deemed dividend in the accompanying Consolidated Statement of Operations and Comprehensive Loss for the fiscal year ended March 31, 2013 was determined as the sum of (i) the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or $7,125,000; and (ii) .the fair value of the Series A Exchange Warrant at the date of the October 2012 Agreement, determined to be $0.43 per share, or $3,228,700, on the date of the agreement using the Black Scholes Option Pricing Model and the following assumptions: market price per share: $0.75; exercise price per share: $1.50; risk-free interest rate: 0.67%; contractual term: 5 years; volatility: 89.9%; expected dividend rate: 0%; and adjusted for an expected 95% probability of exercise of the exchange rights by Platinum. The adjusted fair value of the warrant, $3,068,200 was recognized as a component of the Warrant Liability in the in the accompanying Consolidated Balance Sheet at March 31, 2013, with a corresponding charge to Additional paid-in capital.</w:t>
      </w:r>
    </w:p>
    <w:p>
      <w:pPr>
        <w:spacing w:after="0" w:line="13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fair value of the Series A Exchange Warrant was re-measured as of March 31, 2013 at $4,406,000 and the $1,337,800 increase in fair value since the inception of the October 2012 Agreement is reflected as a component of the Change in Warrant Liability in the accompanying Consolidated Statement of Operations and Comprehensive Loss for the fiscal year ended March 31, 2013. The fair value of the Series A Exchange Warrant was re-measured as of March 31, 2014 at $2,058,600 and the $2,347,400 decrease in fair value since March 31, 2013 is reflected as a component of the Change in Warrant Liability in the accompanying Consolidated Statement of Operations and Comprehensive Loss for the fiscal year ended March 31, 2014.</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Conversion of Pre-Merger Preferred Stock</w:t>
      </w:r>
    </w:p>
    <w:p>
      <w:pPr>
        <w:spacing w:after="0" w:line="17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On May 11, 2011, concurrent with the Merger, all holders of VistaGen California's then-outstanding preferred stock converted all of their preferred shares into 2,884,655 restricted shares of VistaGen California common stock so that, at the completion of the Merger, VistaGen California had no preferred stock outstanding. All shares of VistaGen California common stock were then acquired by the Company in connection with the Merger.</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AG Securities Purchase Agreement</w:t>
      </w:r>
    </w:p>
    <w:p>
      <w:pPr>
        <w:spacing w:after="0" w:line="172"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12"/>
          <w:szCs w:val="12"/>
          <w:color w:val="auto"/>
        </w:rPr>
        <w:t>On April 8, 2013, the Company entered into a Securities Purchase Agreement (as amended, the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On April 12, 2013, Autilion assigned the Securities Purchase Agreement to its affiliate, Bergamo Acquisition Corp. PTE LTD, a corporation organized and existing under the laws of Singapore (“</w:t>
      </w:r>
      <w:r>
        <w:rPr>
          <w:rFonts w:ascii="Arial" w:cs="Arial" w:eastAsia="Arial" w:hAnsi="Arial"/>
          <w:sz w:val="12"/>
          <w:szCs w:val="12"/>
          <w:i w:val="1"/>
          <w:iCs w:val="1"/>
          <w:color w:val="auto"/>
        </w:rPr>
        <w:t>Bergamo Singapore</w:t>
      </w:r>
      <w:r>
        <w:rPr>
          <w:rFonts w:ascii="Arial" w:cs="Arial" w:eastAsia="Arial" w:hAnsi="Arial"/>
          <w:sz w:val="12"/>
          <w:szCs w:val="12"/>
          <w:color w:val="auto"/>
        </w:rPr>
        <w:t>”). On April 30, 2013, the Company and Bergamo Singapore amended the Securities Purchase Agreement to modify the investment dates. On June 27, 2013, the Company, Autilion and Bergamo Singapore further amended the Securities Purchase Agreement to vacate Autilion’s April 2013 assignment of the Securities Purchase Agreement to Bergamo Singapore, provide for an initial closing under the Securities Purchase Agreement, and amend certain of the investment dates under the Securities Purchase Agreement. Under the terms of the Securities Purchase Agreement, Autilion is contractually obligated to purchase an aggregate of 72.0 million restricted shares of the Company’s common stock at a purchase price of $0.50 per share for aggregate cash consideration of $36.0 million, in a series of closings scheduled to have occurred by September 30, 2013 (the “</w:t>
      </w:r>
      <w:r>
        <w:rPr>
          <w:rFonts w:ascii="Arial" w:cs="Arial" w:eastAsia="Arial" w:hAnsi="Arial"/>
          <w:sz w:val="12"/>
          <w:szCs w:val="12"/>
          <w:i w:val="1"/>
          <w:iCs w:val="1"/>
          <w:color w:val="auto"/>
        </w:rPr>
        <w:t>Autilion Financing</w:t>
      </w:r>
      <w:r>
        <w:rPr>
          <w:rFonts w:ascii="Arial" w:cs="Arial" w:eastAsia="Arial" w:hAnsi="Arial"/>
          <w:sz w:val="12"/>
          <w:szCs w:val="12"/>
          <w:color w:val="auto"/>
        </w:rPr>
        <w:t>”). Through March 31, 2014, Autilion had completed only a nominal initial closing under the Securities Purchase Agreement, in the amount of $25,000, and the Company had issued 50,000 restricted shares of its common stock. As of the date of this report, Autilion has not completed a subsequent closing of the Autilion Financing. Therefore, Autilion is in default under the Securities Purchase Agreement, and the Company can provide no assurance that Autilion will complete a material closing under the Securities Purchase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4" w:name="page145"/>
    <w:bookmarkEnd w:id="14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2013/2014 Unit Private Placement</w:t>
      </w:r>
    </w:p>
    <w:p>
      <w:pPr>
        <w:spacing w:after="0" w:line="17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Between August 2013 and March 2014, the Company entered into securities purchase agreements with accredited investors pursuant to which it sold to such investors Units each consisting of (i) a 10% convertible promissory note in the face amount of $5,000 maturing on July 30, 2014 (the “</w:t>
      </w:r>
      <w:r>
        <w:rPr>
          <w:rFonts w:ascii="Arial" w:cs="Arial" w:eastAsia="Arial" w:hAnsi="Arial"/>
          <w:sz w:val="11"/>
          <w:szCs w:val="11"/>
          <w:i w:val="1"/>
          <w:iCs w:val="1"/>
          <w:color w:val="auto"/>
        </w:rPr>
        <w:t>2013/2014 Unit Note</w:t>
      </w:r>
      <w:r>
        <w:rPr>
          <w:rFonts w:ascii="Arial" w:cs="Arial" w:eastAsia="Arial" w:hAnsi="Arial"/>
          <w:sz w:val="11"/>
          <w:szCs w:val="11"/>
          <w:color w:val="auto"/>
        </w:rPr>
        <w:t>”); (ii) 10,000 restricted shares of the Company’s common stock (the “</w:t>
      </w:r>
      <w:r>
        <w:rPr>
          <w:rFonts w:ascii="Arial" w:cs="Arial" w:eastAsia="Arial" w:hAnsi="Arial"/>
          <w:sz w:val="11"/>
          <w:szCs w:val="11"/>
          <w:i w:val="1"/>
          <w:iCs w:val="1"/>
          <w:color w:val="auto"/>
        </w:rPr>
        <w:t>2013/2014 Unit Stock</w:t>
      </w:r>
      <w:r>
        <w:rPr>
          <w:rFonts w:ascii="Arial" w:cs="Arial" w:eastAsia="Arial" w:hAnsi="Arial"/>
          <w:sz w:val="11"/>
          <w:szCs w:val="11"/>
          <w:color w:val="auto"/>
        </w:rPr>
        <w:t>”); and (iii) a warrant exercisable through July 30, 2016 to purchase 10,000 restricted shares of the Company’s common stock at an exercise price of $1.00 per share (the “</w:t>
      </w:r>
      <w:r>
        <w:rPr>
          <w:rFonts w:ascii="Arial" w:cs="Arial" w:eastAsia="Arial" w:hAnsi="Arial"/>
          <w:sz w:val="11"/>
          <w:szCs w:val="11"/>
          <w:i w:val="1"/>
          <w:iCs w:val="1"/>
          <w:color w:val="auto"/>
        </w:rPr>
        <w:t>2013/2014 Unit Warrant</w:t>
      </w:r>
      <w:r>
        <w:rPr>
          <w:rFonts w:ascii="Arial" w:cs="Arial" w:eastAsia="Arial" w:hAnsi="Arial"/>
          <w:sz w:val="11"/>
          <w:szCs w:val="11"/>
          <w:color w:val="auto"/>
        </w:rPr>
        <w:t>”). The Company issued 2013/2014 Unit Notes in the aggregate face amount of $1,007,500; an aggregate of 2,015,000 restricted shares of 2013/2014 Unit Stock, and warrants to purchase an aggregate of 2,015,000 restricted shares of the Company’s common stock pursuant to the 2013/2014 Unit Warrants, and received cash proceeds of $1,007,500, including $50,000 in lieu of repayment of previous advances to the Company made by one of its executive officers. The 2013/2014 Unit Notes and related accrued interest are convertible into restricted shares of the Company’s common stock at a conversion price of $0.50 per share at or prior to maturity, at the option of each investor.</w:t>
      </w:r>
    </w:p>
    <w:p>
      <w:pPr>
        <w:spacing w:after="0" w:line="1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The Company allocated the proceeds from the sale of the Units to the various securities in each Unit based on their relative fair value on the dates of the sales. As described in Note 8, </w:t>
      </w:r>
      <w:r>
        <w:rPr>
          <w:rFonts w:ascii="Arial" w:cs="Arial" w:eastAsia="Arial" w:hAnsi="Arial"/>
          <w:sz w:val="12"/>
          <w:szCs w:val="12"/>
          <w:i w:val="1"/>
          <w:iCs w:val="1"/>
          <w:color w:val="auto"/>
        </w:rPr>
        <w:t>Convertible Promissory Notes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Notes Payable</w:t>
      </w:r>
      <w:r>
        <w:rPr>
          <w:rFonts w:ascii="Arial" w:cs="Arial" w:eastAsia="Arial" w:hAnsi="Arial"/>
          <w:sz w:val="12"/>
          <w:szCs w:val="12"/>
          <w:color w:val="auto"/>
        </w:rPr>
        <w:t>, based on the short-term nature of the 2013/2014 Unit Notes, the Company determined that fair value of the 2013/2014 Unit Notes was equal to their face value. The Company determined the fair value of the 2013/2014 Unit</w:t>
      </w:r>
      <w:r>
        <w:rPr>
          <w:rFonts w:ascii="Arial" w:cs="Arial" w:eastAsia="Arial" w:hAnsi="Arial"/>
          <w:sz w:val="12"/>
          <w:szCs w:val="12"/>
          <w:i w:val="1"/>
          <w:iCs w:val="1"/>
          <w:color w:val="auto"/>
        </w:rPr>
        <w:t xml:space="preserve"> </w:t>
      </w:r>
      <w:r>
        <w:rPr>
          <w:rFonts w:ascii="Arial" w:cs="Arial" w:eastAsia="Arial" w:hAnsi="Arial"/>
          <w:sz w:val="12"/>
          <w:szCs w:val="12"/>
          <w:color w:val="auto"/>
        </w:rPr>
        <w:t>Stock based on the quoted market price of its stock on the date of the Unit sale. The Company calculated the fair value of the 2013/2014 Unit Warrants using the Black Scholes Option Pricing Model and the weighted average assumptions indicated in the table below. The table below also presents the aggregate allocation of the Unit sales proceeds based on the relative fair values of the 2013/2014 Unit Stock, 2013/2014 Unit Warrants and 2013/2014 Unit Notes at the Unit sales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2"/>
                <w:szCs w:val="12"/>
                <w:color w:val="auto"/>
              </w:rPr>
              <w:t>2013/2014 Unit Warrants</w:t>
            </w: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40" w:type="dxa"/>
            <w:vAlign w:val="bottom"/>
            <w:gridSpan w:val="4"/>
          </w:tcPr>
          <w:p>
            <w:pPr>
              <w:jc w:val="right"/>
              <w:ind w:right="160"/>
              <w:spacing w:after="0"/>
              <w:rPr>
                <w:sz w:val="20"/>
                <w:szCs w:val="20"/>
                <w:color w:val="auto"/>
              </w:rPr>
            </w:pPr>
            <w:r>
              <w:rPr>
                <w:rFonts w:ascii="Arial" w:cs="Arial" w:eastAsia="Arial" w:hAnsi="Arial"/>
                <w:sz w:val="12"/>
                <w:szCs w:val="12"/>
                <w:color w:val="auto"/>
                <w:w w:val="92"/>
              </w:rPr>
              <w:t>Weighted Average Issuance Date Valuation Assumptions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restart"/>
          </w:tcPr>
          <w:p>
            <w:pPr>
              <w:jc w:val="center"/>
              <w:ind w:left="100"/>
              <w:spacing w:after="0"/>
              <w:rPr>
                <w:sz w:val="20"/>
                <w:szCs w:val="20"/>
                <w:color w:val="auto"/>
              </w:rPr>
            </w:pPr>
            <w:r>
              <w:rPr>
                <w:rFonts w:ascii="Arial" w:cs="Arial" w:eastAsia="Arial" w:hAnsi="Arial"/>
                <w:sz w:val="12"/>
                <w:szCs w:val="12"/>
                <w:color w:val="auto"/>
                <w:w w:val="85"/>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920" w:type="dxa"/>
            <w:vAlign w:val="bottom"/>
            <w:vMerge w:val="restart"/>
          </w:tcPr>
          <w:p>
            <w:pPr>
              <w:jc w:val="center"/>
              <w:ind w:right="80"/>
              <w:spacing w:after="0"/>
              <w:rPr>
                <w:sz w:val="20"/>
                <w:szCs w:val="20"/>
                <w:color w:val="auto"/>
              </w:rPr>
            </w:pPr>
            <w:r>
              <w:rPr>
                <w:rFonts w:ascii="Arial" w:cs="Arial" w:eastAsia="Arial" w:hAnsi="Arial"/>
                <w:sz w:val="12"/>
                <w:szCs w:val="12"/>
                <w:color w:val="auto"/>
                <w:w w:val="90"/>
              </w:rPr>
              <w:t>Aggregate</w:t>
            </w:r>
          </w:p>
        </w:tc>
        <w:tc>
          <w:tcPr>
            <w:tcW w:w="2560" w:type="dxa"/>
            <w:vAlign w:val="bottom"/>
            <w:gridSpan w:val="3"/>
            <w:vMerge w:val="restart"/>
          </w:tcPr>
          <w:p>
            <w:pPr>
              <w:jc w:val="center"/>
              <w:ind w:left="420"/>
              <w:spacing w:after="0"/>
              <w:rPr>
                <w:sz w:val="20"/>
                <w:szCs w:val="20"/>
                <w:color w:val="auto"/>
              </w:rPr>
            </w:pPr>
            <w:r>
              <w:rPr>
                <w:rFonts w:ascii="Arial" w:cs="Arial" w:eastAsia="Arial" w:hAnsi="Arial"/>
                <w:sz w:val="12"/>
                <w:szCs w:val="12"/>
                <w:color w:val="auto"/>
                <w:w w:val="92"/>
              </w:rPr>
              <w:t>Aggregate Allocation of Proceeds</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center"/>
              <w:spacing w:after="0"/>
              <w:rPr>
                <w:sz w:val="20"/>
                <w:szCs w:val="20"/>
                <w:color w:val="auto"/>
              </w:rPr>
            </w:pPr>
            <w:r>
              <w:rPr>
                <w:rFonts w:ascii="Arial" w:cs="Arial" w:eastAsia="Arial" w:hAnsi="Arial"/>
                <w:sz w:val="12"/>
                <w:szCs w:val="12"/>
                <w:color w:val="auto"/>
                <w:w w:val="88"/>
              </w:rPr>
              <w:t>Warrant</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ind w:right="100"/>
              <w:spacing w:after="0"/>
              <w:rPr>
                <w:sz w:val="20"/>
                <w:szCs w:val="20"/>
                <w:color w:val="auto"/>
              </w:rPr>
            </w:pPr>
            <w:r>
              <w:rPr>
                <w:rFonts w:ascii="Arial" w:cs="Arial" w:eastAsia="Arial" w:hAnsi="Arial"/>
                <w:sz w:val="12"/>
                <w:szCs w:val="12"/>
                <w:color w:val="auto"/>
                <w:w w:val="92"/>
              </w:rPr>
              <w:t>Risk free</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left="12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Fair Value</w:t>
            </w:r>
          </w:p>
        </w:tc>
        <w:tc>
          <w:tcPr>
            <w:tcW w:w="920" w:type="dxa"/>
            <w:vAlign w:val="bottom"/>
          </w:tcPr>
          <w:p>
            <w:pPr>
              <w:jc w:val="center"/>
              <w:ind w:right="60"/>
              <w:spacing w:after="0"/>
              <w:rPr>
                <w:sz w:val="20"/>
                <w:szCs w:val="20"/>
                <w:color w:val="auto"/>
              </w:rPr>
            </w:pPr>
            <w:r>
              <w:rPr>
                <w:rFonts w:ascii="Arial" w:cs="Arial" w:eastAsia="Arial" w:hAnsi="Arial"/>
                <w:sz w:val="12"/>
                <w:szCs w:val="12"/>
                <w:color w:val="auto"/>
                <w:w w:val="86"/>
              </w:rPr>
              <w:t>Proceeds</w:t>
            </w:r>
          </w:p>
        </w:tc>
        <w:tc>
          <w:tcPr>
            <w:tcW w:w="256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2"/>
                <w:szCs w:val="12"/>
                <w:color w:val="auto"/>
                <w:w w:val="90"/>
              </w:rPr>
              <w:t>Based on Relative Fair Value of:</w:t>
            </w: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84"/>
              </w:rPr>
              <w:t>Shares</w:t>
            </w:r>
          </w:p>
        </w:tc>
        <w:tc>
          <w:tcPr>
            <w:tcW w:w="82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92"/>
              </w:rPr>
              <w:t>Market</w:t>
            </w:r>
          </w:p>
        </w:tc>
        <w:tc>
          <w:tcPr>
            <w:tcW w:w="78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91"/>
              </w:rPr>
              <w:t>Exercise</w:t>
            </w:r>
          </w:p>
        </w:tc>
        <w:tc>
          <w:tcPr>
            <w:tcW w:w="740" w:type="dxa"/>
            <w:vAlign w:val="bottom"/>
          </w:tcPr>
          <w:p>
            <w:pPr>
              <w:jc w:val="center"/>
              <w:ind w:right="12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89"/>
              </w:rPr>
              <w:t>Interest</w:t>
            </w:r>
          </w:p>
        </w:tc>
        <w:tc>
          <w:tcPr>
            <w:tcW w:w="760" w:type="dxa"/>
            <w:vAlign w:val="bottom"/>
          </w:tcPr>
          <w:p>
            <w:pPr>
              <w:spacing w:after="0"/>
              <w:rPr>
                <w:sz w:val="11"/>
                <w:szCs w:val="11"/>
                <w:color w:val="auto"/>
              </w:rPr>
            </w:pPr>
          </w:p>
        </w:tc>
        <w:tc>
          <w:tcPr>
            <w:tcW w:w="7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2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rPr>
              <w:t>of Unit</w:t>
            </w:r>
          </w:p>
        </w:tc>
        <w:tc>
          <w:tcPr>
            <w:tcW w:w="92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97"/>
              </w:rPr>
              <w:t>of Unit</w:t>
            </w:r>
          </w:p>
        </w:tc>
        <w:tc>
          <w:tcPr>
            <w:tcW w:w="1120" w:type="dxa"/>
            <w:vAlign w:val="bottom"/>
          </w:tcPr>
          <w:p>
            <w:pPr>
              <w:spacing w:after="0"/>
              <w:rPr>
                <w:sz w:val="11"/>
                <w:szCs w:val="11"/>
                <w:color w:val="auto"/>
              </w:rPr>
            </w:pPr>
          </w:p>
        </w:tc>
        <w:tc>
          <w:tcPr>
            <w:tcW w:w="980" w:type="dxa"/>
            <w:vAlign w:val="bottom"/>
          </w:tcPr>
          <w:p>
            <w:pPr>
              <w:jc w:val="center"/>
              <w:ind w:right="220"/>
              <w:spacing w:after="0" w:line="133" w:lineRule="exact"/>
              <w:rPr>
                <w:sz w:val="20"/>
                <w:szCs w:val="20"/>
                <w:color w:val="auto"/>
              </w:rPr>
            </w:pPr>
            <w:r>
              <w:rPr>
                <w:rFonts w:ascii="Arial" w:cs="Arial" w:eastAsia="Arial" w:hAnsi="Arial"/>
                <w:sz w:val="12"/>
                <w:szCs w:val="12"/>
                <w:color w:val="auto"/>
              </w:rPr>
              <w:t>Unit</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Pr>
          <w:p>
            <w:pPr>
              <w:jc w:val="center"/>
              <w:spacing w:after="0"/>
              <w:rPr>
                <w:sz w:val="20"/>
                <w:szCs w:val="20"/>
                <w:color w:val="auto"/>
              </w:rPr>
            </w:pPr>
            <w:r>
              <w:rPr>
                <w:rFonts w:ascii="Arial" w:cs="Arial" w:eastAsia="Arial" w:hAnsi="Arial"/>
                <w:sz w:val="12"/>
                <w:szCs w:val="12"/>
                <w:color w:val="auto"/>
                <w:w w:val="84"/>
              </w:rPr>
              <w:t>Issued</w:t>
            </w: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Price</w:t>
            </w:r>
          </w:p>
        </w:tc>
        <w:tc>
          <w:tcPr>
            <w:tcW w:w="780" w:type="dxa"/>
            <w:vAlign w:val="bottom"/>
          </w:tcPr>
          <w:p>
            <w:pPr>
              <w:jc w:val="center"/>
              <w:ind w:right="100"/>
              <w:spacing w:after="0"/>
              <w:rPr>
                <w:sz w:val="20"/>
                <w:szCs w:val="20"/>
                <w:color w:val="auto"/>
              </w:rPr>
            </w:pPr>
            <w:r>
              <w:rPr>
                <w:rFonts w:ascii="Arial" w:cs="Arial" w:eastAsia="Arial" w:hAnsi="Arial"/>
                <w:sz w:val="12"/>
                <w:szCs w:val="12"/>
                <w:color w:val="auto"/>
                <w:w w:val="94"/>
              </w:rPr>
              <w:t>Price</w:t>
            </w:r>
          </w:p>
        </w:tc>
        <w:tc>
          <w:tcPr>
            <w:tcW w:w="740" w:type="dxa"/>
            <w:vAlign w:val="bottom"/>
          </w:tcPr>
          <w:p>
            <w:pPr>
              <w:jc w:val="center"/>
              <w:ind w:right="12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120"/>
              <w:spacing w:after="0"/>
              <w:rPr>
                <w:sz w:val="20"/>
                <w:szCs w:val="20"/>
                <w:color w:val="auto"/>
              </w:rPr>
            </w:pPr>
            <w:r>
              <w:rPr>
                <w:rFonts w:ascii="Arial" w:cs="Arial" w:eastAsia="Arial" w:hAnsi="Arial"/>
                <w:sz w:val="12"/>
                <w:szCs w:val="12"/>
                <w:color w:val="auto"/>
                <w:w w:val="86"/>
              </w:rPr>
              <w:t>Rate</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Volatility</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00"/>
              <w:spacing w:after="0"/>
              <w:rPr>
                <w:sz w:val="20"/>
                <w:szCs w:val="20"/>
                <w:color w:val="auto"/>
              </w:rPr>
            </w:pPr>
            <w:r>
              <w:rPr>
                <w:rFonts w:ascii="Arial" w:cs="Arial" w:eastAsia="Arial" w:hAnsi="Arial"/>
                <w:sz w:val="12"/>
                <w:szCs w:val="12"/>
                <w:color w:val="auto"/>
                <w:w w:val="88"/>
              </w:rPr>
              <w:t>Warrant</w:t>
            </w:r>
          </w:p>
        </w:tc>
        <w:tc>
          <w:tcPr>
            <w:tcW w:w="22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Warrants</w:t>
            </w:r>
          </w:p>
        </w:tc>
        <w:tc>
          <w:tcPr>
            <w:tcW w:w="920" w:type="dxa"/>
            <w:vAlign w:val="bottom"/>
          </w:tcPr>
          <w:p>
            <w:pPr>
              <w:jc w:val="center"/>
              <w:ind w:right="80"/>
              <w:spacing w:after="0"/>
              <w:rPr>
                <w:sz w:val="20"/>
                <w:szCs w:val="20"/>
                <w:color w:val="auto"/>
              </w:rPr>
            </w:pPr>
            <w:r>
              <w:rPr>
                <w:rFonts w:ascii="Arial" w:cs="Arial" w:eastAsia="Arial" w:hAnsi="Arial"/>
                <w:sz w:val="12"/>
                <w:szCs w:val="12"/>
                <w:color w:val="auto"/>
                <w:w w:val="86"/>
              </w:rPr>
              <w:t>Sales</w:t>
            </w:r>
          </w:p>
        </w:tc>
        <w:tc>
          <w:tcPr>
            <w:tcW w:w="1120" w:type="dxa"/>
            <w:vAlign w:val="bottom"/>
          </w:tcPr>
          <w:p>
            <w:pPr>
              <w:jc w:val="right"/>
              <w:ind w:right="300"/>
              <w:spacing w:after="0"/>
              <w:rPr>
                <w:sz w:val="20"/>
                <w:szCs w:val="20"/>
                <w:color w:val="auto"/>
              </w:rPr>
            </w:pPr>
            <w:r>
              <w:rPr>
                <w:rFonts w:ascii="Arial" w:cs="Arial" w:eastAsia="Arial" w:hAnsi="Arial"/>
                <w:sz w:val="12"/>
                <w:szCs w:val="12"/>
                <w:color w:val="auto"/>
              </w:rPr>
              <w:t>Unit Stock</w:t>
            </w:r>
          </w:p>
        </w:tc>
        <w:tc>
          <w:tcPr>
            <w:tcW w:w="980" w:type="dxa"/>
            <w:vAlign w:val="bottom"/>
          </w:tcPr>
          <w:p>
            <w:pPr>
              <w:jc w:val="center"/>
              <w:ind w:right="220"/>
              <w:spacing w:after="0"/>
              <w:rPr>
                <w:sz w:val="20"/>
                <w:szCs w:val="20"/>
                <w:color w:val="auto"/>
              </w:rPr>
            </w:pPr>
            <w:r>
              <w:rPr>
                <w:rFonts w:ascii="Arial" w:cs="Arial" w:eastAsia="Arial" w:hAnsi="Arial"/>
                <w:sz w:val="12"/>
                <w:szCs w:val="12"/>
                <w:color w:val="auto"/>
                <w:w w:val="88"/>
              </w:rPr>
              <w:t>Warrant</w:t>
            </w:r>
          </w:p>
        </w:tc>
        <w:tc>
          <w:tcPr>
            <w:tcW w:w="960" w:type="dxa"/>
            <w:vAlign w:val="bottom"/>
            <w:gridSpan w:val="3"/>
          </w:tcPr>
          <w:p>
            <w:pPr>
              <w:ind w:left="16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0.45</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   1.00</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0.58%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76.29%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0.13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$ 254,700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1,007,500</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  415,000</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  111,400</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right"/>
              <w:ind w:right="380"/>
              <w:spacing w:after="0"/>
              <w:rPr>
                <w:sz w:val="20"/>
                <w:szCs w:val="20"/>
                <w:color w:val="auto"/>
              </w:rPr>
            </w:pPr>
            <w:r>
              <w:rPr>
                <w:rFonts w:ascii="Arial" w:cs="Arial" w:eastAsia="Arial" w:hAnsi="Arial"/>
                <w:sz w:val="12"/>
                <w:szCs w:val="12"/>
                <w:color w:val="auto"/>
                <w:w w:val="97"/>
              </w:rPr>
              <w:t>F-32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5" w:name="page146"/>
    <w:bookmarkEnd w:id="14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w:t>
      </w:r>
    </w:p>
    <w:p>
      <w:pPr>
        <w:spacing w:after="0" w:line="15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During March 2014, the Company entered into a securities purchase agreement with an accredited investor pursuant to which it sold to the investor Units consisting of (i) a 10% subordinated convertible promissory note in the aggregate face amount of $50,000 maturing on March 31, 2015 (the “</w:t>
      </w:r>
      <w:r>
        <w:rPr>
          <w:rFonts w:ascii="Arial" w:cs="Arial" w:eastAsia="Arial" w:hAnsi="Arial"/>
          <w:sz w:val="11"/>
          <w:szCs w:val="11"/>
          <w:i w:val="1"/>
          <w:iCs w:val="1"/>
          <w:color w:val="auto"/>
        </w:rPr>
        <w:t>Spring 2014 Unit Note</w:t>
      </w:r>
      <w:r>
        <w:rPr>
          <w:rFonts w:ascii="Arial" w:cs="Arial" w:eastAsia="Arial" w:hAnsi="Arial"/>
          <w:sz w:val="11"/>
          <w:szCs w:val="11"/>
          <w:color w:val="auto"/>
        </w:rPr>
        <w:t>”); (ii) an aggregate of 50,000 restricted shares of the Company’s common stock (the “</w:t>
      </w:r>
      <w:r>
        <w:rPr>
          <w:rFonts w:ascii="Arial" w:cs="Arial" w:eastAsia="Arial" w:hAnsi="Arial"/>
          <w:sz w:val="11"/>
          <w:szCs w:val="11"/>
          <w:i w:val="1"/>
          <w:iCs w:val="1"/>
          <w:color w:val="auto"/>
        </w:rPr>
        <w:t>2014 Unit Stock</w:t>
      </w:r>
      <w:r>
        <w:rPr>
          <w:rFonts w:ascii="Arial" w:cs="Arial" w:eastAsia="Arial" w:hAnsi="Arial"/>
          <w:sz w:val="11"/>
          <w:szCs w:val="11"/>
          <w:color w:val="auto"/>
        </w:rPr>
        <w:t>”); and (iii) a warrant exercisable through December 31, 2015 to purchase an aggregate of 50,000 restricted shares of the Company’s common stock at an exercise price of $0.50 per share (the “</w:t>
      </w:r>
      <w:r>
        <w:rPr>
          <w:rFonts w:ascii="Arial" w:cs="Arial" w:eastAsia="Arial" w:hAnsi="Arial"/>
          <w:sz w:val="11"/>
          <w:szCs w:val="11"/>
          <w:i w:val="1"/>
          <w:iCs w:val="1"/>
          <w:color w:val="auto"/>
        </w:rPr>
        <w:t>2014 Unit Warrant</w:t>
      </w:r>
      <w:r>
        <w:rPr>
          <w:rFonts w:ascii="Arial" w:cs="Arial" w:eastAsia="Arial" w:hAnsi="Arial"/>
          <w:sz w:val="11"/>
          <w:szCs w:val="11"/>
          <w:color w:val="auto"/>
        </w:rPr>
        <w:t xml:space="preserve">”).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Units issued in connection with the 2014 Unit Private Placement.)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restricted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subject to certain conditions, automatically convert into the securities sold in the Qualified Financing, based on the following formula: (the Outstanding Balance as of the closing of the Qualified Financing) x 1.25 / (the per security price of the securities sold in the Qualified Financing).</w:t>
      </w:r>
    </w:p>
    <w:p>
      <w:pPr>
        <w:spacing w:after="0" w:line="116"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The Company determined the fair value of the 2014 Unit Stock based on the quoted market price of its stock on the date of the unit sale. The Company calculated the fair value of the 2014 Unit Warrant using the Black Scholes Option Pricing Model and the assumptions indicated in the table below. The table below also presents the aggregate allocation of the Unit sale proceeds based on the relative fair values of the 2014 Unit Stock, 2014 Unit Warrants and 2014 Unit Notes at the unit sale date.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2"/>
                <w:szCs w:val="12"/>
                <w:color w:val="auto"/>
                <w:w w:val="90"/>
              </w:rPr>
              <w:t>2014 Unit Warrants</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20" w:type="dxa"/>
            <w:vAlign w:val="bottom"/>
            <w:gridSpan w:val="4"/>
          </w:tcPr>
          <w:p>
            <w:pPr>
              <w:ind w:left="80"/>
              <w:spacing w:after="0"/>
              <w:rPr>
                <w:sz w:val="20"/>
                <w:szCs w:val="20"/>
                <w:color w:val="auto"/>
              </w:rPr>
            </w:pPr>
            <w:r>
              <w:rPr>
                <w:rFonts w:ascii="Arial" w:cs="Arial" w:eastAsia="Arial" w:hAnsi="Arial"/>
                <w:sz w:val="12"/>
                <w:szCs w:val="12"/>
                <w:color w:val="auto"/>
                <w:w w:val="92"/>
              </w:rPr>
              <w:t>Weighted Average Issuance Date Valuation Assumptions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left="160"/>
              <w:spacing w:after="0"/>
              <w:rPr>
                <w:sz w:val="20"/>
                <w:szCs w:val="20"/>
                <w:color w:val="auto"/>
              </w:rPr>
            </w:pPr>
            <w:r>
              <w:rPr>
                <w:rFonts w:ascii="Arial" w:cs="Arial" w:eastAsia="Arial" w:hAnsi="Arial"/>
                <w:sz w:val="12"/>
                <w:szCs w:val="12"/>
                <w:color w:val="auto"/>
                <w:w w:val="88"/>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2"/>
                <w:szCs w:val="12"/>
                <w:color w:val="auto"/>
                <w:w w:val="90"/>
              </w:rPr>
              <w:t>Aggregate</w:t>
            </w:r>
          </w:p>
        </w:tc>
        <w:tc>
          <w:tcPr>
            <w:tcW w:w="400" w:type="dxa"/>
            <w:vAlign w:val="bottom"/>
          </w:tcPr>
          <w:p>
            <w:pPr>
              <w:spacing w:after="0"/>
              <w:rPr>
                <w:sz w:val="13"/>
                <w:szCs w:val="13"/>
                <w:color w:val="auto"/>
              </w:rPr>
            </w:pPr>
          </w:p>
        </w:tc>
        <w:tc>
          <w:tcPr>
            <w:tcW w:w="1900" w:type="dxa"/>
            <w:vAlign w:val="bottom"/>
            <w:gridSpan w:val="4"/>
            <w:vMerge w:val="restart"/>
          </w:tcPr>
          <w:p>
            <w:pPr>
              <w:jc w:val="center"/>
              <w:spacing w:after="0"/>
              <w:rPr>
                <w:sz w:val="20"/>
                <w:szCs w:val="20"/>
                <w:color w:val="auto"/>
              </w:rPr>
            </w:pPr>
            <w:r>
              <w:rPr>
                <w:rFonts w:ascii="Arial" w:cs="Arial" w:eastAsia="Arial" w:hAnsi="Arial"/>
                <w:sz w:val="12"/>
                <w:szCs w:val="12"/>
                <w:color w:val="auto"/>
                <w:w w:val="92"/>
              </w:rPr>
              <w:t>Aggregate Allocation of Proceeds</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Warrant</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ind w:right="60"/>
              <w:spacing w:after="0"/>
              <w:rPr>
                <w:sz w:val="20"/>
                <w:szCs w:val="20"/>
                <w:color w:val="auto"/>
              </w:rPr>
            </w:pPr>
            <w:r>
              <w:rPr>
                <w:rFonts w:ascii="Arial" w:cs="Arial" w:eastAsia="Arial" w:hAnsi="Arial"/>
                <w:sz w:val="12"/>
                <w:szCs w:val="12"/>
                <w:color w:val="auto"/>
                <w:w w:val="92"/>
              </w:rPr>
              <w:t>Risk free</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Fair Value</w:t>
            </w:r>
          </w:p>
        </w:tc>
        <w:tc>
          <w:tcPr>
            <w:tcW w:w="1140" w:type="dxa"/>
            <w:vAlign w:val="bottom"/>
            <w:gridSpan w:val="3"/>
          </w:tcPr>
          <w:p>
            <w:pPr>
              <w:jc w:val="center"/>
              <w:ind w:right="100"/>
              <w:spacing w:after="0"/>
              <w:rPr>
                <w:sz w:val="20"/>
                <w:szCs w:val="20"/>
                <w:color w:val="auto"/>
              </w:rPr>
            </w:pPr>
            <w:r>
              <w:rPr>
                <w:rFonts w:ascii="Arial" w:cs="Arial" w:eastAsia="Arial" w:hAnsi="Arial"/>
                <w:sz w:val="12"/>
                <w:szCs w:val="12"/>
                <w:color w:val="auto"/>
                <w:w w:val="86"/>
              </w:rPr>
              <w:t>Proceeds</w:t>
            </w:r>
          </w:p>
        </w:tc>
        <w:tc>
          <w:tcPr>
            <w:tcW w:w="400" w:type="dxa"/>
            <w:vAlign w:val="bottom"/>
          </w:tcPr>
          <w:p>
            <w:pPr>
              <w:spacing w:after="0"/>
              <w:rPr>
                <w:sz w:val="12"/>
                <w:szCs w:val="12"/>
                <w:color w:val="auto"/>
              </w:rPr>
            </w:pPr>
          </w:p>
        </w:tc>
        <w:tc>
          <w:tcPr>
            <w:tcW w:w="1900" w:type="dxa"/>
            <w:vAlign w:val="bottom"/>
            <w:gridSpan w:val="4"/>
          </w:tcPr>
          <w:p>
            <w:pPr>
              <w:jc w:val="center"/>
              <w:spacing w:after="0"/>
              <w:rPr>
                <w:sz w:val="20"/>
                <w:szCs w:val="20"/>
                <w:color w:val="auto"/>
              </w:rPr>
            </w:pPr>
            <w:r>
              <w:rPr>
                <w:rFonts w:ascii="Arial" w:cs="Arial" w:eastAsia="Arial" w:hAnsi="Arial"/>
                <w:sz w:val="12"/>
                <w:szCs w:val="12"/>
                <w:color w:val="auto"/>
                <w:w w:val="90"/>
              </w:rPr>
              <w:t>Based on Relative Fair Value of:</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gridSpan w:val="2"/>
          </w:tcPr>
          <w:p>
            <w:pPr>
              <w:jc w:val="center"/>
              <w:ind w:right="100"/>
              <w:spacing w:after="0" w:line="133" w:lineRule="exact"/>
              <w:rPr>
                <w:sz w:val="20"/>
                <w:szCs w:val="20"/>
                <w:color w:val="auto"/>
              </w:rPr>
            </w:pPr>
            <w:r>
              <w:rPr>
                <w:rFonts w:ascii="Arial" w:cs="Arial" w:eastAsia="Arial" w:hAnsi="Arial"/>
                <w:sz w:val="12"/>
                <w:szCs w:val="12"/>
                <w:color w:val="auto"/>
                <w:w w:val="84"/>
              </w:rPr>
              <w:t>Shares</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2"/>
              </w:rPr>
              <w:t>Market</w:t>
            </w:r>
          </w:p>
        </w:tc>
        <w:tc>
          <w:tcPr>
            <w:tcW w:w="720" w:type="dxa"/>
            <w:vAlign w:val="bottom"/>
          </w:tcPr>
          <w:p>
            <w:pPr>
              <w:ind w:left="80"/>
              <w:spacing w:after="0" w:line="133" w:lineRule="exact"/>
              <w:rPr>
                <w:sz w:val="20"/>
                <w:szCs w:val="20"/>
                <w:color w:val="auto"/>
              </w:rPr>
            </w:pPr>
            <w:r>
              <w:rPr>
                <w:rFonts w:ascii="Arial" w:cs="Arial" w:eastAsia="Arial" w:hAnsi="Arial"/>
                <w:sz w:val="12"/>
                <w:szCs w:val="12"/>
                <w:color w:val="auto"/>
              </w:rPr>
              <w:t>Exercise</w:t>
            </w:r>
          </w:p>
        </w:tc>
        <w:tc>
          <w:tcPr>
            <w:tcW w:w="64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Interest</w:t>
            </w:r>
          </w:p>
        </w:tc>
        <w:tc>
          <w:tcPr>
            <w:tcW w:w="800" w:type="dxa"/>
            <w:vAlign w:val="bottom"/>
          </w:tcPr>
          <w:p>
            <w:pPr>
              <w:spacing w:after="0"/>
              <w:rPr>
                <w:sz w:val="11"/>
                <w:szCs w:val="11"/>
                <w:color w:val="auto"/>
              </w:rPr>
            </w:pPr>
          </w:p>
        </w:tc>
        <w:tc>
          <w:tcPr>
            <w:tcW w:w="820" w:type="dxa"/>
            <w:vAlign w:val="bottom"/>
            <w:gridSpan w:val="2"/>
          </w:tcPr>
          <w:p>
            <w:pPr>
              <w:jc w:val="center"/>
              <w:ind w:right="20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6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2"/>
                <w:szCs w:val="12"/>
                <w:color w:val="auto"/>
                <w:w w:val="97"/>
              </w:rPr>
              <w:t>of Unit</w:t>
            </w:r>
          </w:p>
        </w:tc>
        <w:tc>
          <w:tcPr>
            <w:tcW w:w="700" w:type="dxa"/>
            <w:vAlign w:val="bottom"/>
          </w:tcPr>
          <w:p>
            <w:pPr>
              <w:jc w:val="center"/>
              <w:ind w:left="280"/>
              <w:spacing w:after="0" w:line="133" w:lineRule="exact"/>
              <w:rPr>
                <w:sz w:val="20"/>
                <w:szCs w:val="20"/>
                <w:color w:val="auto"/>
              </w:rPr>
            </w:pPr>
            <w:r>
              <w:rPr>
                <w:rFonts w:ascii="Arial" w:cs="Arial" w:eastAsia="Arial" w:hAnsi="Arial"/>
                <w:sz w:val="12"/>
                <w:szCs w:val="12"/>
                <w:color w:val="auto"/>
              </w:rPr>
              <w:t>of Unit</w:t>
            </w: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2"/>
                <w:szCs w:val="12"/>
                <w:color w:val="auto"/>
              </w:rPr>
              <w:t>Unit</w:t>
            </w:r>
          </w:p>
        </w:tc>
        <w:tc>
          <w:tcPr>
            <w:tcW w:w="4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4"/>
              </w:rPr>
              <w:t>Issued</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Price</w:t>
            </w:r>
          </w:p>
        </w:tc>
        <w:tc>
          <w:tcPr>
            <w:tcW w:w="720" w:type="dxa"/>
            <w:vAlign w:val="bottom"/>
          </w:tcPr>
          <w:p>
            <w:pPr>
              <w:ind w:left="160"/>
              <w:spacing w:after="0"/>
              <w:rPr>
                <w:sz w:val="20"/>
                <w:szCs w:val="20"/>
                <w:color w:val="auto"/>
              </w:rPr>
            </w:pPr>
            <w:r>
              <w:rPr>
                <w:rFonts w:ascii="Arial" w:cs="Arial" w:eastAsia="Arial" w:hAnsi="Arial"/>
                <w:sz w:val="12"/>
                <w:szCs w:val="12"/>
                <w:color w:val="auto"/>
              </w:rPr>
              <w:t>Price</w:t>
            </w:r>
          </w:p>
        </w:tc>
        <w:tc>
          <w:tcPr>
            <w:tcW w:w="640" w:type="dxa"/>
            <w:vAlign w:val="bottom"/>
          </w:tcPr>
          <w:p>
            <w:pPr>
              <w:jc w:val="center"/>
              <w:ind w:right="6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80"/>
              <w:spacing w:after="0"/>
              <w:rPr>
                <w:sz w:val="20"/>
                <w:szCs w:val="20"/>
                <w:color w:val="auto"/>
              </w:rPr>
            </w:pPr>
            <w:r>
              <w:rPr>
                <w:rFonts w:ascii="Arial" w:cs="Arial" w:eastAsia="Arial" w:hAnsi="Arial"/>
                <w:sz w:val="12"/>
                <w:szCs w:val="12"/>
                <w:color w:val="auto"/>
                <w:w w:val="86"/>
              </w:rPr>
              <w:t>Rate</w:t>
            </w:r>
          </w:p>
        </w:tc>
        <w:tc>
          <w:tcPr>
            <w:tcW w:w="800" w:type="dxa"/>
            <w:vAlign w:val="bottom"/>
          </w:tcPr>
          <w:p>
            <w:pPr>
              <w:jc w:val="right"/>
              <w:ind w:right="220"/>
              <w:spacing w:after="0"/>
              <w:rPr>
                <w:sz w:val="20"/>
                <w:szCs w:val="20"/>
                <w:color w:val="auto"/>
              </w:rPr>
            </w:pPr>
            <w:r>
              <w:rPr>
                <w:rFonts w:ascii="Arial" w:cs="Arial" w:eastAsia="Arial" w:hAnsi="Arial"/>
                <w:sz w:val="12"/>
                <w:szCs w:val="12"/>
                <w:color w:val="auto"/>
              </w:rPr>
              <w:t>Volatility</w:t>
            </w:r>
          </w:p>
        </w:tc>
        <w:tc>
          <w:tcPr>
            <w:tcW w:w="82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3"/>
              </w:rPr>
              <w:t>Warrant</w:t>
            </w:r>
          </w:p>
        </w:tc>
        <w:tc>
          <w:tcPr>
            <w:tcW w:w="22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Warrants</w:t>
            </w:r>
          </w:p>
        </w:tc>
        <w:tc>
          <w:tcPr>
            <w:tcW w:w="700" w:type="dxa"/>
            <w:vAlign w:val="bottom"/>
          </w:tcPr>
          <w:p>
            <w:pPr>
              <w:jc w:val="center"/>
              <w:ind w:left="280"/>
              <w:spacing w:after="0"/>
              <w:rPr>
                <w:sz w:val="20"/>
                <w:szCs w:val="20"/>
                <w:color w:val="auto"/>
              </w:rPr>
            </w:pPr>
            <w:r>
              <w:rPr>
                <w:rFonts w:ascii="Arial" w:cs="Arial" w:eastAsia="Arial" w:hAnsi="Arial"/>
                <w:sz w:val="12"/>
                <w:szCs w:val="12"/>
                <w:color w:val="auto"/>
                <w:w w:val="79"/>
              </w:rPr>
              <w:t>Sales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Unit Stock</w:t>
            </w:r>
          </w:p>
        </w:tc>
        <w:tc>
          <w:tcPr>
            <w:tcW w:w="920" w:type="dxa"/>
            <w:vAlign w:val="bottom"/>
            <w:gridSpan w:val="2"/>
          </w:tcPr>
          <w:p>
            <w:pPr>
              <w:ind w:left="140"/>
              <w:spacing w:after="0"/>
              <w:rPr>
                <w:sz w:val="20"/>
                <w:szCs w:val="20"/>
                <w:color w:val="auto"/>
              </w:rPr>
            </w:pPr>
            <w:r>
              <w:rPr>
                <w:rFonts w:ascii="Arial" w:cs="Arial" w:eastAsia="Arial" w:hAnsi="Arial"/>
                <w:sz w:val="12"/>
                <w:szCs w:val="12"/>
                <w:color w:val="auto"/>
              </w:rPr>
              <w:t>Warrant</w:t>
            </w:r>
          </w:p>
        </w:tc>
        <w:tc>
          <w:tcPr>
            <w:tcW w:w="920" w:type="dxa"/>
            <w:vAlign w:val="bottom"/>
            <w:gridSpan w:val="3"/>
          </w:tcPr>
          <w:p>
            <w:pPr>
              <w:ind w:left="14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0.46</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0.50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0.66%</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74.94%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10,400</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50,000</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13,800</w:t>
            </w:r>
          </w:p>
        </w:tc>
        <w:tc>
          <w:tcPr>
            <w:tcW w:w="4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3"/>
              </w:rPr>
              <w:t>6,200</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2012/2013 Unit Private Placement</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Between September 2012 and March 2013, the Company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the Company’s common stock and a five year warrant to purchase one half (1/2) of one restricted share of the Company’s common stock at an exercise price of $1.50 per share. In addition, in November 2012, pursuant to an Exchange Agreement, the holders of the 2012 Notes exchanged the aggregate amount of $678,600 due under the terms of such notes for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in Note 9, </w:t>
      </w:r>
      <w:r>
        <w:rPr>
          <w:rFonts w:ascii="Arial" w:cs="Arial" w:eastAsia="Arial" w:hAnsi="Arial"/>
          <w:sz w:val="12"/>
          <w:szCs w:val="12"/>
          <w:i w:val="1"/>
          <w:iCs w:val="1"/>
          <w:color w:val="auto"/>
        </w:rPr>
        <w:t>Convertible Promissory Notes</w:t>
      </w:r>
      <w:r>
        <w:rPr>
          <w:rFonts w:ascii="Arial" w:cs="Arial" w:eastAsia="Arial" w:hAnsi="Arial"/>
          <w:sz w:val="12"/>
          <w:szCs w:val="12"/>
          <w:color w:val="auto"/>
        </w:rPr>
        <w:t xml:space="preserve"> </w:t>
      </w:r>
      <w:r>
        <w:rPr>
          <w:rFonts w:ascii="Arial" w:cs="Arial" w:eastAsia="Arial" w:hAnsi="Arial"/>
          <w:sz w:val="12"/>
          <w:szCs w:val="12"/>
          <w:i w:val="1"/>
          <w:iCs w:val="1"/>
          <w:color w:val="auto"/>
        </w:rPr>
        <w:t>and Other Notes Payable</w:t>
      </w:r>
      <w:r>
        <w:rPr>
          <w:rFonts w:ascii="Arial" w:cs="Arial" w:eastAsia="Arial" w:hAnsi="Arial"/>
          <w:sz w:val="12"/>
          <w:szCs w:val="12"/>
          <w:color w:val="auto"/>
        </w:rPr>
        <w:t>, entitling the Company to sell and requiring Platinum to purchase senior secured convertible promissory notes in the aggregate face amount of $1.0 million in February and March 2013. In connection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settlement of legal fees payable by issuing Units, the Company recorded a loss on extinguishment of debt of $30,800 based on the fair market value of the common shares and the warrant comprising the Unit on the effective date of the settlement.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6" w:name="page147"/>
    <w:bookmarkEnd w:id="14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 Grants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April 2012, the Company entered into a contract for investor relations consulting services pursuant to which it granted three-year warrants to purchase 50,000 restricted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initially recorded as a prepaid expense and was to be expensed over one year in accordance with the terms of the contract. The contract and related warrant were cancelled in October 2012 and the remaining amount attributable to the fair value of the warrant was expensed.</w:t>
      </w:r>
    </w:p>
    <w:p>
      <w:pPr>
        <w:spacing w:after="0" w:line="12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June 2012, the Company entered into a contract for investor relations and public company support services through December 31, 2012 pursuant to which it granted 280,000 restricted shares of its common stock valued at $238,000 based on the grant date quoted market price of $0.85 per share and warrants to purchase 100,000 restricted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six-month term of the contract.</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2012, the Company entered into a contract for investor relations consulting services pursuant to which it granted 120,000 restricted shares of its common stock valued at $102,000 based on the grant date quoted market price of $0.85 per share. The fair value of the stock was recorded as a prepaid expense and is being expensed over the approximately six-month term of the contract.</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August 2012, the Company modified an existing warrant and issued a new warrant to Morrison &amp; Foerster as additional consideration for the Restructuring Agreement, as disclosed in Note 8, </w:t>
      </w:r>
      <w:r>
        <w:rPr>
          <w:rFonts w:ascii="Arial" w:cs="Arial" w:eastAsia="Arial" w:hAnsi="Arial"/>
          <w:sz w:val="12"/>
          <w:szCs w:val="12"/>
          <w:i w:val="1"/>
          <w:iCs w:val="1"/>
          <w:color w:val="auto"/>
        </w:rPr>
        <w:t>Convertible Promissory Notes and</w:t>
      </w:r>
      <w:r>
        <w:rPr>
          <w:rFonts w:ascii="Arial" w:cs="Arial" w:eastAsia="Arial" w:hAnsi="Arial"/>
          <w:sz w:val="12"/>
          <w:szCs w:val="12"/>
          <w:color w:val="auto"/>
        </w:rPr>
        <w:t xml:space="preserve"> </w:t>
      </w:r>
      <w:r>
        <w:rPr>
          <w:rFonts w:ascii="Arial" w:cs="Arial" w:eastAsia="Arial" w:hAnsi="Arial"/>
          <w:sz w:val="12"/>
          <w:szCs w:val="12"/>
          <w:i w:val="1"/>
          <w:iCs w:val="1"/>
          <w:color w:val="auto"/>
        </w:rPr>
        <w:t>Other Notes Payable</w:t>
      </w:r>
      <w:r>
        <w:rPr>
          <w:rFonts w:ascii="Arial" w:cs="Arial" w:eastAsia="Arial" w:hAnsi="Arial"/>
          <w:sz w:val="12"/>
          <w:szCs w:val="12"/>
          <w:color w:val="auto"/>
        </w:rPr>
        <w:t>. As described in Note 8, the Company has treated the aggregate of the incremental value of the Amended M&amp;F Warrant and the fair value of the New M&amp;F Warrant as a discount to the Replacement Notes, which</w:t>
      </w:r>
      <w:r>
        <w:rPr>
          <w:rFonts w:ascii="Arial" w:cs="Arial" w:eastAsia="Arial" w:hAnsi="Arial"/>
          <w:sz w:val="12"/>
          <w:szCs w:val="12"/>
          <w:i w:val="1"/>
          <w:iCs w:val="1"/>
          <w:color w:val="auto"/>
        </w:rPr>
        <w:t xml:space="preserve"> </w:t>
      </w:r>
      <w:r>
        <w:rPr>
          <w:rFonts w:ascii="Arial" w:cs="Arial" w:eastAsia="Arial" w:hAnsi="Arial"/>
          <w:sz w:val="12"/>
          <w:szCs w:val="12"/>
          <w:color w:val="auto"/>
        </w:rPr>
        <w:t>discount is being amortized to interest expense using the effective interest rate method over the term of the Replacement Notes.</w:t>
      </w:r>
    </w:p>
    <w:p>
      <w:pPr>
        <w:spacing w:after="0" w:line="141"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 xml:space="preserve">During August 2012, the Company issued 88,235 restricted shares of its common stock valued at a market price of $1.01 per share in settlement of a past-due obligation for business development consulting services in the amount of $25,000. The Company charged the loss on the settlement to interest expense. As disclosed in Note 8,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August 2012, the Company issued a promissory note in the principal amount of $60,000 and 15,000 restricted shares of its common stock valued at $0.94 per share in settlement of its past due obligation for AV-101 clinical development services.</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entered into a contract for various strategic consulting services pursuant to which it granted a five-year warrant to purchase 25,000 shares of the Company’s common stock at an exercise price of $1.50 per share. The Company valued the warrant at $11,200 using the Black Scholes Option Pricing Model and the following assumptions: market price per share: $0.79; exercise price per share: $1.50; risk-free interest rate: 0.84%; contractual term: 5 years; volatility: 87.14%; expected dividend rate: 0%, and expensed the fair value of the warrant during the fourth quarter of the fiscal year ended March 31, 2013.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7" w:name="page148"/>
    <w:bookmarkEnd w:id="14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Warrants to Purchase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 Grants and Exercises</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19, 2014, the Company granted five -year warrants to purchase an aggregate of 415,000 restricted shares of the Company’s unregistered common stock at an exercise price of $0.50 per share to the independent members of its Board of Directors and certain of its officers. The warrants become exercisable for 50% of the shares on April 1, 2014, 25% of the shares on April 1, 2015 and 25% of the shares on April 1, 2016, provided that the warrant will become fully vested upon a change in control of the Company, as defined, or the consummation by the Company and a third party of a license or sale transaction involving at least one new drug rescue variant. The Company valued the warrants at $120,800 using the Black Scholes Option Pricing Model and the following assumptions: market price per share: $0.46; exercise price per share: $0.50; risk-free interest rate: 1.75%; contractual term: 5 years; volatility: 80.57%; expected dividend rate: 0%. The Company recognized stock compensation expense of $60,400 related to the grants in the fourth quarter of the fiscal year ended March 31, 2014.</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2013, the Company issued new warrants to purchase an aggregate of 237,500 shares of its restricted common stock to certain former warrant holders whose warrants to purchase an equivalent number of shares of the Company’s restricted common stock at an exercise price of $1.50 per share had recently expired. The Company calculated the fair value of the new warrants as $0.03 per share, using the Black-Scholes Option Pricing Model and the following assumptions: market price per share: $0.50; exercise price per share: $1.50; risk-free interest rate: 0.20%; contractual term: 1.32 years; volatility: 73.5%; and expected dividend rate: 0%. The Company recorded the aggregate fair value of $7,400 for the new warrants in general and administrative expense in the accompanying Consolidated Statements of Operations and Comprehensive Loss for the fiscal year ended March 31, 2014, with a corresponding credit to additional paid-in capital, an equity account.</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3, 2013, the Company granted ten-year warrants to purchase an aggregate of 3,000,000 restricted shares of the Company’s unregistered common stock at an exercise price of $0.64 per share to the independent members of its Board of Directors and certain of its officers. The warrants become exercisable for 50% of the shares on April 1, 2013, 25% of the shares on April 1, 2014 and 25% of the shares on April 1, 2015, provided that the warrant will become fully vested upon a change in control of the Company, as defined, or the consummation by the Company and a third party of a license or sale transaction involving at least one new drug rescue variant. The Company valued the warrants at $1,604,800 using the Black Scholes Option Pricing Model and the following assumptions: market price per share: $0.64; exercise price per share: $0.64; risk-free interest rate: 1.86%; contractual term: 10 years; volatility: 84.73%; expected dividend rate: 0%. The Company recognized stock compensation expense of $802,400 related to the grants in the fourth quarter of the fiscal year ended March 31, 2013.</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2013 and October 2013, the Company’s Chief Executive Officer partially exercised an outstanding warrant to purchase 50,000 and 10,000 restricted shares of the Company’s common stock at an exercise price of $0.64 per share, respectively, and the Company received cash proceeds of $32,000 and $10,000, respectively, from the exercises.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Warrants Held by Platinum</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Effective on May 24, 2013, the Company and Platinum entered into an Amendment and Waiver Agreement (the “</w:t>
      </w:r>
      <w:r>
        <w:rPr>
          <w:rFonts w:ascii="Arial" w:cs="Arial" w:eastAsia="Arial" w:hAnsi="Arial"/>
          <w:sz w:val="12"/>
          <w:szCs w:val="12"/>
          <w:i w:val="1"/>
          <w:iCs w:val="1"/>
          <w:color w:val="auto"/>
        </w:rPr>
        <w:t>Amendment and Waiver</w:t>
      </w:r>
      <w:r>
        <w:rPr>
          <w:rFonts w:ascii="Arial" w:cs="Arial" w:eastAsia="Arial" w:hAnsi="Arial"/>
          <w:sz w:val="12"/>
          <w:szCs w:val="12"/>
          <w:color w:val="auto"/>
        </w:rPr>
        <w:t>”) pursuant to which the Company agreed to reduce the exercise price of the Exchange Warrant and the Investment Warrants issued to Platinum in October 2012 and February 2013 and March 2013 (collectively, the “</w:t>
      </w:r>
      <w:r>
        <w:rPr>
          <w:rFonts w:ascii="Arial" w:cs="Arial" w:eastAsia="Arial" w:hAnsi="Arial"/>
          <w:sz w:val="12"/>
          <w:szCs w:val="12"/>
          <w:i w:val="1"/>
          <w:iCs w:val="1"/>
          <w:color w:val="auto"/>
        </w:rPr>
        <w:t>Warrants</w:t>
      </w:r>
      <w:r>
        <w:rPr>
          <w:rFonts w:ascii="Arial" w:cs="Arial" w:eastAsia="Arial" w:hAnsi="Arial"/>
          <w:sz w:val="12"/>
          <w:szCs w:val="12"/>
          <w:color w:val="auto"/>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Autilion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subsequently extended to July 30, 2013, of previously outstanding warrants for which the Company may reduce the exercise price to not less than $0.50 per share. (See “</w:t>
      </w:r>
      <w:r>
        <w:rPr>
          <w:rFonts w:ascii="Arial" w:cs="Arial" w:eastAsia="Arial" w:hAnsi="Arial"/>
          <w:sz w:val="12"/>
          <w:szCs w:val="12"/>
          <w:i w:val="1"/>
          <w:iCs w:val="1"/>
          <w:color w:val="auto"/>
        </w:rPr>
        <w:t>Other Warrant Modifications</w:t>
      </w:r>
      <w:r>
        <w:rPr>
          <w:rFonts w:ascii="Arial" w:cs="Arial" w:eastAsia="Arial" w:hAnsi="Arial"/>
          <w:sz w:val="12"/>
          <w:szCs w:val="12"/>
          <w:color w:val="auto"/>
        </w:rPr>
        <w:t xml:space="preserve"> </w:t>
      </w:r>
      <w:r>
        <w:rPr>
          <w:rFonts w:ascii="Arial" w:cs="Arial" w:eastAsia="Arial" w:hAnsi="Arial"/>
          <w:sz w:val="12"/>
          <w:szCs w:val="12"/>
          <w:i w:val="1"/>
          <w:iCs w:val="1"/>
          <w:color w:val="auto"/>
        </w:rPr>
        <w:t>and Exercises</w:t>
      </w:r>
      <w:r>
        <w:rPr>
          <w:rFonts w:ascii="Arial" w:cs="Arial" w:eastAsia="Arial" w:hAnsi="Arial"/>
          <w:sz w:val="12"/>
          <w:szCs w:val="12"/>
          <w:color w:val="auto"/>
        </w:rPr>
        <w:t>”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8" w:name="page149"/>
    <w:bookmarkEnd w:id="14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color w:val="auto"/>
        </w:rPr>
        <w:t xml:space="preserve">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and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the Company re-measures the fair value of the Exchange Warrant, the Investment Warrants and the July 2013 Warrant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The Company also re-measures at the end of each reporting period the fair value of the Series A Exchange Warrant which is contingently issuable to Platinum upon the exchange of its shares of the Company’s Series A Preferred Stock into shares of the Company’s restricted common stock. At March 31, 2014 and 2013, the Company determined the fair values of the Exchange Warrant, the Investment Warrants, the July 2013 Warrant (2014 only) and the Series A Preferred Exchange Warrant to be a weighted average of $0.27 and $0.59 per share, respectively, or an aggregate of $2,973,900 and $6,394,000, which amounts are reflected as Warrant Liability in the accompanying Consolidated Balance Sheets at March 31, 2014 and 2013, respectively. The Company determined the fair value of the warrants at March 31, 2014 using a Monte Carlo simulation model assuming the exercise price of the warrants to be the lower of (i) $0.50 per share or (ii) the projected market price of the Company’s common stock as determined by the simulation model and the other assumptions indicated in the table below. The Company determined the fair value of the warrants at March 31, 2013 using the Black Scholes Option Pricing Model and the assumptions indicated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March 31,</w:t>
            </w: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2014</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Market price of common stock</w:t>
            </w:r>
          </w:p>
        </w:tc>
        <w:tc>
          <w:tcPr>
            <w:tcW w:w="7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0.46</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0.83</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Exercise price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0.49 to $0.50</w:t>
            </w:r>
          </w:p>
        </w:tc>
        <w:tc>
          <w:tcPr>
            <w:tcW w:w="80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0.50</w:t>
            </w:r>
          </w:p>
        </w:tc>
        <w:tc>
          <w:tcPr>
            <w:tcW w:w="320" w:type="dxa"/>
            <w:vAlign w:val="bottom"/>
          </w:tcPr>
          <w:p>
            <w:pPr>
              <w:spacing w:after="0"/>
              <w:rPr>
                <w:sz w:val="12"/>
                <w:szCs w:val="12"/>
                <w:color w:val="auto"/>
              </w:rPr>
            </w:pP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Risk-free interest rate</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1.73</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0.77</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Volatility</w:t>
            </w:r>
          </w:p>
        </w:tc>
        <w:tc>
          <w:tcPr>
            <w:tcW w:w="7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75</w:t>
            </w:r>
          </w:p>
        </w:tc>
        <w:tc>
          <w:tcPr>
            <w:tcW w:w="200" w:type="dxa"/>
            <w:vAlign w:val="bottom"/>
          </w:tcPr>
          <w:p>
            <w:pPr>
              <w:spacing w:after="0"/>
              <w:rPr>
                <w:sz w:val="12"/>
                <w:szCs w:val="12"/>
                <w:color w:val="auto"/>
              </w:rPr>
            </w:pP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85</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Term (years)</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 to 5.0</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 to 5.0</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Dividend rate</w:t>
            </w:r>
          </w:p>
        </w:tc>
        <w:tc>
          <w:tcPr>
            <w:tcW w:w="7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Probability of Series A Preferred exchange</w:t>
            </w: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580" w:type="dxa"/>
            <w:vAlign w:val="bottom"/>
          </w:tcPr>
          <w:p>
            <w:pPr>
              <w:ind w:left="420"/>
              <w:spacing w:after="0"/>
              <w:rPr>
                <w:sz w:val="20"/>
                <w:szCs w:val="20"/>
                <w:color w:val="auto"/>
              </w:rPr>
            </w:pPr>
            <w:r>
              <w:rPr>
                <w:rFonts w:ascii="Arial" w:cs="Arial" w:eastAsia="Arial" w:hAnsi="Arial"/>
                <w:sz w:val="12"/>
                <w:szCs w:val="12"/>
                <w:color w:val="auto"/>
              </w:rPr>
              <w:t>Fair value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0.26 to $0.29</w:t>
            </w:r>
          </w:p>
        </w:tc>
        <w:tc>
          <w:tcPr>
            <w:tcW w:w="80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0.59 to $0.62</w:t>
            </w:r>
          </w:p>
        </w:tc>
        <w:tc>
          <w:tcPr>
            <w:tcW w:w="320" w:type="dxa"/>
            <w:vAlign w:val="bottom"/>
          </w:tcPr>
          <w:p>
            <w:pPr>
              <w:spacing w:after="0"/>
              <w:rPr>
                <w:sz w:val="13"/>
                <w:szCs w:val="13"/>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Warrant Modifications and Exercises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During the months of June and July 2013, the Company offered certain long-term warrant holders the opportunity to exercise warrants having an exercise price of $1.50 per share to purchase shares of the Company’s restricted common stock at a reduced exercise price of $0.50 per share through July 30, 2013. Warrant holders exercised warrants to purchase an aggregate of 528,370 restricted shares of the Company’s common stock and the Company received cash proceeds of $264,200. In addition, certain warrant holders exercised modified warrants to purchase 16,646 restricted shares of the Company’s common stock in lieu of payment by the Company in satisfaction of amounts due for professional services in the aggregate amount of $8,300. The Company calculated the fair value of the warrants exercised immediately before and after the modifications and determined that the fair value of the warrants exercised decreased.</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2013 the Company modified certain outstanding warrants held by its long-term investors and consultants to purchase an aggregate of 1,292,778 restricted shares of the Company’s common stock to reduce the exercise price of the warrants to $0.50 per share and, for warrants scheduled to expire on December 31, 2013, extend the exercise term of the warrants until January 31, 2015, generally without modifying the exercise price. The Company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0.33%</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74.4%</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Dividend rate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40" w:type="dxa"/>
            <w:vAlign w:val="bottom"/>
            <w:gridSpan w:val="3"/>
          </w:tcPr>
          <w:p>
            <w:pPr>
              <w:jc w:val="right"/>
              <w:ind w:right="2100"/>
              <w:spacing w:after="0"/>
              <w:rPr>
                <w:sz w:val="20"/>
                <w:szCs w:val="20"/>
                <w:color w:val="auto"/>
              </w:rPr>
            </w:pPr>
            <w:r>
              <w:rPr>
                <w:rFonts w:ascii="Arial" w:cs="Arial" w:eastAsia="Arial" w:hAnsi="Arial"/>
                <w:sz w:val="12"/>
                <w:szCs w:val="12"/>
                <w:color w:val="auto"/>
              </w:rPr>
              <w:t>F-36</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9" w:name="page150"/>
    <w:bookmarkEnd w:id="14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December 2013, the Company modified additional outstanding warrants held by certain of its long-term investors, consultants, and members of management and its Board of Directors to purchase an aggregate of 1,260,251 restricted shares of its common stock to reduce the exercise price of the warrants to $0.50 per share and, in limited cases, extend the exercise term of the warrants. The Company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1.67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2.06</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73.6%</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February 2014, the Company modified additional outstanding warrants held by certain of its long-term investors to purchase an aggregate of 574,432 restricted shares of its common stock primarily to extend the exercise term of the warrants, and, in limited cases, to reduce the exercise price from $1.50 per share to $0.50 per share. The Company calculated the fair value of the warrants immediately before and after the modifications and determined that the fair value of the warrants increased by $29,800,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0.46</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0.01</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modified certain outstanding warrants to purchase an aggregate of 1,706,709 restricted shares of the Company’s common stock at exercise prices in excess of $1.50 per share to reduce the exercise price to $1.50 per share. The Company determined that the increase in the fair value of the warrants exercised was $67,500, which is reflected in general and administrative expense in the accompanying Consolidated Statements of Operations and Comprehensive Loss for the year ended March 31, 2013. The warrants subject to the exercise price modification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6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7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2.51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1.38</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80.8%</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Dividend rate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0.03</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80" w:type="dxa"/>
            <w:vAlign w:val="bottom"/>
            <w:gridSpan w:val="3"/>
          </w:tcPr>
          <w:p>
            <w:pPr>
              <w:jc w:val="right"/>
              <w:ind w:right="2100"/>
              <w:spacing w:after="0"/>
              <w:rPr>
                <w:sz w:val="20"/>
                <w:szCs w:val="20"/>
                <w:color w:val="auto"/>
              </w:rPr>
            </w:pPr>
            <w:r>
              <w:rPr>
                <w:rFonts w:ascii="Arial" w:cs="Arial" w:eastAsia="Arial" w:hAnsi="Arial"/>
                <w:sz w:val="12"/>
                <w:szCs w:val="12"/>
                <w:color w:val="auto"/>
              </w:rPr>
              <w:t>F-37</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40" w:type="dxa"/>
            <w:vAlign w:val="bottom"/>
            <w:tcBorders>
              <w:bottom w:val="single" w:sz="8" w:color="808080"/>
            </w:tcBorders>
          </w:tcPr>
          <w:p>
            <w:pPr>
              <w:spacing w:after="0"/>
              <w:rPr>
                <w:sz w:val="6"/>
                <w:szCs w:val="6"/>
                <w:color w:val="auto"/>
              </w:rPr>
            </w:pPr>
          </w:p>
        </w:tc>
        <w:tc>
          <w:tcPr>
            <w:tcW w:w="3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0" w:name="page151"/>
    <w:bookmarkEnd w:id="15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Between May and June 30, 2012, the Company offered certain warrant holders the opportunity to exercise their warrants to purchase restricted shares of the Company’s common stock at reduced exercise prices. The Company subsequently extended the offer through August 2012. Warrant holders exercised warrants to purchase an aggregate of 524,056 restricted shares of the Company’s common stock and the Company received cash proceeds of $262,000. In addition, certain warrant holders exercised warrants to purchase 25,000 restricted shares of the Company’s common stock in lieu of payment by the Company in satisfaction of amounts due for services in the aggregate amount of $12,500. For every three discounted warrant shares exercised by the warrant holders, the Company granted a three-year warrant to purchase one restricted share of its common stock at an exercise price of $3.00 per share.</w:t>
      </w:r>
    </w:p>
    <w:p>
      <w:pPr>
        <w:spacing w:after="0" w:line="109"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The Company calculated the fair value of the warrants exercised immediately before and after the May 18, 2012 Board of Directors approval of the modification offer, and on the exercise date for the exercises occurring after June 30, 2012, and determined that the increase in the fair value of the warrants exercised was $440,700, which is reflected in general and administrative expense in the accompanying Consolidated Statements of Operations and Comprehensive Loss for the year ended March 31, 2013. The warrants subject to the exercise price modifications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1.95</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2.75</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0.29%</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1.93</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78.0%</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0.64</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1.45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connection with the foregoing exercises, the Company issued three-year warrants to purchase 183,025 restricted shares of the Company’s common stock at an exercise price of $3.00 per share. The Company valued these warrants at $35,900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making its fair value determinations for both warrant modifications and new grants using the Black Scholes Option Pricing Model, the Company utilizes the following principles in selecting its input assumptions. The market price per share is based on the quoted market price of the Company’s common stock on the Over-the-Counter Bulletin Board on the date of the modification or grant. Because of its short history as a public company, the Company estimates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corresponding with the contractual term or remaining term of the warrant. The dividend rate is zero as the Company has not paid and does not expect to pay dividends in the near future.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1" w:name="page152"/>
    <w:bookmarkEnd w:id="15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Outstanding</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following table summarizes outstanding warrants to purchase restricted shares of the Company’s common stock as of March 31, 2014. The weighted average exercise price of outstanding warrants at March 31, 2014 was $0.87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6"/>
              </w:rPr>
              <w:t>Shares Subject to</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89"/>
              </w:rPr>
              <w:t>Exercise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9"/>
              </w:rPr>
              <w:t>Weighted Average</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8"/>
              </w:rPr>
              <w:t>Purchase at</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95"/>
              </w:rPr>
              <w:t>Price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8"/>
              </w:rPr>
              <w:t>Years to</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March 31,</w:t>
            </w:r>
          </w:p>
        </w:tc>
      </w:tr>
      <w:tr>
        <w:trPr>
          <w:trHeight w:val="157"/>
        </w:trPr>
        <w:tc>
          <w:tcPr>
            <w:tcW w:w="1740" w:type="dxa"/>
            <w:vAlign w:val="bottom"/>
          </w:tcPr>
          <w:p>
            <w:pPr>
              <w:jc w:val="center"/>
              <w:ind w:left="500"/>
              <w:spacing w:after="0"/>
              <w:rPr>
                <w:sz w:val="20"/>
                <w:szCs w:val="20"/>
                <w:color w:val="auto"/>
              </w:rPr>
            </w:pPr>
            <w:r>
              <w:rPr>
                <w:rFonts w:ascii="Arial" w:cs="Arial" w:eastAsia="Arial" w:hAnsi="Arial"/>
                <w:sz w:val="12"/>
                <w:szCs w:val="12"/>
                <w:b w:val="1"/>
                <w:bCs w:val="1"/>
                <w:color w:val="auto"/>
                <w:w w:val="90"/>
              </w:rPr>
              <w:t>per Share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3"/>
                <w:szCs w:val="13"/>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91"/>
              </w:rPr>
              <w:t>Expiration</w:t>
            </w: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480" w:type="dxa"/>
            <w:vAlign w:val="bottom"/>
          </w:tcPr>
          <w:p>
            <w:pPr>
              <w:spacing w:after="0"/>
              <w:rPr>
                <w:sz w:val="13"/>
                <w:szCs w:val="13"/>
                <w:color w:val="auto"/>
              </w:rPr>
            </w:pPr>
          </w:p>
        </w:tc>
      </w:tr>
      <w:tr>
        <w:trPr>
          <w:trHeight w:val="142"/>
        </w:trPr>
        <w:tc>
          <w:tcPr>
            <w:tcW w:w="17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3/19/2019</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3.34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5,856,983</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3/3/2023</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8.92</w:t>
            </w:r>
          </w:p>
        </w:tc>
        <w:tc>
          <w:tcPr>
            <w:tcW w:w="2420" w:type="dxa"/>
            <w:vAlign w:val="bottom"/>
          </w:tcPr>
          <w:p>
            <w:pPr>
              <w:jc w:val="right"/>
              <w:spacing w:after="0"/>
              <w:rPr>
                <w:sz w:val="20"/>
                <w:szCs w:val="20"/>
                <w:color w:val="auto"/>
              </w:rPr>
            </w:pPr>
            <w:r>
              <w:rPr>
                <w:rFonts w:ascii="Arial" w:cs="Arial" w:eastAsia="Arial" w:hAnsi="Arial"/>
                <w:sz w:val="12"/>
                <w:szCs w:val="12"/>
                <w:color w:val="auto"/>
              </w:rPr>
              <w:t>2,940,000</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0.88</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15,428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7/30/2016 to 9/30/2017</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3.05</w:t>
            </w:r>
          </w:p>
        </w:tc>
        <w:tc>
          <w:tcPr>
            <w:tcW w:w="2420" w:type="dxa"/>
            <w:vAlign w:val="bottom"/>
          </w:tcPr>
          <w:p>
            <w:pPr>
              <w:jc w:val="right"/>
              <w:spacing w:after="0"/>
              <w:rPr>
                <w:sz w:val="20"/>
                <w:szCs w:val="20"/>
                <w:color w:val="auto"/>
              </w:rPr>
            </w:pPr>
            <w:r>
              <w:rPr>
                <w:rFonts w:ascii="Arial" w:cs="Arial" w:eastAsia="Arial" w:hAnsi="Arial"/>
                <w:sz w:val="12"/>
                <w:szCs w:val="12"/>
                <w:color w:val="auto"/>
              </w:rPr>
              <w:t>5,326,029</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50,280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11/4/2014 to 3/4/2018</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2.45</w:t>
            </w:r>
          </w:p>
        </w:tc>
        <w:tc>
          <w:tcPr>
            <w:tcW w:w="2420" w:type="dxa"/>
            <w:vAlign w:val="bottom"/>
          </w:tcPr>
          <w:p>
            <w:pPr>
              <w:jc w:val="right"/>
              <w:spacing w:after="0"/>
              <w:rPr>
                <w:sz w:val="20"/>
                <w:szCs w:val="20"/>
                <w:color w:val="auto"/>
              </w:rPr>
            </w:pPr>
            <w:r>
              <w:rPr>
                <w:rFonts w:ascii="Arial" w:cs="Arial" w:eastAsia="Arial" w:hAnsi="Arial"/>
                <w:sz w:val="12"/>
                <w:szCs w:val="12"/>
                <w:color w:val="auto"/>
              </w:rPr>
              <w:t>2,353,052</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9/15/2017</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3.46</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425,000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tcPr>
          <w:p>
            <w:pPr>
              <w:jc w:val="right"/>
              <w:spacing w:after="0"/>
              <w:rPr>
                <w:sz w:val="20"/>
                <w:szCs w:val="20"/>
                <w:color w:val="auto"/>
              </w:rPr>
            </w:pPr>
            <w:r>
              <w:rPr>
                <w:rFonts w:ascii="Arial" w:cs="Arial" w:eastAsia="Arial" w:hAnsi="Arial"/>
                <w:sz w:val="12"/>
                <w:szCs w:val="12"/>
                <w:color w:val="auto"/>
              </w:rPr>
              <w:t>42,443</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61,418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3.00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2/13/2016</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1.87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w:t>
            </w:r>
          </w:p>
        </w:tc>
        <w:tc>
          <w:tcPr>
            <w:tcW w:w="480" w:type="dxa"/>
            <w:vAlign w:val="bottom"/>
          </w:tcPr>
          <w:p>
            <w:pPr>
              <w:spacing w:after="0"/>
              <w:rPr>
                <w:sz w:val="12"/>
                <w:szCs w:val="12"/>
                <w:color w:val="auto"/>
              </w:rPr>
            </w:pPr>
          </w:p>
        </w:tc>
      </w:tr>
      <w:tr>
        <w:trPr>
          <w:trHeight w:val="142"/>
        </w:trPr>
        <w:tc>
          <w:tcPr>
            <w:tcW w:w="1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4.07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17,095,633</w:t>
            </w:r>
          </w:p>
        </w:tc>
        <w:tc>
          <w:tcPr>
            <w:tcW w:w="480" w:type="dxa"/>
            <w:vAlign w:val="bottom"/>
          </w:tcPr>
          <w:p>
            <w:pPr>
              <w:spacing w:after="0"/>
              <w:rPr>
                <w:sz w:val="12"/>
                <w:szCs w:val="12"/>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Receivable from Sale of Company Securities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May 2011, the Company accepted a $500,000 short-term note from an investor in payment for shares of the Company’s common stock sold to the investor in a private placement transaction. In October 2011, the Company restructured the note to extend the repayment term through September 1, 2012 and to increase the interest rate to 5% per annum. On November 8, 2012 the Company and the investor again amended the note to require payment of the outstanding balance of $256,000, reflecting unpaid principal and accrued interest, in twenty-four monthly payments of $11,000 beginning in December 2012 and continuing through November 2014, with a final payment of the remaining unpaid principal and interest due in December 2014. The outstanding principal balance of the note receivable at March 31, 2014 and 2013 was $198,100 and $209,100, respectively.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2" w:name="page153"/>
    <w:bookmarkEnd w:id="15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Reserved Shares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March 31, 2014, the Company has reserved shares of its common stock for future issuance as follows: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Upon exchange of all shares of Series A Preferred Stock currently issued and outstanding </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92340" cy="914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84" w:lineRule="exact"/>
        <w:rPr>
          <w:sz w:val="20"/>
          <w:szCs w:val="20"/>
          <w:color w:val="auto"/>
        </w:rPr>
      </w:pPr>
    </w:p>
    <w:p>
      <w:pPr>
        <w:ind w:left="8"/>
        <w:spacing w:after="0"/>
        <w:rPr>
          <w:sz w:val="20"/>
          <w:szCs w:val="20"/>
          <w:color w:val="auto"/>
        </w:rPr>
      </w:pPr>
      <w:r>
        <w:rPr>
          <w:rFonts w:ascii="Arial" w:cs="Arial" w:eastAsia="Arial" w:hAnsi="Arial"/>
          <w:sz w:val="10"/>
          <w:szCs w:val="10"/>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92340" cy="914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53" w:lineRule="exact"/>
        <w:rPr>
          <w:sz w:val="20"/>
          <w:szCs w:val="20"/>
          <w:color w:val="auto"/>
        </w:rPr>
      </w:pPr>
    </w:p>
    <w:p>
      <w:pPr>
        <w:ind w:left="8" w:right="260"/>
        <w:spacing w:after="0" w:line="291" w:lineRule="auto"/>
        <w:rPr>
          <w:sz w:val="20"/>
          <w:szCs w:val="20"/>
          <w:color w:val="auto"/>
        </w:rPr>
      </w:pPr>
      <w:r>
        <w:rPr>
          <w:rFonts w:ascii="Arial" w:cs="Arial" w:eastAsia="Arial" w:hAnsi="Arial"/>
          <w:sz w:val="12"/>
          <w:szCs w:val="12"/>
          <w:color w:val="auto"/>
        </w:rPr>
        <w:t xml:space="preserve">110% of shares issuable upon conversion of 10% convertible Exchange Note and Investment Notes issued to Platinum in October 2012, February 2013 and March 2013, including interest accrued through maturity </w:t>
      </w:r>
      <w:r>
        <w:rPr>
          <w:rFonts w:ascii="Arial" w:cs="Arial" w:eastAsia="Arial" w:hAnsi="Arial"/>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92340" cy="182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18288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warrants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Issuable pursuant to accrued interest through maturity on outstanding promissory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914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248"/>
        <w:spacing w:after="0"/>
        <w:rPr>
          <w:sz w:val="20"/>
          <w:szCs w:val="20"/>
          <w:color w:val="auto"/>
        </w:rPr>
      </w:pPr>
      <w:r>
        <w:rPr>
          <w:rFonts w:ascii="Arial" w:cs="Arial" w:eastAsia="Arial" w:hAnsi="Arial"/>
          <w:sz w:val="12"/>
          <w:szCs w:val="12"/>
          <w:color w:val="auto"/>
        </w:rPr>
        <w:t>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92340" cy="914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options under the 2008 and 1999 Stock Incentive Plans</w:t>
      </w:r>
    </w:p>
    <w:p>
      <w:pPr>
        <w:spacing w:after="0" w:line="6" w:lineRule="exact"/>
        <w:rPr>
          <w:sz w:val="20"/>
          <w:szCs w:val="20"/>
          <w:color w:val="auto"/>
        </w:rPr>
      </w:pPr>
    </w:p>
    <w:p>
      <w:pPr>
        <w:ind w:left="108"/>
        <w:spacing w:after="0"/>
        <w:rPr>
          <w:sz w:val="20"/>
          <w:szCs w:val="20"/>
          <w:color w:val="auto"/>
        </w:rPr>
      </w:pPr>
      <w:r>
        <w:rPr>
          <w:rFonts w:ascii="Arial" w:cs="Arial" w:eastAsia="Arial" w:hAnsi="Arial"/>
          <w:sz w:val="12"/>
          <w:szCs w:val="12"/>
          <w:color w:val="auto"/>
        </w:rPr>
        <w:t>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conversion of notes and accrued interest issued pursuant to the Winter 2013/2014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Upon further sales of Units in the Spring 2014 Private Placement of Units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further sale of shares to Autilion under the amended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1143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w:t>
      </w:r>
    </w:p>
    <w:p>
      <w:pPr>
        <w:ind w:left="148" w:hanging="148"/>
        <w:spacing w:after="0" w:line="195" w:lineRule="auto"/>
        <w:tabs>
          <w:tab w:leader="none" w:pos="148" w:val="left"/>
        </w:tabs>
        <w:numPr>
          <w:ilvl w:val="0"/>
          <w:numId w:val="70"/>
        </w:numPr>
        <w:rPr>
          <w:rFonts w:ascii="Arial" w:cs="Arial" w:eastAsia="Arial" w:hAnsi="Arial"/>
          <w:sz w:val="17"/>
          <w:szCs w:val="17"/>
          <w:color w:val="auto"/>
          <w:vertAlign w:val="superscript"/>
        </w:rPr>
      </w:pPr>
      <w:r>
        <w:rPr>
          <w:rFonts w:ascii="Arial" w:cs="Arial" w:eastAsia="Arial" w:hAnsi="Arial"/>
          <w:sz w:val="12"/>
          <w:szCs w:val="12"/>
          <w:color w:val="auto"/>
        </w:rPr>
        <w:t>Assumes exchange under the terms of the October 11, 2012 Note Exchange and Purchase Agreement with Platinum</w:t>
      </w:r>
    </w:p>
    <w:p>
      <w:pPr>
        <w:spacing w:after="0" w:line="1" w:lineRule="exact"/>
        <w:rPr>
          <w:rFonts w:ascii="Arial" w:cs="Arial" w:eastAsia="Arial" w:hAnsi="Arial"/>
          <w:sz w:val="17"/>
          <w:szCs w:val="17"/>
          <w:color w:val="auto"/>
          <w:vertAlign w:val="superscript"/>
        </w:rPr>
      </w:pPr>
    </w:p>
    <w:p>
      <w:pPr>
        <w:ind w:left="148" w:hanging="148"/>
        <w:spacing w:after="0" w:line="186" w:lineRule="auto"/>
        <w:tabs>
          <w:tab w:leader="none" w:pos="148" w:val="left"/>
        </w:tabs>
        <w:numPr>
          <w:ilvl w:val="0"/>
          <w:numId w:val="70"/>
        </w:numPr>
        <w:rPr>
          <w:rFonts w:ascii="Arial" w:cs="Arial" w:eastAsia="Arial" w:hAnsi="Arial"/>
          <w:sz w:val="16"/>
          <w:szCs w:val="16"/>
          <w:color w:val="auto"/>
          <w:vertAlign w:val="superscript"/>
        </w:rPr>
      </w:pPr>
      <w:r>
        <w:rPr>
          <w:rFonts w:ascii="Arial" w:cs="Arial" w:eastAsia="Arial" w:hAnsi="Arial"/>
          <w:sz w:val="11"/>
          <w:szCs w:val="11"/>
          <w:color w:val="auto"/>
        </w:rPr>
        <w:t>Assumes conversion under the terms of the October 11, 2012 Note Exchange and Purchase Agreement with Platinum and the terms of the individual notes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0"/>
          <w:szCs w:val="10"/>
          <w:color w:val="auto"/>
        </w:rPr>
        <w:t>15,000,000</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7,500,000</w:t>
      </w:r>
    </w:p>
    <w:p>
      <w:pPr>
        <w:spacing w:after="0" w:line="31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11,227,423</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17,095,633</w:t>
      </w:r>
    </w:p>
    <w:p>
      <w:pPr>
        <w:spacing w:after="0" w:line="162"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938,971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9525</wp:posOffset>
            </wp:positionV>
            <wp:extent cx="726440" cy="11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440" cy="11430"/>
                    </a:xfrm>
                    <a:prstGeom prst="rect">
                      <a:avLst/>
                    </a:prstGeom>
                    <a:noFill/>
                  </pic:spPr>
                </pic:pic>
              </a:graphicData>
            </a:graphic>
          </wp:anchor>
        </w:drawing>
      </w:r>
    </w:p>
    <w:p>
      <w:pPr>
        <w:spacing w:after="0" w:line="4"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18,034,604</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4,249,271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735,200</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4,984,471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2,470,000</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14,900,000</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71,950,000</w:t>
      </w:r>
    </w:p>
    <w:p>
      <w:pPr>
        <w:spacing w:after="0" w:line="171" w:lineRule="exact"/>
        <w:rPr>
          <w:sz w:val="20"/>
          <w:szCs w:val="20"/>
          <w:color w:val="auto"/>
        </w:rPr>
      </w:pPr>
    </w:p>
    <w:p>
      <w:pPr>
        <w:spacing w:after="0"/>
        <w:rPr>
          <w:sz w:val="20"/>
          <w:szCs w:val="20"/>
          <w:color w:val="auto"/>
        </w:rPr>
      </w:pPr>
      <w:r>
        <w:rPr>
          <w:rFonts w:ascii="Arial" w:cs="Arial" w:eastAsia="Arial" w:hAnsi="Arial"/>
          <w:sz w:val="10"/>
          <w:szCs w:val="10"/>
          <w:color w:val="auto"/>
        </w:rPr>
        <w:t>146,066,498</w:t>
      </w:r>
    </w:p>
    <w:p>
      <w:pPr>
        <w:spacing w:after="0" w:line="965" w:lineRule="exact"/>
        <w:rPr>
          <w:sz w:val="20"/>
          <w:szCs w:val="20"/>
          <w:color w:val="auto"/>
        </w:rPr>
      </w:pPr>
    </w:p>
    <w:p>
      <w:pPr>
        <w:sectPr>
          <w:pgSz w:w="11900" w:h="16838" w:orient="portrait"/>
          <w:cols w:equalWidth="0" w:num="2">
            <w:col w:w="10048" w:space="720"/>
            <w:col w:w="720"/>
          </w:cols>
          <w:pgMar w:left="212" w:top="134" w:right="199" w:bottom="1440" w:gutter="0" w:footer="0" w:header="0"/>
        </w:sectPr>
      </w:pPr>
    </w:p>
    <w:p>
      <w:pPr>
        <w:jc w:val="both"/>
        <w:ind w:left="8" w:firstLine="432"/>
        <w:spacing w:after="0" w:line="263" w:lineRule="auto"/>
        <w:rPr>
          <w:sz w:val="20"/>
          <w:szCs w:val="20"/>
          <w:color w:val="auto"/>
        </w:rPr>
      </w:pPr>
      <w:r>
        <w:rPr>
          <w:rFonts w:ascii="Arial" w:cs="Arial" w:eastAsia="Arial" w:hAnsi="Arial"/>
          <w:sz w:val="12"/>
          <w:szCs w:val="12"/>
          <w:color w:val="auto"/>
        </w:rPr>
        <w:t>The Company recorded research and development expenses of approximately $2.5 million and $3.4 million in the fiscal years ended March 31, 2014 and 2013,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12. Income Taxes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provision for income taxes for the periods presented in the consolidated statements of operations represents minimum California franchise taxes. Income tax expense differed from the amounts computed by applying the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U.S. federal income tax rate of 34% to pretax losses as a result of the following:</w:t>
      </w:r>
    </w:p>
    <w:p>
      <w:pPr>
        <w:spacing w:after="0" w:line="159" w:lineRule="exact"/>
        <w:rPr>
          <w:sz w:val="20"/>
          <w:szCs w:val="20"/>
          <w:color w:val="auto"/>
        </w:rPr>
      </w:pPr>
    </w:p>
    <w:p>
      <w:pPr>
        <w:ind w:left="9388"/>
        <w:spacing w:after="0"/>
        <w:rPr>
          <w:sz w:val="20"/>
          <w:szCs w:val="20"/>
          <w:color w:val="auto"/>
        </w:rPr>
      </w:pPr>
      <w:r>
        <w:rPr>
          <w:rFonts w:ascii="Arial" w:cs="Arial" w:eastAsia="Arial" w:hAnsi="Arial"/>
          <w:sz w:val="12"/>
          <w:szCs w:val="12"/>
          <w:color w:val="auto"/>
        </w:rPr>
        <w:t>Fiscal Years Ended March 31,</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840" w:type="dxa"/>
            <w:vAlign w:val="bottom"/>
            <w:gridSpan w:val="2"/>
          </w:tcPr>
          <w:p>
            <w:pPr>
              <w:spacing w:after="0"/>
              <w:rPr>
                <w:sz w:val="12"/>
                <w:szCs w:val="12"/>
                <w:color w:val="auto"/>
              </w:rPr>
            </w:pP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Computed expected tax benefit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Tax effect of Warrant Liability mark to market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41.5%</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losses not benefitted</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Other</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Income tax expense</w:t>
            </w:r>
          </w:p>
        </w:tc>
        <w:tc>
          <w:tcPr>
            <w:tcW w:w="8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9620" w:type="dxa"/>
            <w:vAlign w:val="bottom"/>
            <w:gridSpan w:val="2"/>
          </w:tcPr>
          <w:p>
            <w:pPr>
              <w:jc w:val="right"/>
              <w:ind w:right="3740"/>
              <w:spacing w:after="0"/>
              <w:rPr>
                <w:sz w:val="20"/>
                <w:szCs w:val="20"/>
                <w:color w:val="auto"/>
              </w:rPr>
            </w:pPr>
            <w:r>
              <w:rPr>
                <w:rFonts w:ascii="Arial" w:cs="Arial" w:eastAsia="Arial" w:hAnsi="Arial"/>
                <w:sz w:val="12"/>
                <w:szCs w:val="12"/>
                <w:color w:val="auto"/>
              </w:rPr>
              <w:t>F-40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type w:val="continuous"/>
        </w:sectPr>
      </w:pPr>
    </w:p>
    <w:bookmarkStart w:id="153" w:name="page154"/>
    <w:bookmarkEnd w:id="15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2"/>
          <w:szCs w:val="12"/>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operating loss carryovers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19,733</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320"/>
              <w:spacing w:after="0"/>
              <w:rPr>
                <w:sz w:val="20"/>
                <w:szCs w:val="20"/>
                <w:color w:val="auto"/>
              </w:rPr>
            </w:pPr>
            <w:r>
              <w:rPr>
                <w:rFonts w:ascii="Arial" w:cs="Arial" w:eastAsia="Arial" w:hAnsi="Arial"/>
                <w:sz w:val="12"/>
                <w:szCs w:val="12"/>
                <w:color w:val="auto"/>
              </w:rPr>
              <w:t>Basis differences in fixed assets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Accruals and reserves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tax assets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tax assets</w:t>
            </w:r>
          </w:p>
        </w:tc>
        <w:tc>
          <w:tcPr>
            <w:tcW w:w="740" w:type="dxa"/>
            <w:vAlign w:val="bottom"/>
            <w:tcBorders>
              <w:bottom w:val="single" w:sz="8" w:color="auto"/>
            </w:tcBorders>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Realization of deferred tax assets is dependent upon future earnings, if any, the timing and amount of which are uncertain. Accordingly, the deferred tax assets have been fully offset by a valuation allowance. The valuation allowance increased by $760,000 and $2,814,000 during the fiscal years ended March 31, 2014 and 2013, respectively. When realized, deferred tax assets related to employee stock options will be credited to additional paid-in capital.</w:t>
      </w:r>
    </w:p>
    <w:p>
      <w:pPr>
        <w:spacing w:after="0" w:line="11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March 31, 2014, the Company had U.S. federal net operating loss carryforwards of $50.3 million, which will expire in fiscal years 2019 through 2034. As of March 31, 2014, the Company had state net operating loss carryforwards of $44.7 million, which will expire in fiscal years 2014 through 2034.</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U.S. federal and state tax laws include substantial restrictions on the utilization of net operating loss carryforwards in the event of an ownership change of a corporation. The Company has not performed a change in ownership analysis since its inception in 1998 and accordingly some or all of its net operating loss carryforwards may not be available to offset future taxable income, if any. Even if the loss carryforwards are available they may be subject to substantial annual limitations resulting from past ownership changes, and ownership changes occurring after March 31, 2014, that could result in the expiration of the loss carryforwards before they are utilized.</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files income tax returns in the U.S. federal and Canadian jurisdictions and California and Maryland state jurisdictions. The Company is subject to U.S. federal and state income tax examinations by tax authorities for tax years 1999 through 2014 due to net operating losses that are being carried forward for tax purposes.</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does not have any uncertain tax positions or unrecognized tax benefits at March 31, 2014 and 2013. The Company’s policy is to recognize interest and penalties related to income taxes as components of interest expense and other expense,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Licensing and Collaborative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University Health Network</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September 17, 2007, the Company and UHN entered into a Sponsored Research Collaboration Agreement (“</w:t>
      </w:r>
      <w:r>
        <w:rPr>
          <w:rFonts w:ascii="Arial" w:cs="Arial" w:eastAsia="Arial" w:hAnsi="Arial"/>
          <w:sz w:val="12"/>
          <w:szCs w:val="12"/>
          <w:i w:val="1"/>
          <w:iCs w:val="1"/>
          <w:color w:val="auto"/>
        </w:rPr>
        <w:t>SRCA</w:t>
      </w:r>
      <w:r>
        <w:rPr>
          <w:rFonts w:ascii="Arial" w:cs="Arial" w:eastAsia="Arial" w:hAnsi="Arial"/>
          <w:sz w:val="12"/>
          <w:szCs w:val="12"/>
          <w:color w:val="auto"/>
        </w:rPr>
        <w:t xml:space="preserve">”) to develop certain stem cell technologies for drug discovery, development and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9, </w:t>
      </w:r>
      <w:r>
        <w:rPr>
          <w:rFonts w:ascii="Arial" w:cs="Arial" w:eastAsia="Arial" w:hAnsi="Arial"/>
          <w:sz w:val="12"/>
          <w:szCs w:val="12"/>
          <w:i w:val="1"/>
          <w:iCs w:val="1"/>
          <w:color w:val="auto"/>
        </w:rPr>
        <w:t>Convertible Notes and Other Notes Payable</w:t>
      </w:r>
      <w:r>
        <w:rPr>
          <w:rFonts w:ascii="Arial" w:cs="Arial" w:eastAsia="Arial" w:hAnsi="Arial"/>
          <w:sz w:val="12"/>
          <w:szCs w:val="12"/>
          <w:color w:val="auto"/>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4" w:name="page155"/>
    <w:bookmarkEnd w:id="15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National Institutes of Health</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During fiscal years 2006 through 2008,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 of $187,000 in the quarter ended June 30, 2012. The grant expired in the ordinary course on June 30, 2012.</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 Ltd.</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has built a strategic development relationship with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 global contract research and development organization, or CRO, and an affiliate of one of the Company’s largest institutional stockholders.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$52,500 and $703,800 for the fiscal years ended March 31, 2014 and 2013, respectively. As described in Note 9, </w:t>
      </w:r>
      <w:r>
        <w:rPr>
          <w:rFonts w:ascii="Arial" w:cs="Arial" w:eastAsia="Arial" w:hAnsi="Arial"/>
          <w:sz w:val="12"/>
          <w:szCs w:val="12"/>
          <w:i w:val="1"/>
          <w:iCs w:val="1"/>
          <w:color w:val="auto"/>
        </w:rPr>
        <w:t>Convertible Promissory Notes and Other Notes</w:t>
      </w:r>
      <w:r>
        <w:rPr>
          <w:rFonts w:ascii="Arial" w:cs="Arial" w:eastAsia="Arial" w:hAnsi="Arial"/>
          <w:sz w:val="12"/>
          <w:szCs w:val="12"/>
          <w:color w:val="auto"/>
        </w:rPr>
        <w:t xml:space="preserve"> </w:t>
      </w:r>
      <w:r>
        <w:rPr>
          <w:rFonts w:ascii="Arial" w:cs="Arial" w:eastAsia="Arial" w:hAnsi="Arial"/>
          <w:sz w:val="12"/>
          <w:szCs w:val="12"/>
          <w:i w:val="1"/>
          <w:iCs w:val="1"/>
          <w:color w:val="auto"/>
        </w:rPr>
        <w:t>Payable</w:t>
      </w:r>
      <w:r>
        <w:rPr>
          <w:rFonts w:ascii="Arial" w:cs="Arial" w:eastAsia="Arial" w:hAnsi="Arial"/>
          <w:sz w:val="12"/>
          <w:szCs w:val="12"/>
          <w:color w:val="auto"/>
        </w:rPr>
        <w:t>, in October 2012, the Company issued an unsecured promissory note in the principal amount of $1,009,000, and a warrant exercisable for 1,009,000 shares of the Company’s common stock, as payment in full of all amounts owed</w:t>
      </w:r>
      <w:r>
        <w:rPr>
          <w:rFonts w:ascii="Arial" w:cs="Arial" w:eastAsia="Arial" w:hAnsi="Arial"/>
          <w:sz w:val="12"/>
          <w:szCs w:val="12"/>
          <w:i w:val="1"/>
          <w:iCs w:val="1"/>
          <w:color w:val="auto"/>
        </w:rPr>
        <w:t xml:space="preserve"> </w:t>
      </w:r>
      <w:r>
        <w:rPr>
          <w:rFonts w:ascii="Arial" w:cs="Arial" w:eastAsia="Arial" w:hAnsi="Arial"/>
          <w:sz w:val="12"/>
          <w:szCs w:val="12"/>
          <w:color w:val="auto"/>
        </w:rPr>
        <w:t>to CRL for CRO services rendered to the Company through December 31, 2012.</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 Option Plans and 401(k) Plan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the following share-based compensation plans.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2008 Stock Incentive Plan (the “</w:t>
      </w:r>
      <w:r>
        <w:rPr>
          <w:rFonts w:ascii="Arial" w:cs="Arial" w:eastAsia="Arial" w:hAnsi="Arial"/>
          <w:sz w:val="12"/>
          <w:szCs w:val="12"/>
          <w:i w:val="1"/>
          <w:iCs w:val="1"/>
          <w:color w:val="auto"/>
        </w:rPr>
        <w:t>2008 Plan</w:t>
      </w:r>
      <w:r>
        <w:rPr>
          <w:rFonts w:ascii="Arial" w:cs="Arial" w:eastAsia="Arial" w:hAnsi="Arial"/>
          <w:sz w:val="12"/>
          <w:szCs w:val="12"/>
          <w:color w:val="auto"/>
        </w:rPr>
        <w:t>”) was adopted by the shareholders of VistaGen California on December 19, 2008 and assumed by the Company in connection with the Merger. The maximum number of shares of the Company’s common stock that may be granted pursuant to the 2008 Plan is 5,000,000 shares. The maximum number of shares that may be granted under the 2008 Plan is subject to adjustments for stock splits, stock dividends or other similar changes in the common stock or capital structure.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1999 Stock Incentive Plan (“</w:t>
      </w:r>
      <w:r>
        <w:rPr>
          <w:rFonts w:ascii="Arial" w:cs="Arial" w:eastAsia="Arial" w:hAnsi="Arial"/>
          <w:sz w:val="12"/>
          <w:szCs w:val="12"/>
          <w:i w:val="1"/>
          <w:iCs w:val="1"/>
          <w:color w:val="auto"/>
        </w:rPr>
        <w:t>1999 Plan</w:t>
      </w:r>
      <w:r>
        <w:rPr>
          <w:rFonts w:ascii="Arial" w:cs="Arial" w:eastAsia="Arial" w:hAnsi="Arial"/>
          <w:sz w:val="12"/>
          <w:szCs w:val="12"/>
          <w:color w:val="auto"/>
        </w:rPr>
        <w:t>”) was adopted by the shareholders of VistaGen California on December 6, 1999 and assumed by the Company in connection with the Merger. The Company initially reserved 900,000 shares for the issuance of awards under the 1999 Plan. The 1999 Plan has terminated under its own terms and, as a result, no awards may currently be granted under the 1999 Plan. However, the unexpired options and awards that have already been granted pursuant to the 1999 Plan remain operative.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the 2008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2008 Plan, the Compensation Committee of the Company’s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5" w:name="page156"/>
    <w:bookmarkEnd w:id="15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Compensation Committee may grant nonstatutory stock options under the 2008 Plan at a price of not less than 100% of the fair market value of the Company’s common stock on the date the option is granted. Incentive stock options under the 2008 Plan may be granted at a price of not less than 100% of the fair market value of the Company’s common stock on the date the option is granted. Incentive stock options granted to employees who, on the date of grant, own stock representing more than 10% of the voting power of all of the Company’s classes of stock are granted at an exercise price of not less than 110% of the fair market value of the Company’s common stock. The maximum term of these incentive stock options granted to employees who own stock possessing more than 10% of the voting power of all classes of the Company’s stock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Unless terminated sooner, the 2008 Plan will automatically terminate in 2017. The Board of Directors may at any time amend, suspend or terminate the Company’s 2008 Plan.</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During the third quarter of fiscal 2013, when the quoted market price of the Company’s common stock was $0.71 per share, the Company cancelled outstanding options to purchase an aggregate of 870,550 shares of its common stock at exercise prices between $1.13 per share and $2.58 per share held by certain employees, excluding the Company’s Chief Executive Officer and President and Chief Scientific Officer, and by certain consultants and granted those persons new options to purchase an aggregate of 920,550 shares at an exercise price of $0.75 per share. Such options granted during fiscal 2013 have a contractual term of 10 years with options to purchase 604,699 shares granted as immediately vested, and the remaining option shares vesting over a period of two years. The cancellation and reissuance was accounted for as a modification of the options and resulted in a charge of $133,000. During the third quarter of fiscal 2014, when the quoted market price of the Company’s common stock was $0.40 per share, the Company reduced the exercise price of an aggregate of 3,924,245 outstanding options to purchase shares of its common stock at exercise prices between $0.75 per share and $2.99 per share held by certain employees, including the Company’s officers and directors, and by certain consultants to $0.40 per share or $0.50 per share. These reductions in exercise price were accounted for as a modification of the options and resulted in a charge of $252,000.</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The following table summarizes share-based compensation expense, including share-based expense related to the March 2014 and March 2013 grants of warrants to certain of the Company’s officers and to its independent directors as described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included in the accompanying Consolidated Statement of Operations and Comprehensive Loss for the years ended March 31, 2014 and 2013.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4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r>
      <w:tr>
        <w:trPr>
          <w:trHeight w:val="286"/>
        </w:trPr>
        <w:tc>
          <w:tcPr>
            <w:tcW w:w="446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4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6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296,900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242,300</w:t>
            </w: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 in March 2014</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22,800</w:t>
            </w: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in March 2013</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133,700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267,500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453,400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509,800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 expense:</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385,100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196,600</w:t>
            </w: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and directors in March 2014</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31,300</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officers and directors in March 2013</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267,500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534,900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683,900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731,500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0"/>
              <w:spacing w:after="0"/>
              <w:rPr>
                <w:sz w:val="20"/>
                <w:szCs w:val="20"/>
                <w:color w:val="auto"/>
              </w:rPr>
            </w:pPr>
            <w:r>
              <w:rPr>
                <w:rFonts w:ascii="Arial" w:cs="Arial" w:eastAsia="Arial" w:hAnsi="Arial"/>
                <w:sz w:val="12"/>
                <w:szCs w:val="12"/>
                <w:color w:val="auto"/>
              </w:rPr>
              <w:t>Total stock-based compensation expense</w:t>
            </w:r>
          </w:p>
        </w:tc>
        <w:tc>
          <w:tcPr>
            <w:tcW w:w="4380" w:type="dxa"/>
            <w:vAlign w:val="bottom"/>
          </w:tcPr>
          <w:p>
            <w:pPr>
              <w:spacing w:after="0"/>
              <w:rPr>
                <w:sz w:val="12"/>
                <w:szCs w:val="1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1,137,300</w:t>
            </w:r>
          </w:p>
        </w:tc>
        <w:tc>
          <w:tcPr>
            <w:tcW w:w="240" w:type="dxa"/>
            <w:vAlign w:val="bottom"/>
          </w:tcPr>
          <w:p>
            <w:pPr>
              <w:spacing w:after="0"/>
              <w:rPr>
                <w:sz w:val="12"/>
                <w:szCs w:val="12"/>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1,241,300</w:t>
            </w:r>
          </w:p>
        </w:tc>
        <w:tc>
          <w:tcPr>
            <w:tcW w:w="120" w:type="dxa"/>
            <w:vAlign w:val="bottom"/>
          </w:tcPr>
          <w:p>
            <w:pPr>
              <w:spacing w:after="0"/>
              <w:rPr>
                <w:sz w:val="12"/>
                <w:szCs w:val="12"/>
                <w:color w:val="auto"/>
              </w:rPr>
            </w:pPr>
          </w:p>
        </w:tc>
      </w:tr>
      <w:tr>
        <w:trPr>
          <w:trHeight w:val="20"/>
        </w:trPr>
        <w:tc>
          <w:tcPr>
            <w:tcW w:w="4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1"/>
        </w:trPr>
        <w:tc>
          <w:tcPr>
            <w:tcW w:w="4460" w:type="dxa"/>
            <w:vAlign w:val="bottom"/>
          </w:tcPr>
          <w:p>
            <w:pPr>
              <w:spacing w:after="0"/>
              <w:rPr>
                <w:sz w:val="24"/>
                <w:szCs w:val="24"/>
                <w:color w:val="auto"/>
              </w:rPr>
            </w:pPr>
          </w:p>
        </w:tc>
        <w:tc>
          <w:tcPr>
            <w:tcW w:w="4640" w:type="dxa"/>
            <w:vAlign w:val="bottom"/>
            <w:gridSpan w:val="2"/>
          </w:tcPr>
          <w:p>
            <w:pPr>
              <w:jc w:val="right"/>
              <w:ind w:right="3210"/>
              <w:spacing w:after="0"/>
              <w:rPr>
                <w:sz w:val="20"/>
                <w:szCs w:val="20"/>
                <w:color w:val="auto"/>
              </w:rPr>
            </w:pPr>
            <w:r>
              <w:rPr>
                <w:rFonts w:ascii="Arial" w:cs="Arial" w:eastAsia="Arial" w:hAnsi="Arial"/>
                <w:sz w:val="12"/>
                <w:szCs w:val="12"/>
                <w:color w:val="auto"/>
              </w:rPr>
              <w:t>F-43</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4460" w:type="dxa"/>
            <w:vAlign w:val="bottom"/>
            <w:tcBorders>
              <w:bottom w:val="single" w:sz="8" w:color="808080"/>
            </w:tcBorders>
          </w:tcPr>
          <w:p>
            <w:pPr>
              <w:spacing w:after="0"/>
              <w:rPr>
                <w:sz w:val="6"/>
                <w:szCs w:val="6"/>
                <w:color w:val="auto"/>
              </w:rPr>
            </w:pPr>
          </w:p>
        </w:tc>
        <w:tc>
          <w:tcPr>
            <w:tcW w:w="43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6" w:name="page157"/>
    <w:bookmarkEnd w:id="15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Company used the Black-Scholes option valuation model with the following assumptions to determine share-based compensation expense related to option grants during the fiscal years ended March 31, 2014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Borders>
              <w:bottom w:val="single" w:sz="8" w:color="auto"/>
            </w:tcBorders>
          </w:tcPr>
          <w:p>
            <w:pPr>
              <w:jc w:val="center"/>
              <w:ind w:left="800"/>
              <w:spacing w:after="0"/>
              <w:rPr>
                <w:sz w:val="20"/>
                <w:szCs w:val="20"/>
                <w:color w:val="auto"/>
              </w:rPr>
            </w:pPr>
            <w:r>
              <w:rPr>
                <w:rFonts w:ascii="Arial" w:cs="Arial" w:eastAsia="Arial" w:hAnsi="Arial"/>
                <w:sz w:val="12"/>
                <w:szCs w:val="12"/>
                <w:b w:val="1"/>
                <w:bCs w:val="1"/>
                <w:color w:val="auto"/>
                <w:w w:val="89"/>
              </w:rPr>
              <w:t>2014</w:t>
            </w:r>
          </w:p>
        </w:tc>
        <w:tc>
          <w:tcPr>
            <w:tcW w:w="4080" w:type="dxa"/>
            <w:vAlign w:val="bottom"/>
            <w:tcBorders>
              <w:bottom w:val="single" w:sz="8" w:color="auto"/>
            </w:tcBorders>
          </w:tcPr>
          <w:p>
            <w:pPr>
              <w:jc w:val="center"/>
              <w:ind w:left="780"/>
              <w:spacing w:after="0"/>
              <w:rPr>
                <w:sz w:val="20"/>
                <w:szCs w:val="20"/>
                <w:color w:val="auto"/>
              </w:rPr>
            </w:pPr>
            <w:r>
              <w:rPr>
                <w:rFonts w:ascii="Arial" w:cs="Arial" w:eastAsia="Arial" w:hAnsi="Arial"/>
                <w:sz w:val="12"/>
                <w:szCs w:val="12"/>
                <w:b w:val="1"/>
                <w:bCs w:val="1"/>
                <w:color w:val="auto"/>
                <w:w w:val="89"/>
              </w:rPr>
              <w:t>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Exercise price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7"/>
              </w:rPr>
              <w:t>$0.51 and $0.75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Market price on date of grant</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7"/>
              </w:rPr>
              <w:t>$0.51 and $0.71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9"/>
              </w:rPr>
              <w:t>1.08% to 2.53%</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0.90% to 1.74%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term (years)</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6.25 to 10.0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6.25 to 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91"/>
              </w:rPr>
              <w:t>87.9% to 103.2%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82.9% to 85.4%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91"/>
              </w:rPr>
              <w:t>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91"/>
              </w:rPr>
              <w:t>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Fair value per share at grant date</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$0.32 to $0.68</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$0.36 to $0.59</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expected term of options represents the period that the Company’s share-based compensation awards are expected to be outstanding. The Company has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the Company’s limited historical experience as a publicly traded company as well as the lack of liquidity resulting from the limited number of freely-tradable shares of its common stock. Limited historical experience and lack of liquidity in its stock also resulted in the Company’s decision to utilize the historical volatilities of a peer group of public companies’ stock over the expected term of the option in determining its expected volatility assumptions. The risk-free interest rate for periods related to the expected life of the options is based on the U.S. Treasury yield curve in effect at the time of grant. The expected dividend yield is zero, as the Company has not paid any dividends and does not anticipate paying dividends in the near future. The Company calculated the forfeiture rate based on an analysis of historical data, as it reasonably approximates the currently anticipated rate of forfeitures for granted and outstanding options that have not vested.</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activity for the fiscal years ended March 31, 2014 and 2013 under the Company’s stock option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2"/>
                <w:szCs w:val="12"/>
                <w:color w:val="auto"/>
              </w:rPr>
              <w:t>Fiscal Years Ended March 31,</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color w:val="auto"/>
              </w:rPr>
              <w:t>2014</w:t>
            </w:r>
          </w:p>
        </w:tc>
        <w:tc>
          <w:tcPr>
            <w:tcW w:w="9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2"/>
                <w:szCs w:val="12"/>
                <w:color w:val="auto"/>
              </w:rPr>
              <w:t>2013</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77"/>
        </w:trPr>
        <w:tc>
          <w:tcPr>
            <w:tcW w:w="4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0"/>
              </w:rPr>
              <w:t>Weighted</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Weighted</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Average</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2"/>
                <w:szCs w:val="12"/>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1"/>
              </w:rPr>
              <w:t>Exercise</w:t>
            </w:r>
          </w:p>
        </w:tc>
        <w:tc>
          <w:tcPr>
            <w:tcW w:w="1380" w:type="dxa"/>
            <w:vAlign w:val="bottom"/>
            <w:gridSpan w:val="2"/>
          </w:tcPr>
          <w:p>
            <w:pPr>
              <w:jc w:val="right"/>
              <w:ind w:right="540"/>
              <w:spacing w:after="0"/>
              <w:rPr>
                <w:sz w:val="20"/>
                <w:szCs w:val="20"/>
                <w:color w:val="auto"/>
              </w:rPr>
            </w:pPr>
            <w:r>
              <w:rPr>
                <w:rFonts w:ascii="Arial" w:cs="Arial" w:eastAsia="Arial" w:hAnsi="Arial"/>
                <w:sz w:val="12"/>
                <w:szCs w:val="12"/>
                <w:color w:val="auto"/>
              </w:rPr>
              <w:t>Number of</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Exercise</w:t>
            </w:r>
          </w:p>
        </w:tc>
      </w:t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Price</w:t>
            </w:r>
          </w:p>
        </w:tc>
        <w:tc>
          <w:tcPr>
            <w:tcW w:w="1380" w:type="dxa"/>
            <w:vAlign w:val="bottom"/>
            <w:gridSpan w:val="2"/>
          </w:tcPr>
          <w:p>
            <w:pPr>
              <w:jc w:val="right"/>
              <w:ind w:right="640"/>
              <w:spacing w:after="0"/>
              <w:rPr>
                <w:sz w:val="20"/>
                <w:szCs w:val="20"/>
                <w:color w:val="auto"/>
              </w:rPr>
            </w:pPr>
            <w:r>
              <w:rPr>
                <w:rFonts w:ascii="Arial" w:cs="Arial" w:eastAsia="Arial" w:hAnsi="Arial"/>
                <w:sz w:val="12"/>
                <w:szCs w:val="12"/>
                <w:color w:val="auto"/>
              </w:rPr>
              <w:t>Shares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7"/>
              </w:rPr>
              <w:t>Price</w:t>
            </w: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outstanding at beginning of period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4,805,771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granted</w:t>
            </w:r>
          </w:p>
        </w:tc>
        <w:tc>
          <w:tcPr>
            <w:tcW w:w="2740" w:type="dxa"/>
            <w:vAlign w:val="bottom"/>
            <w:gridSpan w:val="3"/>
          </w:tcPr>
          <w:p>
            <w:pPr>
              <w:jc w:val="right"/>
              <w:ind w:right="140"/>
              <w:spacing w:after="0"/>
              <w:rPr>
                <w:sz w:val="20"/>
                <w:szCs w:val="20"/>
                <w:color w:val="auto"/>
              </w:rPr>
            </w:pPr>
            <w:r>
              <w:rPr>
                <w:rFonts w:ascii="Arial" w:cs="Arial" w:eastAsia="Arial" w:hAnsi="Arial"/>
                <w:sz w:val="12"/>
                <w:szCs w:val="12"/>
                <w:color w:val="auto"/>
              </w:rPr>
              <w:t>381,000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0.54</w:t>
            </w:r>
          </w:p>
        </w:tc>
        <w:tc>
          <w:tcPr>
            <w:tcW w:w="1160" w:type="dxa"/>
            <w:vAlign w:val="bottom"/>
          </w:tcPr>
          <w:p>
            <w:pPr>
              <w:jc w:val="right"/>
              <w:spacing w:after="0"/>
              <w:rPr>
                <w:sz w:val="20"/>
                <w:szCs w:val="20"/>
                <w:color w:val="auto"/>
              </w:rPr>
            </w:pPr>
            <w:r>
              <w:rPr>
                <w:rFonts w:ascii="Arial" w:cs="Arial" w:eastAsia="Arial" w:hAnsi="Arial"/>
                <w:sz w:val="12"/>
                <w:szCs w:val="12"/>
                <w:color w:val="auto"/>
              </w:rPr>
              <w:t>1,075,550</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0.72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exercised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cancelled</w:t>
            </w: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(870,550)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forfeited</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(79,080)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(29,167)</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expired</w:t>
            </w:r>
          </w:p>
        </w:tc>
        <w:tc>
          <w:tcPr>
            <w:tcW w:w="2740" w:type="dxa"/>
            <w:vAlign w:val="bottom"/>
            <w:gridSpan w:val="3"/>
          </w:tcPr>
          <w:p>
            <w:pPr>
              <w:jc w:val="right"/>
              <w:ind w:right="100"/>
              <w:spacing w:after="0"/>
              <w:rPr>
                <w:sz w:val="20"/>
                <w:szCs w:val="20"/>
                <w:color w:val="auto"/>
              </w:rPr>
            </w:pPr>
            <w:r>
              <w:rPr>
                <w:rFonts w:ascii="Arial" w:cs="Arial" w:eastAsia="Arial" w:hAnsi="Arial"/>
                <w:sz w:val="12"/>
                <w:szCs w:val="12"/>
                <w:color w:val="auto"/>
              </w:rPr>
              <w:t>(965,253)</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1.20</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(69,000)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r>
      <w:tr>
        <w:trPr>
          <w:trHeight w:val="142"/>
        </w:trPr>
        <w:tc>
          <w:tcPr>
            <w:tcW w:w="46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20"/>
              <w:spacing w:after="0" w:line="124" w:lineRule="exact"/>
              <w:rPr>
                <w:sz w:val="20"/>
                <w:szCs w:val="20"/>
                <w:color w:val="auto"/>
              </w:rPr>
            </w:pPr>
            <w:r>
              <w:rPr>
                <w:rFonts w:ascii="Arial" w:cs="Arial" w:eastAsia="Arial" w:hAnsi="Arial"/>
                <w:sz w:val="12"/>
                <w:szCs w:val="12"/>
                <w:color w:val="auto"/>
              </w:rPr>
              <w:t>Options outstanding at end of period</w:t>
            </w:r>
          </w:p>
        </w:tc>
        <w:tc>
          <w:tcPr>
            <w:tcW w:w="26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4,249,271</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line="124" w:lineRule="exact"/>
              <w:rPr>
                <w:sz w:val="20"/>
                <w:szCs w:val="20"/>
                <w:color w:val="auto"/>
              </w:rPr>
            </w:pPr>
            <w:r>
              <w:rPr>
                <w:rFonts w:ascii="Arial" w:cs="Arial" w:eastAsia="Arial" w:hAnsi="Arial"/>
                <w:sz w:val="12"/>
                <w:szCs w:val="12"/>
                <w:color w:val="auto"/>
              </w:rPr>
              <w:t>0.50</w:t>
            </w:r>
          </w:p>
        </w:tc>
        <w:tc>
          <w:tcPr>
            <w:tcW w:w="1160" w:type="dxa"/>
            <w:vAlign w:val="bottom"/>
          </w:tcPr>
          <w:p>
            <w:pPr>
              <w:jc w:val="right"/>
              <w:spacing w:after="0" w:line="124" w:lineRule="exact"/>
              <w:rPr>
                <w:sz w:val="20"/>
                <w:szCs w:val="20"/>
                <w:color w:val="auto"/>
              </w:rPr>
            </w:pPr>
            <w:r>
              <w:rPr>
                <w:rFonts w:ascii="Arial" w:cs="Arial" w:eastAsia="Arial" w:hAnsi="Arial"/>
                <w:sz w:val="12"/>
                <w:szCs w:val="12"/>
                <w:color w:val="auto"/>
              </w:rPr>
              <w:t>4,912,604</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1.32</w:t>
            </w:r>
          </w:p>
        </w:tc>
      </w:tr>
      <w:tr>
        <w:trPr>
          <w:trHeight w:val="20"/>
        </w:trPr>
        <w:tc>
          <w:tcPr>
            <w:tcW w:w="4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464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Options exercisable at end of period</w:t>
            </w:r>
          </w:p>
        </w:tc>
        <w:tc>
          <w:tcPr>
            <w:tcW w:w="26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3,655,061</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0.50</w:t>
            </w:r>
          </w:p>
        </w:tc>
        <w:tc>
          <w:tcPr>
            <w:tcW w:w="11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4,227,436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1.35</w:t>
            </w:r>
          </w:p>
        </w:tc>
      </w:tr>
      <w:tr>
        <w:trPr>
          <w:trHeight w:val="120"/>
        </w:trPr>
        <w:tc>
          <w:tcPr>
            <w:tcW w:w="464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8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grant-date fair value of options granted during the period</w:t>
            </w:r>
          </w:p>
        </w:tc>
        <w:tc>
          <w:tcPr>
            <w:tcW w:w="1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0.42</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0.52</w:t>
            </w:r>
          </w:p>
        </w:tc>
      </w:tr>
      <w:tr>
        <w:trPr>
          <w:trHeight w:val="381"/>
        </w:trPr>
        <w:tc>
          <w:tcPr>
            <w:tcW w:w="4640" w:type="dxa"/>
            <w:vAlign w:val="bottom"/>
            <w:tcBorders>
              <w:top w:val="single" w:sz="8" w:color="CCEEFF"/>
            </w:tcBorders>
          </w:tcPr>
          <w:p>
            <w:pPr>
              <w:spacing w:after="0"/>
              <w:rPr>
                <w:sz w:val="24"/>
                <w:szCs w:val="24"/>
                <w:color w:val="auto"/>
              </w:rPr>
            </w:pPr>
          </w:p>
        </w:tc>
        <w:tc>
          <w:tcPr>
            <w:tcW w:w="2740" w:type="dxa"/>
            <w:vAlign w:val="bottom"/>
            <w:tcBorders>
              <w:top w:val="single" w:sz="8" w:color="CCEEFF"/>
            </w:tcBorders>
            <w:gridSpan w:val="3"/>
          </w:tcPr>
          <w:p>
            <w:pPr>
              <w:jc w:val="right"/>
              <w:ind w:right="1540"/>
              <w:spacing w:after="0"/>
              <w:rPr>
                <w:sz w:val="20"/>
                <w:szCs w:val="20"/>
                <w:color w:val="auto"/>
              </w:rPr>
            </w:pPr>
            <w:r>
              <w:rPr>
                <w:rFonts w:ascii="Arial" w:cs="Arial" w:eastAsia="Arial" w:hAnsi="Arial"/>
                <w:sz w:val="12"/>
                <w:szCs w:val="12"/>
                <w:color w:val="auto"/>
              </w:rPr>
              <w:t>F-44</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46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26"/>
        </w:trPr>
        <w:tc>
          <w:tcPr>
            <w:tcW w:w="1920" w:type="dxa"/>
            <w:vAlign w:val="bottom"/>
            <w:gridSpan w:val="5"/>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gridSpan w:val="12"/>
          </w:tcPr>
          <w:p>
            <w:pPr>
              <w:jc w:val="right"/>
              <w:ind w:right="200"/>
              <w:spacing w:after="0"/>
              <w:rPr>
                <w:sz w:val="20"/>
                <w:szCs w:val="20"/>
                <w:color w:val="auto"/>
              </w:rPr>
            </w:pPr>
            <w:r>
              <w:rPr>
                <w:rFonts w:ascii="Arial" w:cs="Arial" w:eastAsia="Arial" w:hAnsi="Arial"/>
                <w:sz w:val="12"/>
                <w:szCs w:val="12"/>
                <w:color w:val="auto"/>
                <w:w w:val="93"/>
              </w:rPr>
              <w:t>The following table summarizes information on stock options outstanding and exercisable under the Company’s option plans as of March 31, 2014:</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color w:val="auto"/>
                <w:w w:val="91"/>
              </w:rPr>
              <w:t>Options Outstanding</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color w:val="auto"/>
              </w:rPr>
              <w:t>Options Exercisable</w:t>
            </w:r>
          </w:p>
        </w:tc>
        <w:tc>
          <w:tcPr>
            <w:tcW w:w="1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00"/>
              <w:spacing w:after="0" w:line="133" w:lineRule="exact"/>
              <w:rPr>
                <w:sz w:val="20"/>
                <w:szCs w:val="20"/>
                <w:color w:val="auto"/>
              </w:rPr>
            </w:pPr>
            <w:r>
              <w:rPr>
                <w:rFonts w:ascii="Arial" w:cs="Arial" w:eastAsia="Arial" w:hAnsi="Arial"/>
                <w:sz w:val="12"/>
                <w:szCs w:val="12"/>
                <w:color w:val="auto"/>
                <w:w w:val="90"/>
              </w:rPr>
              <w:t>Weighted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89"/>
              </w:rPr>
              <w:t>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0"/>
              </w:rPr>
              <w:t>Weighted</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0"/>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0"/>
              </w:rPr>
              <w:t>Remaining</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84"/>
              </w:rPr>
              <w:t>Average</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9"/>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2"/>
                <w:szCs w:val="12"/>
                <w:color w:val="auto"/>
                <w:w w:val="86"/>
              </w:rPr>
              <w:t>Exercise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8"/>
              </w:rPr>
              <w:t>Number</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1"/>
              </w:rPr>
              <w:t>Years until</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1"/>
              </w:rPr>
              <w:t>Exercise</w:t>
            </w:r>
          </w:p>
        </w:tc>
        <w:tc>
          <w:tcPr>
            <w:tcW w:w="19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Number</w:t>
            </w: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1"/>
              </w:rPr>
              <w:t>Exercise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2"/>
                <w:szCs w:val="12"/>
                <w:color w:val="auto"/>
                <w:w w:val="87"/>
              </w:rPr>
              <w:t>Price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9"/>
              </w:rPr>
              <w:t>Outstanding</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7"/>
              </w:rPr>
              <w:t>Expiration</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4"/>
              </w:rPr>
              <w:t>Price</w:t>
            </w:r>
          </w:p>
        </w:tc>
        <w:tc>
          <w:tcPr>
            <w:tcW w:w="194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Exercisable</w:t>
            </w:r>
          </w:p>
        </w:tc>
        <w:tc>
          <w:tcPr>
            <w:tcW w:w="460" w:type="dxa"/>
            <w:vAlign w:val="bottom"/>
          </w:tcPr>
          <w:p>
            <w:pPr>
              <w:spacing w:after="0"/>
              <w:rPr>
                <w:sz w:val="13"/>
                <w:szCs w:val="13"/>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7"/>
              </w:rPr>
              <w:t>Price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0.40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1,041,550</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8.53</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0.40</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810,560</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2"/>
                <w:szCs w:val="12"/>
                <w:color w:val="auto"/>
              </w:rPr>
              <w:t>0.50</w:t>
            </w:r>
          </w:p>
        </w:tc>
        <w:tc>
          <w:tcPr>
            <w:tcW w:w="1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2,988,695</w:t>
            </w: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2"/>
                <w:szCs w:val="12"/>
                <w:color w:val="auto"/>
              </w:rPr>
              <w:t>5.90</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2"/>
                <w:szCs w:val="12"/>
                <w:color w:val="auto"/>
              </w:rPr>
              <w:t>0.50</w:t>
            </w:r>
          </w:p>
        </w:tc>
        <w:tc>
          <w:tcPr>
            <w:tcW w:w="1940" w:type="dxa"/>
            <w:vAlign w:val="bottom"/>
            <w:gridSpan w:val="2"/>
          </w:tcPr>
          <w:p>
            <w:pPr>
              <w:jc w:val="right"/>
              <w:ind w:right="300"/>
              <w:spacing w:after="0"/>
              <w:rPr>
                <w:sz w:val="20"/>
                <w:szCs w:val="20"/>
                <w:color w:val="auto"/>
              </w:rPr>
            </w:pPr>
            <w:r>
              <w:rPr>
                <w:rFonts w:ascii="Arial" w:cs="Arial" w:eastAsia="Arial" w:hAnsi="Arial"/>
                <w:sz w:val="12"/>
                <w:szCs w:val="12"/>
                <w:color w:val="auto"/>
              </w:rPr>
              <w:t>2,657,665</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0.72 - $ 1.80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219,026</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5.46</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1.06</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186,836</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4,249,271</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6.52</w:t>
            </w:r>
          </w:p>
        </w:tc>
        <w:tc>
          <w:tcPr>
            <w:tcW w:w="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0.50</w:t>
            </w:r>
          </w:p>
        </w:tc>
        <w:tc>
          <w:tcPr>
            <w:tcW w:w="16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3,655,061</w:t>
            </w: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CCEEFF"/>
            </w:tcBorders>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March 31, 2014, there were 735,200 shares of the Company’s common stock remaining available for grant under the 2008 Plan. There were no option exercises during the year ended March 31, 2014.</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Aggregate intrinsic value is the sum of the amounts by which the fair value of the stock exceeded the exercise price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quoted market price of the Company’s common stock of $0.46 per share on March 31, 2014, the aggregate intrinsic value of outstanding options at that date was $62,500, of which $48,600 related to exercisable options.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March 31, 2014, there was approximately $394,300 of unrecognized compensation cost related to non-vested share-based compensation awards from the 2008 Plan, which is expected to be recognized through May 2016. Additionally, at March 31, 2014 there was approximately $455,300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through a third-party agent, maintains a retirement and deferred savings plan for its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the Company to make discretionary contributions, subject to established limits and a vesting schedule. To date, the Company has not made any discretionary contributions to the retirement and deferred savings plan on behalf of participating employees.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Related Party Transactions</w:t>
      </w:r>
    </w:p>
    <w:p>
      <w:pPr>
        <w:spacing w:after="0" w:line="1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Cato Holding Company (“</w:t>
      </w:r>
      <w:r>
        <w:rPr>
          <w:rFonts w:ascii="Arial" w:cs="Arial" w:eastAsia="Arial" w:hAnsi="Arial"/>
          <w:sz w:val="11"/>
          <w:szCs w:val="11"/>
          <w:i w:val="1"/>
          <w:iCs w:val="1"/>
          <w:color w:val="auto"/>
        </w:rPr>
        <w:t>CHC</w:t>
      </w:r>
      <w:r>
        <w:rPr>
          <w:rFonts w:ascii="Arial" w:cs="Arial" w:eastAsia="Arial" w:hAnsi="Arial"/>
          <w:sz w:val="11"/>
          <w:szCs w:val="11"/>
          <w:color w:val="auto"/>
        </w:rPr>
        <w:t>”), doing business as Cato BioVentures ("</w:t>
      </w:r>
      <w:r>
        <w:rPr>
          <w:rFonts w:ascii="Arial" w:cs="Arial" w:eastAsia="Arial" w:hAnsi="Arial"/>
          <w:sz w:val="11"/>
          <w:szCs w:val="11"/>
          <w:i w:val="1"/>
          <w:iCs w:val="1"/>
          <w:color w:val="auto"/>
        </w:rPr>
        <w:t>CBV</w:t>
      </w:r>
      <w:r>
        <w:rPr>
          <w:rFonts w:ascii="Arial" w:cs="Arial" w:eastAsia="Arial" w:hAnsi="Arial"/>
          <w:sz w:val="11"/>
          <w:szCs w:val="11"/>
          <w:color w:val="auto"/>
        </w:rPr>
        <w:t xml:space="preserve">"), the parent of CRL, is one of the Company’s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the Company’s Chief Executive Officer and member of its Board of Directors, served as Managing Principal of CBV and as an officer of CRL until August 2009. As described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April 2011, CBV loaned the Company $352,300 under the terms of the 2011 CHC Note. On October 10, 2012, the Company and CHC cancelled the 2011 CHC Note and exchanged it for a new unsecured promissory note in the principal amount of $310,443 (the “</w:t>
      </w:r>
      <w:r>
        <w:rPr>
          <w:rFonts w:ascii="Arial" w:cs="Arial" w:eastAsia="Arial" w:hAnsi="Arial"/>
          <w:sz w:val="11"/>
          <w:szCs w:val="11"/>
          <w:i w:val="1"/>
          <w:iCs w:val="1"/>
          <w:color w:val="auto"/>
        </w:rPr>
        <w:t>2012 CHC Note</w:t>
      </w:r>
      <w:r>
        <w:rPr>
          <w:rFonts w:ascii="Arial" w:cs="Arial" w:eastAsia="Arial" w:hAnsi="Arial"/>
          <w:sz w:val="11"/>
          <w:szCs w:val="11"/>
          <w:color w:val="auto"/>
        </w:rPr>
        <w:t>”) and a five-year warrant to purchase 250,000 restricted shares of the Company’s common stock at a price of $1.50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Additionally, on October 10, 2012, the Company issued to CRL: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rendered by CRL to the Company and its affiliates through December 31, 2012 with respect to the preclinical and clinical development of AV-101, and (ii) a five-year warrant to purchase, at a price of $1.00 per share, 1,009,000 restricted shares of the Company’s common stock.</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58" w:name="page159"/>
    <w:bookmarkEnd w:id="15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fiscal year 2007, the Company entered into a contract research organization arrangement with CRL related to the development of AV-101, under which the Company incurred expenses of $52,500 and $703,800 for the fiscal years ended March 31, 2014 and 2013, respectively, with a portion of the fiscal 2013 expenses reimbursed under the NIH grant. Total interest expense on notes payable to CHC and CRL was $167,900 and $101,700 for the fiscal years ended March 31, 2014 and 2013, respectively.</w:t>
      </w:r>
    </w:p>
    <w:p>
      <w:pPr>
        <w:spacing w:after="0" w:line="141"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the Company becoming subject to the requirements of the Securities Exchange Act of 1934, as amended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the Company had accrued $101,900 as an estimate of the gross-up amount, but the Company had not yet paid that amount to Mr. Singh.</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Commitments, Contingencies, Guarantees and Indemnifications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From time to time, the Company may become involved in claims and other legal matters arising in the ordinary course of business. Management is not currently aware of any claims made or other legal matters that will have a material adverse effect on the Company’s consolidated financial position, results of operations or its cash flows.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indemnifies its officers and directors for certain events or occurrences while the officer or director is or was serving at the Company’s request in such capacity. The term of the indemnification period is for the officer’s or director’s lifetime. The Company will indemnify the officers or directors against any and all expenses incurred by the officers or directors because of their status as one of the Company’s directors or executive officers to the fullest extent permitted by California law. The Company has never incurred costs to defend lawsuits or settle claims related to these indemnification agreements. The Company has a director and officer insurance policy which limits the Company's exposure and may enable it to recover a portion of any future amounts paid. The Company believes the fair value of these indemnification agreements is minimal. Accordingly, there are no liabilities recorded for these agreements at March 31, 2014 or 2013.</w:t>
      </w:r>
    </w:p>
    <w:p>
      <w:pPr>
        <w:spacing w:after="0" w:line="12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the normal course of business, the Company provides indemnifications of varying scopes under agreements with other companies, typically clinical research organizations, investigators, clinical sites, suppliers and others. Pursuant to these agreements, the Company generally indemnifies, holds harmless, and agrees to reimburse the indemnified parties for losses suffered or incurred by the indemnified parties in connection with the use or testing of the Company's product candidates or with any U.S. patents or any copyright or other intellectual property infringement claims by any third party with respect to the Company's product candidates. The terms of these indemnification agreements are generally perpetual. The potential future payments the Company could be required to make under these indemnification agreements is unlimited. The Company maintains liability insurance coverage that limits its exposure. The Company believes the fair value of these indemnification agreements is minimal. Accordingly, the Company has not recorded any liabilities for these agreements as of March 31, 2014 or 2013.</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March 31, 2014 and 2013, the following assets are under capital lease obligations and included in property and equipment: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March 31,</w:t>
            </w: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w w:val="97"/>
              </w:rPr>
              <w:t>2013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19,000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19,000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Office equipment</w:t>
            </w: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23,500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Accumulated depreciation</w:t>
            </w: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(11,100</w:t>
            </w:r>
          </w:p>
        </w:tc>
        <w:tc>
          <w:tcPr>
            <w:tcW w:w="8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(6,400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Net book value</w:t>
            </w:r>
          </w:p>
        </w:tc>
        <w:tc>
          <w:tcPr>
            <w:tcW w:w="368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40" w:type="dxa"/>
            <w:vAlign w:val="bottom"/>
            <w:gridSpan w:val="2"/>
          </w:tcPr>
          <w:p>
            <w:pPr>
              <w:jc w:val="right"/>
              <w:ind w:right="1780"/>
              <w:spacing w:after="0"/>
              <w:rPr>
                <w:sz w:val="20"/>
                <w:szCs w:val="20"/>
                <w:color w:val="auto"/>
              </w:rPr>
            </w:pPr>
            <w:r>
              <w:rPr>
                <w:rFonts w:ascii="Arial" w:cs="Arial" w:eastAsia="Arial" w:hAnsi="Arial"/>
                <w:sz w:val="12"/>
                <w:szCs w:val="12"/>
                <w:color w:val="auto"/>
              </w:rPr>
              <w:t>F-46</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42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26"/>
        </w:trPr>
        <w:tc>
          <w:tcPr>
            <w:tcW w:w="1010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0080" w:type="dxa"/>
            <w:vAlign w:val="bottom"/>
            <w:gridSpan w:val="2"/>
          </w:tcPr>
          <w:p>
            <w:pPr>
              <w:ind w:left="400"/>
              <w:spacing w:after="0"/>
              <w:rPr>
                <w:sz w:val="20"/>
                <w:szCs w:val="20"/>
                <w:color w:val="auto"/>
              </w:rPr>
            </w:pPr>
            <w:r>
              <w:rPr>
                <w:rFonts w:ascii="Arial" w:cs="Arial" w:eastAsia="Arial" w:hAnsi="Arial"/>
                <w:sz w:val="12"/>
                <w:szCs w:val="12"/>
                <w:color w:val="auto"/>
                <w:w w:val="90"/>
              </w:rPr>
              <w:t>Amortization expense for assets recorded under capital leases is included in depreciation expense. Future minimum payments, by year and in the aggregate, required under capital leases are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Equipment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Capital</w:t>
            </w:r>
          </w:p>
        </w:tc>
        <w:tc>
          <w:tcPr>
            <w:tcW w:w="0" w:type="dxa"/>
            <w:vAlign w:val="bottom"/>
          </w:tcPr>
          <w:p>
            <w:pPr>
              <w:spacing w:after="0"/>
              <w:rPr>
                <w:sz w:val="1"/>
                <w:szCs w:val="1"/>
                <w:color w:val="auto"/>
              </w:rPr>
            </w:pPr>
          </w:p>
        </w:tc>
      </w:tr>
      <w:tr>
        <w:trPr>
          <w:trHeight w:val="153"/>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82"/>
              </w:rPr>
              <w:t>Leases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2016</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2018</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Future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imputed interest included in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Present value of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Non-current capital lease obligation</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2,100</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80" w:type="dxa"/>
            <w:vAlign w:val="bottom"/>
            <w:tcBorders>
              <w:top w:val="single" w:sz="8" w:color="CCEEFF"/>
            </w:tcBorders>
            <w:gridSpan w:val="2"/>
          </w:tcPr>
          <w:p>
            <w:pPr>
              <w:ind w:left="500"/>
              <w:spacing w:after="0"/>
              <w:rPr>
                <w:sz w:val="20"/>
                <w:szCs w:val="20"/>
                <w:color w:val="auto"/>
              </w:rPr>
            </w:pPr>
            <w:r>
              <w:rPr>
                <w:rFonts w:ascii="Arial" w:cs="Arial" w:eastAsia="Arial" w:hAnsi="Arial"/>
                <w:sz w:val="12"/>
                <w:szCs w:val="12"/>
                <w:color w:val="auto"/>
                <w:w w:val="98"/>
              </w:rPr>
              <w:t>At March 31, 2014, future minimum payments under operating leases relate to the Company’s facility lease in South San Francisco, California through July 31, 2017 and are as follows:</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2016</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264,000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277,100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2018</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93,800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885,800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Total facility rent expense incurred by the Company for the fiscal years ended March 31, 2014 and 2013 was $284,100 and $179,000,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Debt Repayment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At March 31, 2014, assuming that all outstanding convertible notes are converted into shares of common stock in accordance with their respective conversion provisions and that Replacement Note B issued to Morrison &amp; Foerster, the CRL Note and the UHN Note, each as described further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are repaid through the issuance of restricted common stock upon the exercise of the warrants associated with such notes, future minimum principal payments related to long-term debt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100" w:type="dxa"/>
            <w:vAlign w:val="bottom"/>
            <w:gridSpan w:val="2"/>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color w:val="auto"/>
              </w:rPr>
              <w:t>Amount</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2015</w:t>
            </w: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1,562,500</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461,300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w:t>
            </w: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10,700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Thereafter through June 2019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13,000</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2,057,500</w:t>
            </w:r>
          </w:p>
        </w:tc>
        <w:tc>
          <w:tcPr>
            <w:tcW w:w="120" w:type="dxa"/>
            <w:vAlign w:val="bottom"/>
            <w:tcBorders>
              <w:top w:val="single" w:sz="8" w:color="CCEEFF"/>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Subsequent Events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evaluated subsequent events through the date of this report and has identified the following material events and transactions that occurred after March 31, 2014.</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0" w:name="page161"/>
    <w:bookmarkEnd w:id="160"/>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2014 Unit Private Placement</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From April 1, 2014 through June 19, 2014, the Company entered into securities purchase agreements with accredited investors, including Platinum, pursuant to which it sold to such accredited investors Units, for aggregate cash proceeds of $1,465,000, consisting of (i) 10% convertible 2014 Unit Notes in the aggregate face amount of $1,465,000 due on March 31, 2015 or automatically convertible into securities the Company may issue upon the consummation of a Qualified Financing, as defined in the 2014 Unit Note, prior to March 31, 2015; (ii) an aggregate of 1,465,000 restricted shares of the Company’s common stock; and (iii) 2014 Unit Warrants exercisable through December 31, 2016 to purchase an aggregate of 1,465,000 restricted shares of the Company’s common stock at an exercise price of $0.50 per share.</w:t>
      </w:r>
    </w:p>
    <w:p>
      <w:pPr>
        <w:spacing w:after="0" w:line="139"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Satisfaction of Technology License and Maintenance Fees and Patent Expenses</w:t>
      </w:r>
    </w:p>
    <w:p>
      <w:pPr>
        <w:spacing w:after="0" w:line="17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In April 2014, the Company issued (i) a promissory note in the face amount of $300,000 due on the earlier of December 31, 2014, or the completion of a qualified financing, as defined, (ii) 300,000 restricted shares of its common stock and (iii) a warrant exercisable through March 31, 2019 to purchase 300,000 restricted shares of its common stock at an exercise price of $0.50 per share to Icahn School of Medicine at Mount Sinai in satisfaction of $288,400 of stem cell technology license maintenance fees and reimbursable patent prosecution costs.</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Amendment of Notes and Warrants issued in 2013/2014 Unit Private Placement</w:t>
      </w:r>
    </w:p>
    <w:p>
      <w:pPr>
        <w:spacing w:after="0" w:line="17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Effective May 31, 2014, the Company entered into note and warrant amendment agreements with certain holders of 2013/2014 Unit Notes and 2013/2014 Unit Warrants to (i) modify certain terms of the 2013/2014 Unit Notes, including the maturity date and the conversion features, to conform to the corresponding terms of the 2014 Unit Notes and (ii) to modify certain terms of the 2013/2014 Unit Warrants, including the exercise price and expiration date, to conform to the corresponding terms of the 2014 Unit Warrants. Holders of 2013/2014 Unit Notes having an aggregate initial face amount of $845,000 agreed to the amendments. The maturity date of the $75,000 of initial face amount of 2013/2014 Unit Notes payable to holders who did not agree to amend their 2013/2014 Unit Note and 2013/2014 Unit Warrant remains July 30, 2014 and the exercise price and expiration date of the 2013/2014 Unit Warrants held by such holders remains unchanged. Between March 31, 2014 and June 23, 2014, the Company has repaid 2013/2014 Unit Notes having an initial face value of $65,200.</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Extension of McCarthy Note Maturity Date</w:t>
      </w:r>
    </w:p>
    <w:p>
      <w:pPr>
        <w:spacing w:after="0" w:line="172"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On June 11, 2014, the Company and McCarthy agreed to extend the maturity date of the Company’s promissory note payable to McCarthy from June 14, 2014 to the earlier of (i) September 30, 2014, (ii) consummation of a financing in which the Company receives gross cash proceeds of at least $15.0 million, or (iii) consummation of a change of control of the Company, as defined in the McCarthy note. McCarthy also agreed to forbear with respect to the requirement that the Company make monthly payments on the note from the date of the agreement until maturity and granted the Company a waiver with respect to previously missed monthly payments.</w:t>
      </w:r>
    </w:p>
    <w:p>
      <w:pPr>
        <w:spacing w:after="0" w:line="119" w:lineRule="exact"/>
        <w:rPr>
          <w:sz w:val="20"/>
          <w:szCs w:val="20"/>
          <w:color w:val="auto"/>
        </w:rPr>
      </w:pPr>
    </w:p>
    <w:p>
      <w:pPr>
        <w:ind w:left="8" w:right="9180" w:hanging="8"/>
        <w:spacing w:after="0" w:line="643" w:lineRule="auto"/>
        <w:tabs>
          <w:tab w:leader="none" w:pos="188" w:val="left"/>
        </w:tabs>
        <w:numPr>
          <w:ilvl w:val="0"/>
          <w:numId w:val="71"/>
        </w:numPr>
        <w:rPr>
          <w:rFonts w:ascii="Arial" w:cs="Arial" w:eastAsia="Arial" w:hAnsi="Arial"/>
          <w:sz w:val="10"/>
          <w:szCs w:val="10"/>
          <w:b w:val="1"/>
          <w:bCs w:val="1"/>
          <w:color w:val="auto"/>
        </w:rPr>
      </w:pPr>
      <w:r>
        <w:rPr>
          <w:rFonts w:ascii="Arial" w:cs="Arial" w:eastAsia="Arial" w:hAnsi="Arial"/>
          <w:sz w:val="10"/>
          <w:szCs w:val="10"/>
          <w:b w:val="1"/>
          <w:bCs w:val="1"/>
          <w:color w:val="auto"/>
        </w:rPr>
        <w:t>Supplemental Financial Information Quarterly Results of Operations (Unaudited)</w:t>
      </w:r>
    </w:p>
    <w:p>
      <w:pPr>
        <w:jc w:val="both"/>
        <w:ind w:left="8" w:firstLine="432"/>
        <w:spacing w:after="0" w:line="26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2014.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26"/>
        </w:trPr>
        <w:tc>
          <w:tcPr>
            <w:tcW w:w="334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91"/>
              </w:rPr>
              <w:t>Unaudited Quarterly Results of Operations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87"/>
              </w:rPr>
              <w:t>(in thousands, except share and per share amounts)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2013</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2013</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2014</w:t>
            </w:r>
          </w:p>
        </w:tc>
        <w:tc>
          <w:tcPr>
            <w:tcW w:w="0" w:type="dxa"/>
            <w:vAlign w:val="bottom"/>
          </w:tcPr>
          <w:p>
            <w:pPr>
              <w:spacing w:after="0"/>
              <w:rPr>
                <w:sz w:val="1"/>
                <w:szCs w:val="1"/>
                <w:color w:val="auto"/>
              </w:rPr>
            </w:pPr>
          </w:p>
        </w:tc>
      </w:tr>
      <w:tr>
        <w:trPr>
          <w:trHeight w:val="286"/>
        </w:trPr>
        <w:tc>
          <w:tcPr>
            <w:tcW w:w="334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2"/>
          </w:tcPr>
          <w:p>
            <w:pPr>
              <w:ind w:left="360"/>
              <w:spacing w:after="0"/>
              <w:rPr>
                <w:sz w:val="20"/>
                <w:szCs w:val="20"/>
                <w:color w:val="auto"/>
              </w:rPr>
            </w:pPr>
            <w:r>
              <w:rPr>
                <w:rFonts w:ascii="Arial" w:cs="Arial" w:eastAsia="Arial" w:hAnsi="Arial"/>
                <w:sz w:val="12"/>
                <w:szCs w:val="12"/>
                <w:color w:val="auto"/>
              </w:rPr>
              <w:t>Total revenues</w:t>
            </w:r>
          </w:p>
        </w:tc>
        <w:tc>
          <w:tcPr>
            <w:tcW w:w="13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551</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897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(1,300)</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(1,215)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(1,448)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(1,066)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(361)</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1,940</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(257)</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186</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net income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5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net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5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Basic net income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20,839,941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21,630,587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22,210,573</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Diluted net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21,229,190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21,630,587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22,210,573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left="440"/>
              <w:spacing w:after="0"/>
              <w:rPr>
                <w:sz w:val="20"/>
                <w:szCs w:val="20"/>
                <w:color w:val="auto"/>
              </w:rPr>
            </w:pPr>
            <w:r>
              <w:rPr>
                <w:rFonts w:ascii="Arial" w:cs="Arial" w:eastAsia="Arial" w:hAnsi="Arial"/>
                <w:sz w:val="12"/>
                <w:szCs w:val="12"/>
                <w:color w:val="auto"/>
                <w:w w:val="88"/>
              </w:rPr>
              <w:t>F-49</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580" w:type="dxa"/>
            <w:vAlign w:val="bottom"/>
            <w:tcBorders>
              <w:bottom w:val="single" w:sz="8" w:color="808080"/>
            </w:tcBorders>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26"/>
        </w:trPr>
        <w:tc>
          <w:tcPr>
            <w:tcW w:w="47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2012</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2012</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2013</w:t>
            </w:r>
          </w:p>
        </w:tc>
        <w:tc>
          <w:tcPr>
            <w:tcW w:w="0" w:type="dxa"/>
            <w:vAlign w:val="bottom"/>
          </w:tcPr>
          <w:p>
            <w:pPr>
              <w:spacing w:after="0"/>
              <w:rPr>
                <w:sz w:val="1"/>
                <w:szCs w:val="1"/>
                <w:color w:val="auto"/>
              </w:rPr>
            </w:pPr>
          </w:p>
        </w:tc>
      </w:tr>
      <w:tr>
        <w:trPr>
          <w:trHeight w:val="286"/>
        </w:trPr>
        <w:tc>
          <w:tcPr>
            <w:tcW w:w="472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tcPr>
          <w:p>
            <w:pPr>
              <w:ind w:left="36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1,120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1,055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799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(1,721)</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(1,682)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(1,919)</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(1,471)</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(235)</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(309)</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(1,994)</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Loss on early extinguishment of debt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(3,537)</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Other income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before income taxes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(1,824)</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(5,333)</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(10,193)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9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 attributable to common stockholders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(15,528)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 net loss attributable to common stockholders per common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(0.85)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3"/>
              </w:rPr>
              <w:t>Weighted average shares used in computing basic and diluted net loss attributable to common</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stockholders per common share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16,842,655</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17,094,833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18,292,301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20,236,491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F-50</w:t>
            </w: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39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26"/>
        </w:trPr>
        <w:tc>
          <w:tcPr>
            <w:tcW w:w="102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9460" w:type="dxa"/>
            <w:vAlign w:val="bottom"/>
          </w:tcPr>
          <w:p>
            <w:pPr>
              <w:jc w:val="center"/>
              <w:ind w:left="440"/>
              <w:spacing w:after="0"/>
              <w:rPr>
                <w:sz w:val="20"/>
                <w:szCs w:val="20"/>
                <w:color w:val="auto"/>
              </w:rPr>
            </w:pPr>
            <w:r>
              <w:rPr>
                <w:rFonts w:ascii="Arial" w:cs="Arial" w:eastAsia="Arial" w:hAnsi="Arial"/>
                <w:sz w:val="12"/>
                <w:szCs w:val="12"/>
                <w:b w:val="1"/>
                <w:bCs w:val="1"/>
                <w:color w:val="auto"/>
              </w:rPr>
              <w:t>PART II</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60" w:type="dxa"/>
            <w:vAlign w:val="bottom"/>
          </w:tcPr>
          <w:p>
            <w:pPr>
              <w:jc w:val="center"/>
              <w:ind w:left="420"/>
              <w:spacing w:after="0"/>
              <w:rPr>
                <w:sz w:val="20"/>
                <w:szCs w:val="20"/>
                <w:color w:val="auto"/>
              </w:rPr>
            </w:pPr>
            <w:r>
              <w:rPr>
                <w:rFonts w:ascii="Arial" w:cs="Arial" w:eastAsia="Arial" w:hAnsi="Arial"/>
                <w:sz w:val="12"/>
                <w:szCs w:val="12"/>
                <w:b w:val="1"/>
                <w:bCs w:val="1"/>
                <w:color w:val="auto"/>
                <w:w w:val="90"/>
              </w:rPr>
              <w:t>Information Not Required in Prospectus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20" w:type="dxa"/>
            <w:vAlign w:val="bottom"/>
            <w:gridSpan w:val="3"/>
          </w:tcPr>
          <w:p>
            <w:pPr>
              <w:spacing w:after="0"/>
              <w:rPr>
                <w:sz w:val="20"/>
                <w:szCs w:val="20"/>
                <w:color w:val="auto"/>
              </w:rPr>
            </w:pPr>
            <w:r>
              <w:rPr>
                <w:rFonts w:ascii="Arial" w:cs="Arial" w:eastAsia="Arial" w:hAnsi="Arial"/>
                <w:sz w:val="12"/>
                <w:szCs w:val="12"/>
                <w:b w:val="1"/>
                <w:bCs w:val="1"/>
                <w:color w:val="auto"/>
              </w:rPr>
              <w:t>Item 13. Other Expenses of Issuance and Distribution</w:t>
            </w:r>
            <w:r>
              <w:rPr>
                <w:rFonts w:ascii="Arial" w:cs="Arial" w:eastAsia="Arial" w:hAnsi="Arial"/>
                <w:sz w:val="12"/>
                <w:szCs w:val="12"/>
                <w:color w:val="auto"/>
              </w:rPr>
              <w:t>.</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20" w:type="dxa"/>
            <w:vAlign w:val="bottom"/>
            <w:gridSpan w:val="3"/>
          </w:tcPr>
          <w:p>
            <w:pPr>
              <w:spacing w:after="0"/>
              <w:rPr>
                <w:sz w:val="20"/>
                <w:szCs w:val="20"/>
                <w:color w:val="auto"/>
              </w:rPr>
            </w:pPr>
            <w:r>
              <w:rPr>
                <w:rFonts w:ascii="Arial" w:cs="Arial" w:eastAsia="Arial" w:hAnsi="Arial"/>
                <w:sz w:val="12"/>
                <w:szCs w:val="12"/>
                <w:color w:val="auto"/>
              </w:rPr>
              <w:t>The following table sets forth all expenses to be paid by the Registrant in connection with this registration statement. All amounts shown are estimates except for the SEC registration fee.</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 Filing fees</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FINRA fees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Printing and filing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Transfer agent fees and expenses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Legal fees and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154,700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Accounting fees and expenses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Miscellaneous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46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20" w:type="dxa"/>
            <w:vAlign w:val="bottom"/>
            <w:gridSpan w:val="3"/>
          </w:tcPr>
          <w:p>
            <w:pPr>
              <w:spacing w:after="0"/>
              <w:rPr>
                <w:sz w:val="20"/>
                <w:szCs w:val="20"/>
                <w:color w:val="auto"/>
              </w:rPr>
            </w:pPr>
            <w:r>
              <w:rPr>
                <w:rFonts w:ascii="Arial" w:cs="Arial" w:eastAsia="Arial" w:hAnsi="Arial"/>
                <w:sz w:val="12"/>
                <w:szCs w:val="12"/>
                <w:b w:val="1"/>
                <w:bCs w:val="1"/>
                <w:color w:val="auto"/>
              </w:rPr>
              <w:t>Item 14. Indemnification of Officers and Directors</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Limitations of liability and indemnification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amended and restated bylaws provide that we will indemnify our directors, officers and employees to the fullest extent permitted by the Nevada Revised Statutes (</w:t>
      </w:r>
      <w:r>
        <w:rPr>
          <w:rFonts w:ascii="Arial" w:cs="Arial" w:eastAsia="Arial" w:hAnsi="Arial"/>
          <w:sz w:val="12"/>
          <w:szCs w:val="12"/>
          <w:i w:val="1"/>
          <w:iCs w:val="1"/>
          <w:color w:val="auto"/>
        </w:rPr>
        <w:t>NRS</w:t>
      </w:r>
      <w:r>
        <w:rPr>
          <w:rFonts w:ascii="Arial" w:cs="Arial" w:eastAsia="Arial" w:hAnsi="Arial"/>
          <w:sz w:val="12"/>
          <w:szCs w:val="12"/>
          <w:color w:val="auto"/>
        </w:rPr>
        <w: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4" w:name="page165"/>
    <w:bookmarkEnd w:id="16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Recent Sales of Unregistered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Since June 2011, we have made the following sales of unregistered securities in private placement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 March 2014 – July 2014</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Through July 1, 2014, we entered into securities purchase agreements with accredited investors pursuant to which we sold to such accredited investors units (</w:t>
      </w:r>
      <w:r>
        <w:rPr>
          <w:rFonts w:ascii="Arial" w:cs="Arial" w:eastAsia="Arial" w:hAnsi="Arial"/>
          <w:sz w:val="11"/>
          <w:szCs w:val="11"/>
          <w:i w:val="1"/>
          <w:iCs w:val="1"/>
          <w:color w:val="auto"/>
        </w:rPr>
        <w:t>2014 Units</w:t>
      </w:r>
      <w:r>
        <w:rPr>
          <w:rFonts w:ascii="Arial" w:cs="Arial" w:eastAsia="Arial" w:hAnsi="Arial"/>
          <w:sz w:val="11"/>
          <w:szCs w:val="11"/>
          <w:color w:val="auto"/>
        </w:rPr>
        <w:t>) consisting, in aggregate, of: (i) 10% subordinate convertible promissory notes maturing on March 31, 2015 in the aggregate face amount of $1,570,000; (ii) an aggregate of 1,570,000 shares of our restricted common stock; and (iii) warrants exercisable through December 31, 2016 to purchase an aggregate of 1,570,000 restricted shares of our common stock at an exercise price of $0.50 per share. We received cash proceeds of $1,570,000 from the sale of the 2014 Units.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Technology License Settlement: April 2014</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April 2014, in settlement of $288,400 of outstanding stem cell technology license fees and patent prosecution and maintenance expenses, we issued to the Icahn School of Medicine at Mount Sinai, the licensor of one of our stem cell technology licenses, (i) a 10% promissory note maturing on December 31, 2014 in the face amount of $300,000, $30,000 of which has been paid as of June 30, 2014; (ii) 300,000 restricted shares of our common stock; and (iii) a warrant exercisable through March 31, 2019 to purchase an aggregate of 300,000 restricted shares of our common stock at an exercise price of $0.50 per share.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2013/2014 Unit Private Placement: August 2013 – March 2014</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Between August 2013 and March 14, 2014, we entered into strategic securities purchase agreements with accredited investors pursuant to which we sold to such accredited investors Units consisting, in aggregate, of: (i) 10% convertible notes maturing on July 30, 2014 in the aggregate face amount of $1,007,500; (ii) an aggregate of 2,015,000 restricted shares of our common stock; and (iii) warrants exercisable through July 30, 2016 to purchase an aggregate of 2,015,000 restricted shares of our common stock at an exercise price of $1.00 per share. We received cash proceeds of $1,007,500 from the sale of the Units, including $50,000 in lieu of repayment of previous advances made to us by one of our executive officers.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Exercise of Warrants: June and October 2013</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June 2013 and October 2013, our Chief Executive Officer partially exercised a previously outstanding warrant to purchase an aggregate of 60,000 shares of our restricted common stock at an exercise price of $0.64 per share and we received proceeds of $38,400 from his exercise.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and Exercise of Warrants: June – July 2013</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During June 2013, we offered certain long term accredited investors holding warrants to purchase common stock the opportunity to exercise outstanding warrants having an exercise price of $1.50 per share to purchase shares of our restricted common stock at a reduced exercise price of $0.50 per share. Through the closing of the offering in mid-July 2013, warrant holders exercised modified warrants to purchase an aggregate of 528,370 restricted shares of our common stock and we received cash proceeds of $264,185. In addition, certain accredited long-term warrant holders exercised modified warrants to purchase 16,646 shares of our restricted common stock in lieu of payment by us in satisfaction of amounts due for professional services in the aggregate amount of $8,323.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5" w:name="page166"/>
    <w:bookmarkEnd w:id="16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Financing: June 2013</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April 2013, we entered into a Securities Purchase Agreement (</w:t>
      </w:r>
      <w:r>
        <w:rPr>
          <w:rFonts w:ascii="Arial" w:cs="Arial" w:eastAsia="Arial" w:hAnsi="Arial"/>
          <w:sz w:val="11"/>
          <w:szCs w:val="11"/>
          <w:i w:val="1"/>
          <w:iCs w:val="1"/>
          <w:color w:val="auto"/>
        </w:rPr>
        <w:t>Autilion Agreement</w:t>
      </w:r>
      <w:r>
        <w:rPr>
          <w:rFonts w:ascii="Arial" w:cs="Arial" w:eastAsia="Arial" w:hAnsi="Arial"/>
          <w:sz w:val="11"/>
          <w:szCs w:val="11"/>
          <w:color w:val="auto"/>
        </w:rPr>
        <w:t>) pursuant to which, as amended, we agreed to sell, and Autilion agreed to purchase, 72.0 million restricted shares of our common stock for $0.50 per share resulting in aggregate gross cash proceeds to us of $36.0 million. Through the date of this prospectus, Autilion has completed only a nominal initial closing of the Autilion Financing in which we issued 50,000 restricted shares of our common stock and received $25,000 in cash proceeds. Autilion is in default under the Securities Purchase Agreement and no assurances can be given that any further closings will occur under the Securities Purchase Agreement.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 July 2012 – July 2013</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July 2, 2012 and on August 31, 2012, we issued to Platinum senior secured convertible promissory notes in the principal amount of $500,000 (</w:t>
      </w:r>
      <w:r>
        <w:rPr>
          <w:rFonts w:ascii="Arial" w:cs="Arial" w:eastAsia="Arial" w:hAnsi="Arial"/>
          <w:sz w:val="12"/>
          <w:szCs w:val="12"/>
          <w:i w:val="1"/>
          <w:iCs w:val="1"/>
          <w:color w:val="auto"/>
        </w:rPr>
        <w:t>July 2012 Platinum Note</w:t>
      </w:r>
      <w:r>
        <w:rPr>
          <w:rFonts w:ascii="Arial" w:cs="Arial" w:eastAsia="Arial" w:hAnsi="Arial"/>
          <w:sz w:val="12"/>
          <w:szCs w:val="12"/>
          <w:color w:val="auto"/>
        </w:rPr>
        <w:t>) and $750,000 (</w:t>
      </w:r>
      <w:r>
        <w:rPr>
          <w:rFonts w:ascii="Arial" w:cs="Arial" w:eastAsia="Arial" w:hAnsi="Arial"/>
          <w:sz w:val="12"/>
          <w:szCs w:val="12"/>
          <w:i w:val="1"/>
          <w:iCs w:val="1"/>
          <w:color w:val="auto"/>
        </w:rPr>
        <w:t>August 2012 Platinum Note</w:t>
      </w:r>
      <w:r>
        <w:rPr>
          <w:rFonts w:ascii="Arial" w:cs="Arial" w:eastAsia="Arial" w:hAnsi="Arial"/>
          <w:sz w:val="12"/>
          <w:szCs w:val="12"/>
          <w:color w:val="auto"/>
        </w:rPr>
        <w:t>), respectively. The July 2012 Platinum Note and the August 2012 Platinum Note each accrued interest at the rate of 10% per annum and were due and payable on July 2, 2015.</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October 11, 2012, we entered into a Note Exchange and Purchase Agreement with Platinum (</w:t>
      </w:r>
      <w:r>
        <w:rPr>
          <w:rFonts w:ascii="Arial" w:cs="Arial" w:eastAsia="Arial" w:hAnsi="Arial"/>
          <w:sz w:val="12"/>
          <w:szCs w:val="12"/>
          <w:i w:val="1"/>
          <w:iCs w:val="1"/>
          <w:color w:val="auto"/>
        </w:rPr>
        <w:t>October 2012 Agreement</w:t>
      </w:r>
      <w:r>
        <w:rPr>
          <w:rFonts w:ascii="Arial" w:cs="Arial" w:eastAsia="Arial" w:hAnsi="Arial"/>
          <w:sz w:val="12"/>
          <w:szCs w:val="12"/>
          <w:color w:val="auto"/>
        </w:rPr>
        <w:t xml:space="preserve">) in which the July 2012 Platinum Note and the August 2012 Platinum Note (together, the </w:t>
      </w:r>
      <w:r>
        <w:rPr>
          <w:rFonts w:ascii="Arial" w:cs="Arial" w:eastAsia="Arial" w:hAnsi="Arial"/>
          <w:sz w:val="12"/>
          <w:szCs w:val="12"/>
          <w:i w:val="1"/>
          <w:iCs w:val="1"/>
          <w:color w:val="auto"/>
        </w:rPr>
        <w:t>Existing Notes</w:t>
      </w:r>
      <w:r>
        <w:rPr>
          <w:rFonts w:ascii="Arial" w:cs="Arial" w:eastAsia="Arial" w:hAnsi="Arial"/>
          <w:sz w:val="12"/>
          <w:szCs w:val="12"/>
          <w:color w:val="auto"/>
        </w:rPr>
        <w:t>), as well as the related accrued interest, were consolidated into and exchanged for a single senior secured convertible note in the amount of $1,272,600 (</w:t>
      </w:r>
      <w:r>
        <w:rPr>
          <w:rFonts w:ascii="Arial" w:cs="Arial" w:eastAsia="Arial" w:hAnsi="Arial"/>
          <w:sz w:val="12"/>
          <w:szCs w:val="12"/>
          <w:i w:val="1"/>
          <w:iCs w:val="1"/>
          <w:color w:val="auto"/>
        </w:rPr>
        <w:t>Exchange Note</w:t>
      </w:r>
      <w:r>
        <w:rPr>
          <w:rFonts w:ascii="Arial" w:cs="Arial" w:eastAsia="Arial" w:hAnsi="Arial"/>
          <w:sz w:val="12"/>
          <w:szCs w:val="12"/>
          <w:color w:val="auto"/>
        </w:rPr>
        <w:t>) and Platinum agreed to purchase four additional 10% senior secured convertible promissory notes in the aggregate principal amount of $2.0 million (</w:t>
      </w:r>
      <w:r>
        <w:rPr>
          <w:rFonts w:ascii="Arial" w:cs="Arial" w:eastAsia="Arial" w:hAnsi="Arial"/>
          <w:sz w:val="12"/>
          <w:szCs w:val="12"/>
          <w:i w:val="1"/>
          <w:iCs w:val="1"/>
          <w:color w:val="auto"/>
        </w:rPr>
        <w:t>Investment Notes</w:t>
      </w:r>
      <w:r>
        <w:rPr>
          <w:rFonts w:ascii="Arial" w:cs="Arial" w:eastAsia="Arial" w:hAnsi="Arial"/>
          <w:sz w:val="12"/>
          <w:szCs w:val="12"/>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On November 14, 2012 and January 31, 2013, we entered into amendments to the October 2012 Agreement (the </w:t>
      </w:r>
      <w:r>
        <w:rPr>
          <w:rFonts w:ascii="Arial" w:cs="Arial" w:eastAsia="Arial" w:hAnsi="Arial"/>
          <w:sz w:val="12"/>
          <w:szCs w:val="12"/>
          <w:i w:val="1"/>
          <w:iCs w:val="1"/>
          <w:color w:val="auto"/>
        </w:rPr>
        <w:t>NEPA Amendments</w:t>
      </w:r>
      <w:r>
        <w:rPr>
          <w:rFonts w:ascii="Arial" w:cs="Arial" w:eastAsia="Arial" w:hAnsi="Arial"/>
          <w:sz w:val="12"/>
          <w:szCs w:val="12"/>
          <w:color w:val="auto"/>
        </w:rPr>
        <w:t>) with Platinum, pursuant to which the final two $500,000 tranches contemplated by the October 2012 Agreement were combined into a single Investment Note in the aggregate principal amount of $1.0 million (</w:t>
      </w:r>
      <w:r>
        <w:rPr>
          <w:rFonts w:ascii="Arial" w:cs="Arial" w:eastAsia="Arial" w:hAnsi="Arial"/>
          <w:sz w:val="12"/>
          <w:szCs w:val="12"/>
          <w:i w:val="1"/>
          <w:iCs w:val="1"/>
          <w:color w:val="auto"/>
        </w:rPr>
        <w:t>$1.0 Million Note</w:t>
      </w:r>
      <w:r>
        <w:rPr>
          <w:rFonts w:ascii="Arial" w:cs="Arial" w:eastAsia="Arial" w:hAnsi="Arial"/>
          <w:sz w:val="12"/>
          <w:szCs w:val="12"/>
          <w:color w:val="auto"/>
        </w:rPr>
        <w:t>). Under the terms of the NEPA Amendment, Platinum agreed to purchase the $1.0 Million Note within five business days of our notice to Platinum of the consummation of a debt or equity financing, or combination of financings, prior to February 15, 2013, resulting in gross proceeds to us of at least $1.0 million (</w:t>
      </w:r>
      <w:r>
        <w:rPr>
          <w:rFonts w:ascii="Arial" w:cs="Arial" w:eastAsia="Arial" w:hAnsi="Arial"/>
          <w:sz w:val="12"/>
          <w:szCs w:val="12"/>
          <w:i w:val="1"/>
          <w:iCs w:val="1"/>
          <w:color w:val="auto"/>
        </w:rPr>
        <w:t>Additional Financing</w:t>
      </w:r>
      <w:r>
        <w:rPr>
          <w:rFonts w:ascii="Arial" w:cs="Arial" w:eastAsia="Arial" w:hAnsi="Arial"/>
          <w:sz w:val="12"/>
          <w:szCs w:val="12"/>
          <w:color w:val="auto"/>
        </w:rPr>
        <w:t xml:space="preserve"> </w:t>
      </w:r>
      <w:r>
        <w:rPr>
          <w:rFonts w:ascii="Arial" w:cs="Arial" w:eastAsia="Arial" w:hAnsi="Arial"/>
          <w:sz w:val="12"/>
          <w:szCs w:val="12"/>
          <w:i w:val="1"/>
          <w:iCs w:val="1"/>
          <w:color w:val="auto"/>
        </w:rPr>
        <w:t>Requirement</w:t>
      </w:r>
      <w:r>
        <w:rPr>
          <w:rFonts w:ascii="Arial" w:cs="Arial" w:eastAsia="Arial" w:hAnsi="Arial"/>
          <w:sz w:val="12"/>
          <w:szCs w:val="12"/>
          <w:color w:val="auto"/>
        </w:rPr>
        <w:t>). We satisfied the Additional Financing Requirement on February 12, 2013 (see 2012 Private Placement of Units, below). Effective February 22, 2013, we entered into an additional amendment to the October 2012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with Platinum pursuant to which Platinum agreed to purchase an Investment Note in the face amount of $250,000 on February 22, 2013, and an additional Investment Note in the face amount of $750,000 on or before March 12, 2013, which Investment Note we issued and Platinum purchased on March 12, 2013.</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The Exchange Note and each Investment Note (together, the </w:t>
      </w:r>
      <w:r>
        <w:rPr>
          <w:rFonts w:ascii="Arial" w:cs="Arial" w:eastAsia="Arial" w:hAnsi="Arial"/>
          <w:sz w:val="11"/>
          <w:szCs w:val="11"/>
          <w:i w:val="1"/>
          <w:iCs w:val="1"/>
          <w:color w:val="auto"/>
        </w:rPr>
        <w:t>Notes</w:t>
      </w:r>
      <w:r>
        <w:rPr>
          <w:rFonts w:ascii="Arial" w:cs="Arial" w:eastAsia="Arial" w:hAnsi="Arial"/>
          <w:sz w:val="11"/>
          <w:szCs w:val="11"/>
          <w:color w:val="auto"/>
        </w:rPr>
        <w:t>) accrue interest at a rate of 10% per annum and, subject to certain limitations and exceptions set forth in the Notes, unless converted earlier and voluntarily by Platinum, will be due and payable in restricted shares of our common stock on October 11, 2015, or three years from the date of issuance, as determined by the terms of the respective Investment Notes. At maturity, we will pay all principal and accrued interest under the Notes through the issuance of restricted shares of our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our common stock at a conversion price of $0.50 per share, subject to certain adjustments.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6" w:name="page167"/>
    <w:bookmarkEnd w:id="16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As additional consideration for the purchase of the Investment Notes, we issued to Platinum warrants to purchase an aggregate of 2,000,000 shares of our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xml:space="preserve">). In addition, we issued Platinum a warrant to purchase 1,272,577 shares of our common stock in connection with the issuance of the Exchange Note (the </w:t>
      </w:r>
      <w:r>
        <w:rPr>
          <w:rFonts w:ascii="Arial" w:cs="Arial" w:eastAsia="Arial" w:hAnsi="Arial"/>
          <w:sz w:val="12"/>
          <w:szCs w:val="12"/>
          <w:i w:val="1"/>
          <w:iCs w:val="1"/>
          <w:color w:val="auto"/>
        </w:rPr>
        <w:t>Exchange Warrant</w:t>
      </w:r>
      <w:r>
        <w:rPr>
          <w:rFonts w:ascii="Arial" w:cs="Arial" w:eastAsia="Arial" w:hAnsi="Arial"/>
          <w:sz w:val="12"/>
          <w:szCs w:val="12"/>
          <w:color w:val="auto"/>
        </w:rPr>
        <w:t>). At issuance, the Platinum Exchange Warrant and each Investment Warrant had a term of five years and an exercise price of $1.50 per share, subject to certain adjustments. We have subsequently reduced the exercise</w:t>
      </w:r>
      <w:r>
        <w:rPr>
          <w:rFonts w:ascii="Arial" w:cs="Arial" w:eastAsia="Arial" w:hAnsi="Arial"/>
          <w:sz w:val="12"/>
          <w:szCs w:val="12"/>
          <w:i w:val="1"/>
          <w:iCs w:val="1"/>
          <w:color w:val="auto"/>
        </w:rPr>
        <w:t xml:space="preserve"> </w:t>
      </w:r>
      <w:r>
        <w:rPr>
          <w:rFonts w:ascii="Arial" w:cs="Arial" w:eastAsia="Arial" w:hAnsi="Arial"/>
          <w:sz w:val="12"/>
          <w:szCs w:val="12"/>
          <w:color w:val="auto"/>
        </w:rPr>
        <w:t>price of the Exchange and Investment Warrants to $0.50 per share.</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On July 26, 2013, we issued an additional senior secured convertible promissory note in the principal amount of $250,000 to Platinum (the </w:t>
      </w:r>
      <w:r>
        <w:rPr>
          <w:rFonts w:ascii="Arial" w:cs="Arial" w:eastAsia="Arial" w:hAnsi="Arial"/>
          <w:sz w:val="12"/>
          <w:szCs w:val="12"/>
          <w:i w:val="1"/>
          <w:iCs w:val="1"/>
          <w:color w:val="auto"/>
        </w:rPr>
        <w:t>July 2013 Note</w:t>
      </w:r>
      <w:r>
        <w:rPr>
          <w:rFonts w:ascii="Arial" w:cs="Arial" w:eastAsia="Arial" w:hAnsi="Arial"/>
          <w:sz w:val="12"/>
          <w:szCs w:val="12"/>
          <w:color w:val="auto"/>
        </w:rPr>
        <w:t xml:space="preserve">). The July 2013 Note matures on July 26, 2016 and accrues interest at a rate of 10% per annum. Subject to certain terms and conditions, all principal and accrued interest under the July 2013 Note will be payable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Prior to maturity, the outstanding principal and any accrued interest on the July 2013 Note is convertible, in whole or in part, at Platinum’s option into shares of the Company’s restricted common stock at a conversion price of $0.50 per share, subject to certain adjustments. As additional consideration for the purchase of the July 2013 Note, we issued to Platinum a five-year warrant to purchase 250,000 restricted shares of our common stock at an exercise price of $0.50 per share (the </w:t>
      </w:r>
      <w:r>
        <w:rPr>
          <w:rFonts w:ascii="Arial" w:cs="Arial" w:eastAsia="Arial" w:hAnsi="Arial"/>
          <w:sz w:val="12"/>
          <w:szCs w:val="12"/>
          <w:i w:val="1"/>
          <w:iCs w:val="1"/>
          <w:color w:val="auto"/>
        </w:rPr>
        <w:t>July 2013 Warrant</w:t>
      </w:r>
      <w:r>
        <w:rPr>
          <w:rFonts w:ascii="Arial" w:cs="Arial" w:eastAsia="Arial" w:hAnsi="Arial"/>
          <w:sz w:val="12"/>
          <w:szCs w:val="12"/>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Private Placement of Units: September 2012 – March 2013</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Between September 2012 and March 2013, we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our common stock and a five year warrant to purchase one half of one restricted share of our common stock at an exercise price of $1.50 per share. In addition, in November 2012, pursuant to an Exchange Agreement, the holders of the February 2012 Notes exchanged the aggregate amount of $678,600 due under the terms of such notes for a total of 678,641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above, entitling us to sell and requiring Platinum to purchase senior secured convertible promissory notes in the aggregate face amount of $1.0 million in February and March 2013.</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Convertible Notes and Warrants: February 2012</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On February 28, 2012, we consummated a private placement of convertible promissory notes to accredited investors in the aggregate principal amount of $500,000 (the </w:t>
      </w:r>
      <w:r>
        <w:rPr>
          <w:rFonts w:ascii="Arial" w:cs="Arial" w:eastAsia="Arial" w:hAnsi="Arial"/>
          <w:sz w:val="11"/>
          <w:szCs w:val="11"/>
          <w:i w:val="1"/>
          <w:iCs w:val="1"/>
          <w:color w:val="auto"/>
        </w:rPr>
        <w:t>Notes</w:t>
      </w:r>
      <w:r>
        <w:rPr>
          <w:rFonts w:ascii="Arial" w:cs="Arial" w:eastAsia="Arial" w:hAnsi="Arial"/>
          <w:sz w:val="11"/>
          <w:szCs w:val="11"/>
          <w:color w:val="auto"/>
        </w:rPr>
        <w:t xml:space="preserve">). Each Note accrued interest at the rate of 12% per annum to be paid in kind quarterly, and was scheduled to mature on the earlier to occur of twenty-four months from the date of issuance or consummation of an equity, equity-based or series of equity-based financings resulting in gross proceeds to us of at least $4.0 million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holder of each Note could voluntarily convert the outstanding principal amount of the Notes, together with all accrued and unpaid interest thereon (</w:t>
      </w:r>
      <w:r>
        <w:rPr>
          <w:rFonts w:ascii="Arial" w:cs="Arial" w:eastAsia="Arial" w:hAnsi="Arial"/>
          <w:sz w:val="11"/>
          <w:szCs w:val="11"/>
          <w:i w:val="1"/>
          <w:iCs w:val="1"/>
          <w:color w:val="auto"/>
        </w:rPr>
        <w:t>Outstanding Balance</w:t>
      </w:r>
      <w:r>
        <w:rPr>
          <w:rFonts w:ascii="Arial" w:cs="Arial" w:eastAsia="Arial" w:hAnsi="Arial"/>
          <w:sz w:val="11"/>
          <w:szCs w:val="11"/>
          <w:color w:val="auto"/>
        </w:rPr>
        <w:t xml:space="preserve">) into that number of shares of our common stock equal to the Outstanding Balance, divided by $3.00 (the </w:t>
      </w:r>
      <w:r>
        <w:rPr>
          <w:rFonts w:ascii="Arial" w:cs="Arial" w:eastAsia="Arial" w:hAnsi="Arial"/>
          <w:sz w:val="11"/>
          <w:szCs w:val="11"/>
          <w:i w:val="1"/>
          <w:iCs w:val="1"/>
          <w:color w:val="auto"/>
        </w:rPr>
        <w:t>Conversion Shares</w:t>
      </w:r>
      <w:r>
        <w:rPr>
          <w:rFonts w:ascii="Arial" w:cs="Arial" w:eastAsia="Arial" w:hAnsi="Arial"/>
          <w:sz w:val="11"/>
          <w:szCs w:val="11"/>
          <w:color w:val="auto"/>
        </w:rPr>
        <w:t>). In addition, in the event we consummated a Qualified Financing in which the price per unit of the securities sold, or share of common stock issuable in connection with such Qualified Financing, was at least $2.00, the Outstanding Balance would automatically convert into such securities.</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also issued to the purchaser of each Note a warrant to purchase, for $2.75 per share, that number of shares of our common stock equal to 150% of the total principal amount of the Notes purchased by such purchaser, divided by $2.75, resulting in the potential issuance of an aggregate of 272,724 shares of our common stock upon exercise of the warrants. The warrants terminate, if not exercised, five years from the date of issuance.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7" w:name="page168"/>
    <w:bookmarkEnd w:id="16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Noble Financial Capital Markets served as the lead placement agent for us in connection with the Note Offering and received cash fees totaling $21,000.</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November 15, 2012, the holders of the February 2012 Notes entered into an Exchange Agreement with us (</w:t>
      </w:r>
      <w:r>
        <w:rPr>
          <w:rFonts w:ascii="Arial" w:cs="Arial" w:eastAsia="Arial" w:hAnsi="Arial"/>
          <w:sz w:val="12"/>
          <w:szCs w:val="12"/>
          <w:i w:val="1"/>
          <w:iCs w:val="1"/>
          <w:color w:val="auto"/>
        </w:rPr>
        <w:t>Exchange Agreement</w:t>
      </w:r>
      <w:r>
        <w:rPr>
          <w:rFonts w:ascii="Arial" w:cs="Arial" w:eastAsia="Arial" w:hAnsi="Arial"/>
          <w:sz w:val="12"/>
          <w:szCs w:val="12"/>
          <w:color w:val="auto"/>
        </w:rPr>
        <w:t xml:space="preserve">). Under the terms of the Exchange Agreement, the current amount due under the terms of the February 2012 Notes, $678,600, which amount included all accrued interest as well as additional consideration for the conversion, was exchanged for a total of 1,357,281 restricted shares of our common stock and five-year warrants to purchase 678,641 restricted shares of our common stock at an exercise price of $1.50 per share (the </w:t>
      </w:r>
      <w:r>
        <w:rPr>
          <w:rFonts w:ascii="Arial" w:cs="Arial" w:eastAsia="Arial" w:hAnsi="Arial"/>
          <w:sz w:val="12"/>
          <w:szCs w:val="12"/>
          <w:i w:val="1"/>
          <w:iCs w:val="1"/>
          <w:color w:val="auto"/>
        </w:rPr>
        <w:t>Note Exchange Securities</w:t>
      </w:r>
      <w:r>
        <w:rPr>
          <w:rFonts w:ascii="Arial" w:cs="Arial" w:eastAsia="Arial" w:hAnsi="Arial"/>
          <w:sz w:val="12"/>
          <w:szCs w:val="12"/>
          <w:color w:val="auto"/>
        </w:rPr>
        <w:t>). Additionally, we issued a five-year warrant to purchase 72,000 restricted shares of our common stock at an exercise price of $1.50 per share as partial compensation to Noble Financial Capital Markets, the investment bank that had placed certain of the Notes.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October 2011 Private Placement</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October 2011, we completed an additional private placement of Units to accredited investors. Each Unit was priced at $1.75 and consisted of one share of our common stock and a three-year warrant to purchase one-fourth of one share of our common stock at an exercise price of $2.50 per share. We sold a total of 63,570 Units and received aggregate cash proceeds of $111,248.</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Discounted Warrant Exercise Program: October – December 2011</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During the quarter ended December 31, 2011, certain accredited investors who were holders of outstanding warrants exercised such warrants to purchase an aggregate of 3,121,259 shares of our common stock at reduced exercise prices, including warrants to purchase 1,599,858 shares of common stock exercised by Platinum under the terms of the Note and Warrant Exchange Agreement, as described in Note 8 to our audited Financial Statements presented elsewhere in this prospectus. Platinum exercised warrants at reduced prices ranging from $0.75 per share to $1.25 per share, compared to original exercise prices ranging from $1.50 per share to $2.50 per share, resulting in proceeds to us of $1,719,823 which we applied to reduce the outstanding balance of the Platinum Note and accrued interest under the terms of the Note and Exchange Agreement.</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Other investors and service providers exercised warrants to purchase an aggregate of 1,028,860 shares of our common stock at reduced exercise prices ranging from $0.75 per share to $1.31 per share, compared to original exercise prices ranging from $1.50 per share to $2.625 per share. In conjunction with these exercises, we:</w:t>
      </w:r>
    </w:p>
    <w:p>
      <w:pPr>
        <w:spacing w:after="0" w:line="133" w:lineRule="exact"/>
        <w:rPr>
          <w:sz w:val="20"/>
          <w:szCs w:val="20"/>
          <w:color w:val="auto"/>
        </w:rPr>
      </w:pPr>
    </w:p>
    <w:p>
      <w:pPr>
        <w:ind w:left="540" w:hanging="314"/>
        <w:spacing w:after="0"/>
        <w:tabs>
          <w:tab w:leader="none" w:pos="5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issued 965,734 shares of our common stock and received cash proceeds of $1,106,129;</w:t>
      </w:r>
    </w:p>
    <w:p>
      <w:pPr>
        <w:spacing w:after="0" w:line="150" w:lineRule="exact"/>
        <w:rPr>
          <w:rFonts w:ascii="Arial" w:cs="Arial" w:eastAsia="Arial" w:hAnsi="Arial"/>
          <w:sz w:val="12"/>
          <w:szCs w:val="12"/>
          <w:color w:val="auto"/>
        </w:rPr>
      </w:pPr>
    </w:p>
    <w:p>
      <w:pPr>
        <w:ind w:left="540" w:hanging="314"/>
        <w:spacing w:after="0"/>
        <w:tabs>
          <w:tab w:leader="none" w:pos="5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issued 29,426 shares of our common stock to warrant holders who elected to exercise their warrants in lieu of payment by us in satisfaction of outstanding indebtedness to such holders totaling an aggregate of $30,128; and</w:t>
      </w:r>
    </w:p>
    <w:p>
      <w:pPr>
        <w:spacing w:after="0" w:line="161" w:lineRule="exact"/>
        <w:rPr>
          <w:rFonts w:ascii="Arial" w:cs="Arial" w:eastAsia="Arial" w:hAnsi="Arial"/>
          <w:sz w:val="11"/>
          <w:szCs w:val="11"/>
          <w:color w:val="auto"/>
        </w:rPr>
      </w:pPr>
    </w:p>
    <w:p>
      <w:pPr>
        <w:ind w:left="540" w:hanging="314"/>
        <w:spacing w:after="0" w:line="276" w:lineRule="auto"/>
        <w:tabs>
          <w:tab w:leader="none" w:pos="5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issued 33,700 shares of our common stock to warrant holders who elected to exercise their warrants in lieu of payment by us in satisfaction of payment for services in the aggregate amount of $41,343 to be performed in the future by such holders.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Additionally, in December 2011, we entered into an Agreement Regarding Payment of Invoices and Warrant Exercises with Cato Holding Company (</w:t>
      </w:r>
      <w:r>
        <w:rPr>
          <w:rFonts w:ascii="Arial" w:cs="Arial" w:eastAsia="Arial" w:hAnsi="Arial"/>
          <w:sz w:val="12"/>
          <w:szCs w:val="12"/>
          <w:i w:val="1"/>
          <w:iCs w:val="1"/>
          <w:color w:val="auto"/>
        </w:rPr>
        <w:t>CHC</w:t>
      </w:r>
      <w:r>
        <w:rPr>
          <w:rFonts w:ascii="Arial" w:cs="Arial" w:eastAsia="Arial" w:hAnsi="Arial"/>
          <w:sz w:val="12"/>
          <w:szCs w:val="12"/>
          <w:color w:val="auto"/>
        </w:rPr>
        <w:t>),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and certain individual warrant holders affiliated with CHC and CRL (collectively, </w:t>
      </w:r>
      <w:r>
        <w:rPr>
          <w:rFonts w:ascii="Arial" w:cs="Arial" w:eastAsia="Arial" w:hAnsi="Arial"/>
          <w:sz w:val="12"/>
          <w:szCs w:val="12"/>
          <w:i w:val="1"/>
          <w:iCs w:val="1"/>
          <w:color w:val="auto"/>
        </w:rPr>
        <w:t>CHC Affiliates</w:t>
      </w:r>
      <w:r>
        <w:rPr>
          <w:rFonts w:ascii="Arial" w:cs="Arial" w:eastAsia="Arial" w:hAnsi="Arial"/>
          <w:sz w:val="12"/>
          <w:szCs w:val="12"/>
          <w:color w:val="auto"/>
        </w:rPr>
        <w:t>) under the terms of which CHC and the CHC Affiliates exercised warrants to purchase an aggregate of 492,541 shares of our common stock at reduced exercise prices ranging from $0.88 per share to $1.25 per share, compared to original exercise prices ranging from $1.75 per share to $2.50 per share. As a result of these warrant exercises, we received cash proceeds of $60,207 in connection with the exercise of warrants to purchase 68,417 shares and, in lieu of cash payments for the remainder of the warrants to purchase 424,124 shares, CHC and CRL agreed to the satisfaction of outstanding indebtedness to CRL in the amount of $245,278 and pre-payment for future services in the amount of $226,449.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2011 Common Stock Exchange Agreement with Platinum</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December 22, 2011, we entered into a Common Stock Exchange Agreement (</w:t>
      </w:r>
      <w:r>
        <w:rPr>
          <w:rFonts w:ascii="Arial" w:cs="Arial" w:eastAsia="Arial" w:hAnsi="Arial"/>
          <w:sz w:val="12"/>
          <w:szCs w:val="12"/>
          <w:i w:val="1"/>
          <w:iCs w:val="1"/>
          <w:color w:val="auto"/>
        </w:rPr>
        <w:t>Exchange Agreement</w:t>
      </w:r>
      <w:r>
        <w:rPr>
          <w:rFonts w:ascii="Arial" w:cs="Arial" w:eastAsia="Arial" w:hAnsi="Arial"/>
          <w:sz w:val="12"/>
          <w:szCs w:val="12"/>
          <w:color w:val="auto"/>
        </w:rPr>
        <w:t xml:space="preserve">) with Platinum, pursuant to which Platinum converted 484,000 restricted shares of our common stock into 45,980 restricted shares of our then newly created Series A Preferred (the </w:t>
      </w:r>
      <w:r>
        <w:rPr>
          <w:rFonts w:ascii="Arial" w:cs="Arial" w:eastAsia="Arial" w:hAnsi="Arial"/>
          <w:sz w:val="12"/>
          <w:szCs w:val="12"/>
          <w:i w:val="1"/>
          <w:iCs w:val="1"/>
          <w:color w:val="auto"/>
        </w:rPr>
        <w:t>Exchange</w:t>
      </w:r>
      <w:r>
        <w:rPr>
          <w:rFonts w:ascii="Arial" w:cs="Arial" w:eastAsia="Arial" w:hAnsi="Arial"/>
          <w:sz w:val="12"/>
          <w:szCs w:val="12"/>
          <w:color w:val="auto"/>
        </w:rPr>
        <w:t>). Each restricted share of Series A Preferred issued to Platinum was then convertible into ten restricted shares of our common stock, subsequently modified to be convertible into thirty (30) shares of our common stock. In consideration for the Exchange, the Series A Preferred received by Platinum in connection with the Exchange was convertible into the equivalent of 0.95 restricted shares of common stock surrendered in connection with the Exchange.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2011 Note and Warrant Exchange Agreement with Platinum</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December 29, 2011, we entered into a Note and Warrant Exchange Agreement with Platinum pursuant to which the May 2011 Platinum Note and all outstanding warrants issued to Platinum to purchase an aggregate of 1,599,858 restricted shares of our common stock were cancelled in exchange for 391,075 restricted shares of our newly-created Series A Preferred . Each share of Series A Preferred was initially convertible into ten shares of our common stock. We issued 231,090 restricted shares of Series A Preferred to Platinum in connection with the note cancellation based on the sum of the $4,000,000 principal balance of the Platinum Note plus accrued but unpaid interest through May 11, 2011 adjusted for a 125% conversion premium, net of the $1,719,800 aggregate exercise price of the outstanding 1,599,858 warrants held by Platinum, and a contractual conversion basis of $1.75 per common share, all adjusted for the stated 1:10 Series A Preferred to common exchange ratio. We issued an additional 159,985 restricted shares of Series A Preferred to Platinum in connection with the warrant exercise and exchange to acquire the common shares issued upon the warrant exercise.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Exchange Agreement with Platinum</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On June 29, 2012, we entered into an Exchange Agreement with Platinum (the </w:t>
      </w:r>
      <w:r>
        <w:rPr>
          <w:rFonts w:ascii="Arial" w:cs="Arial" w:eastAsia="Arial" w:hAnsi="Arial"/>
          <w:sz w:val="11"/>
          <w:szCs w:val="11"/>
          <w:i w:val="1"/>
          <w:iCs w:val="1"/>
          <w:color w:val="auto"/>
        </w:rPr>
        <w:t>2012 Platinum Exchange Agreement</w:t>
      </w:r>
      <w:r>
        <w:rPr>
          <w:rFonts w:ascii="Arial" w:cs="Arial" w:eastAsia="Arial" w:hAnsi="Arial"/>
          <w:sz w:val="11"/>
          <w:szCs w:val="11"/>
          <w:color w:val="auto"/>
        </w:rPr>
        <w:t>) pursuant to which we agreed to issue Platinum 62,945 restricted shares of Series A Preferred in exchange for 629,450 restricted shares of common stock then owned by Platinum, in consideration for Platinum’s agreement to purchase from us the July 2012 Platinum Note, as described above in the section entitled “</w:t>
      </w:r>
      <w:r>
        <w:rPr>
          <w:rFonts w:ascii="Arial" w:cs="Arial" w:eastAsia="Arial" w:hAnsi="Arial"/>
          <w:sz w:val="11"/>
          <w:szCs w:val="11"/>
          <w:i w:val="1"/>
          <w:iCs w:val="1"/>
          <w:color w:val="auto"/>
        </w:rPr>
        <w:t>Senior Secured Convertible Promissory</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Notes Issued to Platinum: July 2012 – July 2013. </w:t>
      </w:r>
      <w:r>
        <w:rPr>
          <w:rFonts w:ascii="Arial" w:cs="Arial" w:eastAsia="Arial" w:hAnsi="Arial"/>
          <w:sz w:val="11"/>
          <w:szCs w:val="11"/>
          <w:color w:val="auto"/>
        </w:rPr>
        <w:t>Under the terms of the 2012 Platinum Exchange Agreement, Platinum, at its option, could have exchanged all or a portion of its Series A Preferred for the securities issued in connection</w:t>
      </w:r>
      <w:r>
        <w:rPr>
          <w:rFonts w:ascii="Arial" w:cs="Arial" w:eastAsia="Arial" w:hAnsi="Arial"/>
          <w:sz w:val="11"/>
          <w:szCs w:val="11"/>
          <w:i w:val="1"/>
          <w:iCs w:val="1"/>
          <w:color w:val="auto"/>
        </w:rPr>
        <w:t xml:space="preserve"> </w:t>
      </w:r>
      <w:r>
        <w:rPr>
          <w:rFonts w:ascii="Arial" w:cs="Arial" w:eastAsia="Arial" w:hAnsi="Arial"/>
          <w:sz w:val="11"/>
          <w:szCs w:val="11"/>
          <w:color w:val="auto"/>
        </w:rPr>
        <w:t>with a qualified financing, an equity or equity-based financing, or series of financing transactions resulting in gross proceeds to the Company of at least $3.0 million, based on the stated value of $15.00 per share of Series A Preferred.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Morrison &amp; Foerster: May 2011, restructured August 2012</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May 5, 2011, we amended a previously-outstanding note (</w:t>
      </w:r>
      <w:r>
        <w:rPr>
          <w:rFonts w:ascii="Arial" w:cs="Arial" w:eastAsia="Arial" w:hAnsi="Arial"/>
          <w:sz w:val="12"/>
          <w:szCs w:val="12"/>
          <w:i w:val="1"/>
          <w:iCs w:val="1"/>
          <w:color w:val="auto"/>
        </w:rPr>
        <w:t>Original Note</w:t>
      </w:r>
      <w:r>
        <w:rPr>
          <w:rFonts w:ascii="Arial" w:cs="Arial" w:eastAsia="Arial" w:hAnsi="Arial"/>
          <w:sz w:val="12"/>
          <w:szCs w:val="12"/>
          <w:color w:val="auto"/>
        </w:rPr>
        <w:t>) issued to Morrison &amp; Foerster LLP (</w:t>
      </w:r>
      <w:r>
        <w:rPr>
          <w:rFonts w:ascii="Arial" w:cs="Arial" w:eastAsia="Arial" w:hAnsi="Arial"/>
          <w:sz w:val="12"/>
          <w:szCs w:val="12"/>
          <w:i w:val="1"/>
          <w:iCs w:val="1"/>
          <w:color w:val="auto"/>
        </w:rPr>
        <w:t>Morrison &amp; Foerster</w:t>
      </w:r>
      <w:r>
        <w:rPr>
          <w:rFonts w:ascii="Arial" w:cs="Arial" w:eastAsia="Arial" w:hAnsi="Arial"/>
          <w:sz w:val="12"/>
          <w:szCs w:val="12"/>
          <w:color w:val="auto"/>
        </w:rPr>
        <w:t xml:space="preserve">), our intellectual property counsel, that we had issued in payment of legal services (the </w:t>
      </w:r>
      <w:r>
        <w:rPr>
          <w:rFonts w:ascii="Arial" w:cs="Arial" w:eastAsia="Arial" w:hAnsi="Arial"/>
          <w:sz w:val="12"/>
          <w:szCs w:val="12"/>
          <w:i w:val="1"/>
          <w:iCs w:val="1"/>
          <w:color w:val="auto"/>
        </w:rPr>
        <w:t>Amended</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Under the Amended Note, the principal balance of the Original Note was increased to $2,200,000, interest accrued at the rate of 7.5% per annum, and we were required to make an additional payment of $100,000 within three</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days of the date of the Amended Note, which we made in a timely manner.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8" w:name="page169"/>
    <w:bookmarkEnd w:id="16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09" w:lineRule="auto"/>
        <w:rPr>
          <w:sz w:val="20"/>
          <w:szCs w:val="20"/>
          <w:color w:val="auto"/>
        </w:rPr>
      </w:pPr>
      <w:r>
        <w:rPr>
          <w:rFonts w:ascii="Arial" w:cs="Arial" w:eastAsia="Arial" w:hAnsi="Arial"/>
          <w:sz w:val="10"/>
          <w:szCs w:val="10"/>
          <w:color w:val="auto"/>
        </w:rPr>
        <w:t>On August 31, 2012, we restructured the Amended Note (</w:t>
      </w:r>
      <w:r>
        <w:rPr>
          <w:rFonts w:ascii="Arial" w:cs="Arial" w:eastAsia="Arial" w:hAnsi="Arial"/>
          <w:sz w:val="10"/>
          <w:szCs w:val="10"/>
          <w:i w:val="1"/>
          <w:iCs w:val="1"/>
          <w:color w:val="auto"/>
        </w:rPr>
        <w:t>Restructuring Agreement</w:t>
      </w:r>
      <w:r>
        <w:rPr>
          <w:rFonts w:ascii="Arial" w:cs="Arial" w:eastAsia="Arial" w:hAnsi="Arial"/>
          <w:sz w:val="10"/>
          <w:szCs w:val="10"/>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0"/>
          <w:szCs w:val="10"/>
          <w:i w:val="1"/>
          <w:iCs w:val="1"/>
          <w:color w:val="auto"/>
        </w:rPr>
        <w:t>Replacement Note A</w:t>
      </w:r>
      <w:r>
        <w:rPr>
          <w:rFonts w:ascii="Arial" w:cs="Arial" w:eastAsia="Arial" w:hAnsi="Arial"/>
          <w:sz w:val="10"/>
          <w:szCs w:val="10"/>
          <w:color w:val="auto"/>
        </w:rPr>
        <w:t>) and the other in the principal amount of $1,379,400 (</w:t>
      </w:r>
      <w:r>
        <w:rPr>
          <w:rFonts w:ascii="Arial" w:cs="Arial" w:eastAsia="Arial" w:hAnsi="Arial"/>
          <w:sz w:val="10"/>
          <w:szCs w:val="10"/>
          <w:i w:val="1"/>
          <w:iCs w:val="1"/>
          <w:color w:val="auto"/>
        </w:rPr>
        <w:t>Replacement Note B</w:t>
      </w:r>
      <w:r>
        <w:rPr>
          <w:rFonts w:ascii="Arial" w:cs="Arial" w:eastAsia="Arial" w:hAnsi="Arial"/>
          <w:sz w:val="10"/>
          <w:szCs w:val="10"/>
          <w:color w:val="auto"/>
        </w:rPr>
        <w:t xml:space="preserve">) (together, the </w:t>
      </w:r>
      <w:r>
        <w:rPr>
          <w:rFonts w:ascii="Arial" w:cs="Arial" w:eastAsia="Arial" w:hAnsi="Arial"/>
          <w:sz w:val="10"/>
          <w:szCs w:val="10"/>
          <w:i w:val="1"/>
          <w:iCs w:val="1"/>
          <w:color w:val="auto"/>
        </w:rPr>
        <w:t>Replacement Notes</w:t>
      </w:r>
      <w:r>
        <w:rPr>
          <w:rFonts w:ascii="Arial" w:cs="Arial" w:eastAsia="Arial" w:hAnsi="Arial"/>
          <w:sz w:val="10"/>
          <w:szCs w:val="10"/>
          <w:color w:val="auto"/>
        </w:rPr>
        <w:t xml:space="preserve">); amended an outstanding warrant to purchase 425,000 restricted shares of our common stock (the </w:t>
      </w:r>
      <w:r>
        <w:rPr>
          <w:rFonts w:ascii="Arial" w:cs="Arial" w:eastAsia="Arial" w:hAnsi="Arial"/>
          <w:sz w:val="10"/>
          <w:szCs w:val="10"/>
          <w:i w:val="1"/>
          <w:iCs w:val="1"/>
          <w:color w:val="auto"/>
        </w:rPr>
        <w:t>Amended M&amp;F Warrant</w:t>
      </w:r>
      <w:r>
        <w:rPr>
          <w:rFonts w:ascii="Arial" w:cs="Arial" w:eastAsia="Arial" w:hAnsi="Arial"/>
          <w:sz w:val="10"/>
          <w:szCs w:val="10"/>
          <w:color w:val="auto"/>
        </w:rPr>
        <w:t>); and issued a new warrant to purchase 1,379,376 restricted shares of our common stock (</w:t>
      </w:r>
      <w:r>
        <w:rPr>
          <w:rFonts w:ascii="Arial" w:cs="Arial" w:eastAsia="Arial" w:hAnsi="Arial"/>
          <w:sz w:val="10"/>
          <w:szCs w:val="10"/>
          <w:i w:val="1"/>
          <w:iCs w:val="1"/>
          <w:color w:val="auto"/>
        </w:rPr>
        <w:t>New M&amp;F Warrant</w:t>
      </w:r>
      <w:r>
        <w:rPr>
          <w:rFonts w:ascii="Arial" w:cs="Arial" w:eastAsia="Arial" w:hAnsi="Arial"/>
          <w:sz w:val="10"/>
          <w:szCs w:val="10"/>
          <w:color w:val="auto"/>
        </w:rPr>
        <w:t>). Under the terms of the Restructuring Agreement, the Amended Note was cancelled and all of our past due payment obligations under the Amended Note were satisfied. We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$25,000 per month thereafter until maturity. For strategic purposes, we have not made the payments required on Replacement Note A since April 2013 and accordingly, the interest rate on the Replacement Notes has increased to 10.0 % per annum from May 2013 until payments resume. Payment of the principal and interest on Replacement Note B will be made solely in restricted shares of our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will have the option to require payment of Replacement Note B in cash upon the occurrence of a change in control of the Company or an event of default, and only in such circumstances. As of the date of this prospectus, the aggregate principal and accrued interest of Replacement Note A and Replacement Note B is approximately $2.5 million.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University Health Network (</w:t>
      </w:r>
      <w:r>
        <w:rPr>
          <w:rFonts w:ascii="Arial" w:cs="Arial" w:eastAsia="Arial" w:hAnsi="Arial"/>
          <w:sz w:val="12"/>
          <w:szCs w:val="12"/>
          <w:b w:val="1"/>
          <w:bCs w:val="1"/>
          <w:i w:val="1"/>
          <w:iCs w:val="1"/>
          <w:color w:val="auto"/>
        </w:rPr>
        <w:t>UHN</w:t>
      </w:r>
      <w:r>
        <w:rPr>
          <w:rFonts w:ascii="Arial" w:cs="Arial" w:eastAsia="Arial" w:hAnsi="Arial"/>
          <w:sz w:val="12"/>
          <w:szCs w:val="12"/>
          <w:b w:val="1"/>
          <w:bCs w:val="1"/>
          <w:color w:val="auto"/>
        </w:rPr>
        <w:t>): October 2012</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On October 10, 2012, we issued to UHN: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our Sponsored Research Collaboration Agreement through September 30, 2012 (the </w:t>
      </w:r>
      <w:r>
        <w:rPr>
          <w:rFonts w:ascii="Arial" w:cs="Arial" w:eastAsia="Arial" w:hAnsi="Arial"/>
          <w:sz w:val="11"/>
          <w:szCs w:val="11"/>
          <w:i w:val="1"/>
          <w:iCs w:val="1"/>
          <w:color w:val="auto"/>
        </w:rPr>
        <w:t>UHN Note</w:t>
      </w:r>
      <w:r>
        <w:rPr>
          <w:rFonts w:ascii="Arial" w:cs="Arial" w:eastAsia="Arial" w:hAnsi="Arial"/>
          <w:sz w:val="11"/>
          <w:szCs w:val="11"/>
          <w:color w:val="auto"/>
        </w:rPr>
        <w:t xml:space="preserve">), and (ii) a five-year warrant to purchase, at a price of $1.00 per share, 549,500 restricted shares of our common stock, the amount equal to the sum of the principal amount of the UHN Note, plus all accrued interest thereon, divided by $1.00 per share (the </w:t>
      </w:r>
      <w:r>
        <w:rPr>
          <w:rFonts w:ascii="Arial" w:cs="Arial" w:eastAsia="Arial" w:hAnsi="Arial"/>
          <w:sz w:val="11"/>
          <w:szCs w:val="11"/>
          <w:i w:val="1"/>
          <w:iCs w:val="1"/>
          <w:color w:val="auto"/>
        </w:rPr>
        <w:t>UHN Warrant</w:t>
      </w:r>
      <w:r>
        <w:rPr>
          <w:rFonts w:ascii="Arial" w:cs="Arial" w:eastAsia="Arial" w:hAnsi="Arial"/>
          <w:sz w:val="11"/>
          <w:szCs w:val="11"/>
          <w:color w:val="auto"/>
        </w:rPr>
        <w:t>). The UHN Note is due and payable on March 31, 2016 and is payable solely by UHN's surrender from time to time of all or a portion of the principal and interest balance due on the UHN Note in connection with its</w:t>
      </w:r>
      <w:r>
        <w:rPr>
          <w:rFonts w:ascii="Arial" w:cs="Arial" w:eastAsia="Arial" w:hAnsi="Arial"/>
          <w:sz w:val="11"/>
          <w:szCs w:val="11"/>
          <w:i w:val="1"/>
          <w:iCs w:val="1"/>
          <w:color w:val="auto"/>
        </w:rPr>
        <w:t xml:space="preserve"> </w:t>
      </w:r>
      <w:r>
        <w:rPr>
          <w:rFonts w:ascii="Arial" w:cs="Arial" w:eastAsia="Arial" w:hAnsi="Arial"/>
          <w:sz w:val="11"/>
          <w:szCs w:val="11"/>
          <w:color w:val="auto"/>
        </w:rPr>
        <w:t>concurrent exercise of the UHN Warrant, provided, however, that UHN will have the option to require payment of the UHN Note in cash upon the occurrence of a change in control of the Company or an event of default, and only in such circumstances. As of the date of this prospectus, the aggregate principal and accrued interest of the UHN Note is approximately $0.6 million.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Holding Company: April 2011, Restructured October 2012</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April 2011, all amounts we owed to CHC, a related party, and its affiliates, were consolidated into a single note, in the principal amount of $352,300 (the </w:t>
      </w:r>
      <w:r>
        <w:rPr>
          <w:rFonts w:ascii="Arial" w:cs="Arial" w:eastAsia="Arial" w:hAnsi="Arial"/>
          <w:sz w:val="11"/>
          <w:szCs w:val="11"/>
          <w:i w:val="1"/>
          <w:iCs w:val="1"/>
          <w:color w:val="auto"/>
        </w:rPr>
        <w:t>2011 CHC Note</w:t>
      </w:r>
      <w:r>
        <w:rPr>
          <w:rFonts w:ascii="Arial" w:cs="Arial" w:eastAsia="Arial" w:hAnsi="Arial"/>
          <w:sz w:val="11"/>
          <w:szCs w:val="11"/>
          <w:color w:val="auto"/>
        </w:rPr>
        <w:t>). Concurrently, CHC released all of its security interests in certain of our personal property. The 2011 CHC note was to bear interest at 7% per annum, compounded monthly. Under the terms of the note, we were to make six monthly payments of $10,000 each beginning June 1, 2011, and thereafter to make payments of $12,500 monthly until the 2011 CHC Note was repaid in full. We had the option to prepay the outstanding balance in full or in part at any time during its term without penalty.</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On October 10, 2012, we agreed with CHC to cancel the 2011 CHC Note in exchange for a new unsecured promissory note in the principal amount of $310,400 (the </w:t>
      </w:r>
      <w:r>
        <w:rPr>
          <w:rFonts w:ascii="Arial" w:cs="Arial" w:eastAsia="Arial" w:hAnsi="Arial"/>
          <w:sz w:val="11"/>
          <w:szCs w:val="11"/>
          <w:i w:val="1"/>
          <w:iCs w:val="1"/>
          <w:color w:val="auto"/>
        </w:rPr>
        <w:t>2012 CHC Note</w:t>
      </w:r>
      <w:r>
        <w:rPr>
          <w:rFonts w:ascii="Arial" w:cs="Arial" w:eastAsia="Arial" w:hAnsi="Arial"/>
          <w:sz w:val="11"/>
          <w:szCs w:val="11"/>
          <w:color w:val="auto"/>
        </w:rPr>
        <w:t xml:space="preserve">) and a five-year warrant to purchase 250,000 shares of our common stock at a price of $1.50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The 2012 CHC Note accrues interest at a rate of 7.5% per annum and is due and payable in monthly installments of $10,000, beginning November 1, 2012 and continuing until the outstanding balance is paid in full. As of the date of this prospectus, the aggregate principal and accrued interest of the 2012 CHC Note is approximately $0.3 million.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9" w:name="page170"/>
    <w:bookmarkEnd w:id="16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Research Ltd: October 2012</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On October 10, 2012, we issued to CLR, a related party: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w:t>
      </w:r>
      <w:r>
        <w:rPr>
          <w:rFonts w:ascii="Arial" w:cs="Arial" w:eastAsia="Arial" w:hAnsi="Arial"/>
          <w:sz w:val="11"/>
          <w:szCs w:val="11"/>
          <w:i w:val="1"/>
          <w:iCs w:val="1"/>
          <w:color w:val="auto"/>
        </w:rPr>
        <w:t>CRO Services</w:t>
      </w:r>
      <w:r>
        <w:rPr>
          <w:rFonts w:ascii="Arial" w:cs="Arial" w:eastAsia="Arial" w:hAnsi="Arial"/>
          <w:sz w:val="11"/>
          <w:szCs w:val="11"/>
          <w:color w:val="auto"/>
        </w:rPr>
        <w:t xml:space="preserve">) rendered by CRL to us and our affiliates through December 31, 2012 with respect to the preclinical and clinical development of AV-101, and (ii) a five-year warrant to purchase, at a price of $1.00 per share, 1,009,000 restricted shares of our common stock, the amount equal to the sum of the principal amount of the CRL Note, plus all accrued interest thereon, divided by $1.00 per share (the </w:t>
      </w:r>
      <w:r>
        <w:rPr>
          <w:rFonts w:ascii="Arial" w:cs="Arial" w:eastAsia="Arial" w:hAnsi="Arial"/>
          <w:sz w:val="11"/>
          <w:szCs w:val="11"/>
          <w:i w:val="1"/>
          <w:iCs w:val="1"/>
          <w:color w:val="auto"/>
        </w:rPr>
        <w:t>CRL Warrant</w:t>
      </w:r>
      <w:r>
        <w:rPr>
          <w:rFonts w:ascii="Arial" w:cs="Arial" w:eastAsia="Arial" w:hAnsi="Arial"/>
          <w:sz w:val="11"/>
          <w:szCs w:val="11"/>
          <w:color w:val="auto"/>
        </w:rPr>
        <w:t>). The principal amount of the CRL Note may, at our option, be automatically increased as a result of future CRO Services rendered by CRL to us and our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As of the date of this prospectus, the aggregate principal and accrued interest of the CRL Note is approximately $1.1 million.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3"/>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10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313"/>
        </w:trPr>
        <w:tc>
          <w:tcPr>
            <w:tcW w:w="160" w:type="dxa"/>
            <w:vAlign w:val="bottom"/>
            <w:gridSpan w:val="2"/>
          </w:tcPr>
          <w:p>
            <w:pPr>
              <w:spacing w:after="0"/>
              <w:rPr>
                <w:sz w:val="20"/>
                <w:szCs w:val="20"/>
                <w:color w:val="auto"/>
              </w:rPr>
            </w:pPr>
            <w:r>
              <w:rPr>
                <w:rFonts w:ascii="Arial" w:cs="Arial" w:eastAsia="Arial" w:hAnsi="Arial"/>
                <w:sz w:val="12"/>
                <w:szCs w:val="12"/>
                <w:b w:val="1"/>
                <w:bCs w:val="1"/>
                <w:color w:val="auto"/>
                <w:w w:val="83"/>
              </w:rPr>
              <w:t>16.</w:t>
            </w:r>
          </w:p>
        </w:tc>
        <w:tc>
          <w:tcPr>
            <w:tcW w:w="11320" w:type="dxa"/>
            <w:vAlign w:val="bottom"/>
            <w:gridSpan w:val="3"/>
          </w:tcPr>
          <w:p>
            <w:pPr>
              <w:ind w:left="20"/>
              <w:spacing w:after="0"/>
              <w:rPr>
                <w:sz w:val="20"/>
                <w:szCs w:val="20"/>
                <w:color w:val="auto"/>
              </w:rPr>
            </w:pPr>
            <w:r>
              <w:rPr>
                <w:rFonts w:ascii="Arial" w:cs="Arial" w:eastAsia="Arial" w:hAnsi="Arial"/>
                <w:sz w:val="12"/>
                <w:szCs w:val="12"/>
                <w:b w:val="1"/>
                <w:bCs w:val="1"/>
                <w:color w:val="auto"/>
              </w:rPr>
              <w:t>Exhibits and Financial Statement Schedules</w:t>
            </w:r>
          </w:p>
        </w:tc>
      </w:tr>
      <w:tr>
        <w:trPr>
          <w:trHeight w:val="288"/>
        </w:trPr>
        <w:tc>
          <w:tcPr>
            <w:tcW w:w="760" w:type="dxa"/>
            <w:vAlign w:val="bottom"/>
            <w:gridSpan w:val="3"/>
          </w:tcPr>
          <w:p>
            <w:pPr>
              <w:spacing w:after="0"/>
              <w:rPr>
                <w:sz w:val="20"/>
                <w:szCs w:val="20"/>
                <w:color w:val="auto"/>
              </w:rPr>
            </w:pPr>
            <w:r>
              <w:rPr>
                <w:rFonts w:ascii="Arial" w:cs="Arial" w:eastAsia="Arial" w:hAnsi="Arial"/>
                <w:sz w:val="12"/>
                <w:szCs w:val="12"/>
                <w:color w:val="auto"/>
              </w:rPr>
              <w:t>(a) Exhibits</w:t>
            </w:r>
          </w:p>
        </w:tc>
        <w:tc>
          <w:tcPr>
            <w:tcW w:w="10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760" w:type="dxa"/>
            <w:vAlign w:val="bottom"/>
            <w:gridSpan w:val="3"/>
          </w:tcPr>
          <w:p>
            <w:pPr>
              <w:spacing w:after="0"/>
              <w:rPr>
                <w:sz w:val="20"/>
                <w:szCs w:val="20"/>
                <w:color w:val="auto"/>
              </w:rPr>
            </w:pPr>
            <w:r>
              <w:rPr>
                <w:rFonts w:ascii="Arial" w:cs="Arial" w:eastAsia="Arial" w:hAnsi="Arial"/>
                <w:sz w:val="12"/>
                <w:szCs w:val="12"/>
                <w:color w:val="auto"/>
              </w:rPr>
              <w:t>Exhibit No.</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Description*</w:t>
            </w:r>
          </w:p>
        </w:tc>
      </w:tr>
      <w:tr>
        <w:trPr>
          <w:trHeight w:val="142"/>
        </w:trPr>
        <w:tc>
          <w:tcPr>
            <w:tcW w:w="20" w:type="dxa"/>
            <w:vAlign w:val="bottom"/>
          </w:tcPr>
          <w:p>
            <w:pPr>
              <w:spacing w:after="0"/>
              <w:rPr>
                <w:sz w:val="12"/>
                <w:szCs w:val="1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71"/>
              </w:rPr>
              <w:t>2.1</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5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Agreement and Plan of Merger by and among Excaliber Enterprises, Ltd., VistaGen Therapeutics, Inc. and Excaliber Merger Subsidiary, Inc.</w:t>
            </w:r>
          </w:p>
        </w:tc>
        <w:tc>
          <w:tcPr>
            <w:tcW w:w="1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3.1</w:t>
            </w:r>
          </w:p>
        </w:tc>
        <w:tc>
          <w:tcPr>
            <w:tcW w:w="600" w:type="dxa"/>
            <w:vAlign w:val="bottom"/>
          </w:tcPr>
          <w:p>
            <w:pPr>
              <w:ind w:left="20"/>
              <w:spacing w:after="0"/>
              <w:rPr>
                <w:sz w:val="20"/>
                <w:szCs w:val="20"/>
                <w:color w:val="auto"/>
              </w:rPr>
            </w:pPr>
            <w:r>
              <w:rPr>
                <w:rFonts w:ascii="Arial" w:cs="Arial" w:eastAsia="Arial" w:hAnsi="Arial"/>
                <w:sz w:val="12"/>
                <w:szCs w:val="12"/>
                <w:color w:val="auto"/>
              </w:rPr>
              <w:t>*</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Articles of Incorporation, dated October 6, 2005.</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3.2</w:t>
            </w: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w w:val="96"/>
              </w:rPr>
              <w:t>Certificate of Amendment filed with the Nevada Secretary of State on December 6, 2011, incorporated by reference from Exhibit 3.3 to the Company's Annual Report on Form 10-K, filed July 2, 2012.</w:t>
            </w: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3.3</w:t>
            </w:r>
          </w:p>
        </w:tc>
        <w:tc>
          <w:tcPr>
            <w:tcW w:w="600" w:type="dxa"/>
            <w:vAlign w:val="bottom"/>
          </w:tcPr>
          <w:p>
            <w:pPr>
              <w:spacing w:after="0"/>
              <w:rPr>
                <w:sz w:val="12"/>
                <w:szCs w:val="12"/>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Amended and Restated Bylaws as of February 5, 2014, incorporated by reference from the Company’s Report on Form 8-K filed on February 7, 2014.</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3.4</w:t>
            </w: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Articles of Merger filed with the Nevada Secretary of State on May 24, 2011, incorporated by reference from Exhibit 3.1 to the Company's Current Report on Form 8-K filed on May 31, 2011.</w:t>
            </w: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3.5</w:t>
            </w:r>
          </w:p>
        </w:tc>
        <w:tc>
          <w:tcPr>
            <w:tcW w:w="600" w:type="dxa"/>
            <w:vAlign w:val="bottom"/>
          </w:tcPr>
          <w:p>
            <w:pPr>
              <w:spacing w:after="0"/>
              <w:rPr>
                <w:sz w:val="12"/>
                <w:szCs w:val="12"/>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Certificate of Designations Series A Preferred, incorporated by reference from Exhibit 3.1 to the Company’s Current Report on Form 8-K filed on December 23, 2011.</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5.1</w:t>
            </w: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Opinion of Disclosure Law Group , incorporated by reference from Exhibit 5.1 to Amendment No. 4 to the Company's Registration Statement on Form S-1 filed on July 28, 2014.</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10.1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VistaGen’s 1999 Stock Incentive Plan.</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10.2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Form of Option Agreement under VistaGen’s 1999 Stock Incentive Plan.</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10.5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VistaGen’s 2008 Stock Incentive Plan.</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10.6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Form of Option Agreement under VistaGen’s 2008 Stock Incentive Plan.</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10.20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Strategic Development Services Agreement, dated February 26, 2007, by and between VistaGen and Cato Research Ltd.</w:t>
            </w:r>
          </w:p>
        </w:tc>
      </w:tr>
      <w:tr>
        <w:trPr>
          <w:trHeight w:val="135"/>
        </w:trPr>
        <w:tc>
          <w:tcPr>
            <w:tcW w:w="20" w:type="dxa"/>
            <w:vAlign w:val="bottom"/>
          </w:tcPr>
          <w:p>
            <w:pPr>
              <w:spacing w:after="0"/>
              <w:rPr>
                <w:sz w:val="11"/>
                <w:szCs w:val="11"/>
                <w:color w:val="auto"/>
              </w:rPr>
            </w:pPr>
          </w:p>
        </w:tc>
        <w:tc>
          <w:tcPr>
            <w:tcW w:w="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10.21 *</w:t>
            </w:r>
          </w:p>
        </w:tc>
        <w:tc>
          <w:tcPr>
            <w:tcW w:w="10720" w:type="dxa"/>
            <w:vAlign w:val="bottom"/>
            <w:gridSpan w:val="2"/>
            <w:shd w:val="clear" w:color="auto" w:fill="CCEEFF"/>
          </w:tcPr>
          <w:p>
            <w:pPr>
              <w:ind w:left="540"/>
              <w:spacing w:after="0" w:line="136" w:lineRule="exact"/>
              <w:rPr>
                <w:sz w:val="20"/>
                <w:szCs w:val="20"/>
                <w:color w:val="auto"/>
              </w:rPr>
            </w:pPr>
            <w:r>
              <w:rPr>
                <w:rFonts w:ascii="Arial" w:cs="Arial" w:eastAsia="Arial" w:hAnsi="Arial"/>
                <w:sz w:val="12"/>
                <w:szCs w:val="12"/>
                <w:color w:val="auto"/>
                <w:w w:val="90"/>
              </w:rPr>
              <w:t>License Agreement by and between National Jewish Medical and Research Center and VistaGen, dated July 12, 1999, as amended by that certain Amendment to License Agreement dated January 25, 2001, as</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w w:val="91"/>
              </w:rPr>
              <w:t>amended by that certain Second Amendment to License Agreement dated November 6, 2002, as amended by that certain Third Amendment to License Agreement dated March 1, 2003, and as amended by that</w:t>
            </w:r>
          </w:p>
        </w:tc>
      </w:tr>
      <w:tr>
        <w:trPr>
          <w:trHeight w:val="153"/>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certain Fourth Amendment to License Agreement dated April 15, 2010.</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10.22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License Agreement by and between Mount Sinai School of Medicine of New York University and the Company, dated October 1, 2004.</w:t>
            </w:r>
          </w:p>
        </w:tc>
      </w:tr>
      <w:tr>
        <w:trPr>
          <w:trHeight w:val="135"/>
        </w:trPr>
        <w:tc>
          <w:tcPr>
            <w:tcW w:w="20" w:type="dxa"/>
            <w:vAlign w:val="bottom"/>
          </w:tcPr>
          <w:p>
            <w:pPr>
              <w:spacing w:after="0"/>
              <w:rPr>
                <w:sz w:val="11"/>
                <w:szCs w:val="11"/>
                <w:color w:val="auto"/>
              </w:rPr>
            </w:pPr>
          </w:p>
        </w:tc>
        <w:tc>
          <w:tcPr>
            <w:tcW w:w="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10.23 *</w:t>
            </w:r>
          </w:p>
        </w:tc>
        <w:tc>
          <w:tcPr>
            <w:tcW w:w="10720" w:type="dxa"/>
            <w:vAlign w:val="bottom"/>
            <w:gridSpan w:val="2"/>
            <w:shd w:val="clear" w:color="auto" w:fill="CCEEFF"/>
          </w:tcPr>
          <w:p>
            <w:pPr>
              <w:ind w:left="540"/>
              <w:spacing w:after="0" w:line="136" w:lineRule="exact"/>
              <w:rPr>
                <w:sz w:val="20"/>
                <w:szCs w:val="20"/>
                <w:color w:val="auto"/>
              </w:rPr>
            </w:pPr>
            <w:r>
              <w:rPr>
                <w:rFonts w:ascii="Arial" w:cs="Arial" w:eastAsia="Arial" w:hAnsi="Arial"/>
                <w:sz w:val="12"/>
                <w:szCs w:val="12"/>
                <w:color w:val="auto"/>
                <w:w w:val="95"/>
              </w:rPr>
              <w:t>Non-Exclusive License Agreement, dated December 5, 2008, by and between VistaGen and Wisconsin Alumni Research Foundation, as amended by that certain Wisconsin Materials Addendum, dated</w:t>
            </w:r>
          </w:p>
        </w:tc>
      </w:tr>
      <w:tr>
        <w:trPr>
          <w:trHeight w:val="153"/>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February 2, 2009.</w:t>
            </w:r>
          </w:p>
        </w:tc>
      </w:tr>
      <w:tr>
        <w:trPr>
          <w:trHeight w:val="135"/>
        </w:trPr>
        <w:tc>
          <w:tcPr>
            <w:tcW w:w="20" w:type="dxa"/>
            <w:vAlign w:val="bottom"/>
          </w:tcPr>
          <w:p>
            <w:pPr>
              <w:spacing w:after="0"/>
              <w:rPr>
                <w:sz w:val="11"/>
                <w:szCs w:val="11"/>
                <w:color w:val="auto"/>
              </w:rPr>
            </w:pPr>
          </w:p>
        </w:tc>
        <w:tc>
          <w:tcPr>
            <w:tcW w:w="740" w:type="dxa"/>
            <w:vAlign w:val="bottom"/>
            <w:gridSpan w:val="2"/>
          </w:tcPr>
          <w:p>
            <w:pPr>
              <w:spacing w:after="0" w:line="136" w:lineRule="exact"/>
              <w:rPr>
                <w:sz w:val="20"/>
                <w:szCs w:val="20"/>
                <w:color w:val="auto"/>
              </w:rPr>
            </w:pPr>
            <w:r>
              <w:rPr>
                <w:rFonts w:ascii="Arial" w:cs="Arial" w:eastAsia="Arial" w:hAnsi="Arial"/>
                <w:sz w:val="12"/>
                <w:szCs w:val="12"/>
                <w:color w:val="auto"/>
              </w:rPr>
              <w:t>10.24 *</w:t>
            </w:r>
          </w:p>
        </w:tc>
        <w:tc>
          <w:tcPr>
            <w:tcW w:w="10720" w:type="dxa"/>
            <w:vAlign w:val="bottom"/>
            <w:gridSpan w:val="2"/>
          </w:tcPr>
          <w:p>
            <w:pPr>
              <w:ind w:left="540"/>
              <w:spacing w:after="0" w:line="136" w:lineRule="exact"/>
              <w:rPr>
                <w:sz w:val="20"/>
                <w:szCs w:val="20"/>
                <w:color w:val="auto"/>
              </w:rPr>
            </w:pPr>
            <w:r>
              <w:rPr>
                <w:rFonts w:ascii="Arial" w:cs="Arial" w:eastAsia="Arial" w:hAnsi="Arial"/>
                <w:sz w:val="12"/>
                <w:szCs w:val="12"/>
                <w:color w:val="auto"/>
                <w:w w:val="91"/>
              </w:rPr>
              <w:t>Sponsored Research Collaboration Agreement, dated September 18, 2007, between VistaGen and University Health Network, as amended by that certain Amendment No. 1 and Amendment No. 2, dated April</w:t>
            </w:r>
          </w:p>
        </w:tc>
      </w:tr>
      <w:tr>
        <w:trPr>
          <w:trHeight w:val="153"/>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19, 2010 and December 15, 2010, respectively.</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10.26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License Agreement, dated October 24, 2001, by and between the University of Maryland, Baltimore, Cornell Research Foundation and Artemis Neuroscience, Inc.</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10.27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Non-exclusive License Agreement, dated September 1, 2010, by and between VistaGen and TET Systems GmbH &amp; Co. KG.</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10.31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Unsecured Promissory Note dated April 28, 2011 issued by VistaGen to Desjardins Securities.</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10.32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Unsecured Promissory Note dated April 28, 2011 issued by VistaGen to McCarthy Tetrault LLP.</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10.34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Promissory Note dated February 25, 2010 issued by VistaGen to The Regents of the University of California.</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10.40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Employment Agreement, by and between, VistaGen and Shawn K. Singh, dated April 28, 2010, as amended May 9, 2011.</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10.41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Employment Agreement, by and between, VistaGen and H. Ralph Snodgrass, PhD, dated April 28, 2010, as amended May 9, 2011.</w:t>
            </w:r>
          </w:p>
        </w:tc>
      </w:tr>
      <w:tr>
        <w:trPr>
          <w:trHeight w:val="135"/>
        </w:trPr>
        <w:tc>
          <w:tcPr>
            <w:tcW w:w="20" w:type="dxa"/>
            <w:vAlign w:val="bottom"/>
          </w:tcPr>
          <w:p>
            <w:pPr>
              <w:spacing w:after="0"/>
              <w:rPr>
                <w:sz w:val="11"/>
                <w:szCs w:val="11"/>
                <w:color w:val="auto"/>
              </w:rPr>
            </w:pPr>
          </w:p>
        </w:tc>
        <w:tc>
          <w:tcPr>
            <w:tcW w:w="740" w:type="dxa"/>
            <w:vAlign w:val="bottom"/>
            <w:gridSpan w:val="2"/>
          </w:tcPr>
          <w:p>
            <w:pPr>
              <w:spacing w:after="0" w:line="136" w:lineRule="exact"/>
              <w:rPr>
                <w:sz w:val="20"/>
                <w:szCs w:val="20"/>
                <w:color w:val="auto"/>
              </w:rPr>
            </w:pPr>
            <w:r>
              <w:rPr>
                <w:rFonts w:ascii="Arial" w:cs="Arial" w:eastAsia="Arial" w:hAnsi="Arial"/>
                <w:sz w:val="12"/>
                <w:szCs w:val="12"/>
                <w:color w:val="auto"/>
              </w:rPr>
              <w:t>10.46</w:t>
            </w:r>
          </w:p>
        </w:tc>
        <w:tc>
          <w:tcPr>
            <w:tcW w:w="10720" w:type="dxa"/>
            <w:vAlign w:val="bottom"/>
            <w:gridSpan w:val="2"/>
          </w:tcPr>
          <w:p>
            <w:pPr>
              <w:ind w:left="540"/>
              <w:spacing w:after="0" w:line="136" w:lineRule="exact"/>
              <w:rPr>
                <w:sz w:val="20"/>
                <w:szCs w:val="20"/>
                <w:color w:val="auto"/>
              </w:rPr>
            </w:pPr>
            <w:r>
              <w:rPr>
                <w:rFonts w:ascii="Arial" w:cs="Arial" w:eastAsia="Arial" w:hAnsi="Arial"/>
                <w:sz w:val="12"/>
                <w:szCs w:val="12"/>
                <w:color w:val="auto"/>
                <w:w w:val="95"/>
              </w:rPr>
              <w:t>Notice of Award by National Institutes of Health, Small Business Innovation Research Program, to VistaGen Therapeutics, Inc. for project, Clinical Development of 4-CI-KYN to Treat Pain dated June 22,</w:t>
            </w:r>
          </w:p>
        </w:tc>
      </w:tr>
      <w:tr>
        <w:trPr>
          <w:trHeight w:val="153"/>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2009, with revisions dated July 19, 2010 and August 9, 2011, incorporated by reference from Exhibit 10.46 to the Company’s Current Report on Form 8-K/A filed on December 20, 2011.</w:t>
            </w: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26"/>
        </w:trPr>
        <w:tc>
          <w:tcPr>
            <w:tcW w:w="10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0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10.47</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3"/>
              </w:rPr>
              <w:t>Notice of Grant Award by California Institute of Regenerative Medicine and VistaGen Therapeutics, Inc. for Project: Development of an hES Cell-Based Assay System for Hepatocyte Differentiation Studies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and Predictive Toxicology Drug Screening, dated April 1, 2009, incorporated by reference from Exhibit 10.47 to the Company’s Current Report on Form 8-K/A filed on December 20,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10.48</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Amendment No. 4, dated October 24, 2011, to Sponsored Research Collaboration Agreement between VistaGen and University Health Network, incorporated by reference from Exhibit 10.2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November 30,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10.49</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2"/>
              </w:rPr>
              <w:t>License Agreement No. 1, dated as of October 24, 2011 between University Health Network and VistaGen Therapeutics, Inc., incorporated by reference from Exhibit 10.1 to the Company’s Current Report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Form 8-K filed on November 30,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10.50</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4"/>
              </w:rPr>
              <w:t>Strategic Medicinal Chemistry Services Agreement, dated as of December 6, 2011, between Synterys, Inc. and VistaGen Therapeutics, Inc., incorporated by reference from Exhibit 10.1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December 7,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10.51</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5"/>
              </w:rPr>
              <w:t>Common Stock Exchange Agreement, dated as of December 22, 2011 between Platinum Long Term Growth VII, LLC and VistaGen Therapeutics, Inc.,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Company’s Current Report on Form 8-K filed on December 23,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10.52</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3"/>
              </w:rPr>
              <w:t>Note and Warrant Exchange Agreement, dated as of December 28, 2011 between Platinum Long Term Growth VII, LLC and VistaGen Therapeutics, Inc.,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January 4, 2012.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10.55</w:t>
            </w:r>
          </w:p>
        </w:tc>
        <w:tc>
          <w:tcPr>
            <w:tcW w:w="260" w:type="dxa"/>
            <w:vAlign w:val="bottom"/>
            <w:shd w:val="clear" w:color="auto" w:fill="CCEEFF"/>
          </w:tcPr>
          <w:p>
            <w:pPr>
              <w:spacing w:after="0"/>
              <w:rPr>
                <w:sz w:val="12"/>
                <w:szCs w:val="12"/>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w w:val="99"/>
              </w:rPr>
              <w:t>Form of Warrant to Purchase Common Stock, dated as of February 28, 2012, incorporated by reference from Exhibit 10.3 to the Company’s Current Report on Form 8-K filed on March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10.57</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3"/>
              </w:rPr>
              <w:t>License Agreement No. 2, dated as of March 19, 2012 between University Health Network and VistaGen Therapeutics, Inc., incorporated by reference from Exhibit 10.57 to the Company’s Annual Report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Form 10-K filed on July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10.58</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5"/>
              </w:rPr>
              <w:t>Exchange Agreement dated as of June 29, 2012 between Platinum Long Term Growth VII, LLC and VistaGen Therapeutics. Inc., incorporated by reference from Exhibit 10.58 to the Company’s Annual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Report on Form 10-K filed on July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10.63</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4"/>
              </w:rPr>
              <w:t>Unsecured Promissory Note in the face amount of $1,000,000 issued to Morrison &amp; Foerster LLP on August 31, 2012 (Replacement Note A), incorporated by reference from Exhibit 10.3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10.64</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4"/>
              </w:rPr>
              <w:t>Unsecured Promissory Note in the face amount of $1,379,376 issued to Morrison &amp; Foerster LLP on August 31, 2012 (Replacement Note B), incorporated by reference from Exhibit 10.4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10.65</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Stock Purchase Warrant issued to Morrison &amp; Foerster LLP on August 31, 2012 to purchase 1,379,376 shares of the Company’s common stock (New Morrison &amp; Foerster Warrant), incorporated by reference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from Exhibit 10.5 to the Company’s 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10.66</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7"/>
              </w:rPr>
              <w:t>Warrant to Purchase Common Stock issued to Morrison &amp; Foerster LLP on August 31, 2012 to purchase 425,000 shares of the Company’s common stock (Amended Morrison &amp; Foerster Warrant),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incorporated by reference from Exhibit 10.6 to the Company’s 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10.67</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Note Exchange and Purchase Agreement dated as of October 11, 2012 by and between VistaGen Therapeutics, Inc. and Platinum Long Term Growth VII, LLP, incorporated by reference from Exhibit 10.1 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the 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10.68</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3"/>
              </w:rPr>
              <w:t>Form of Senior Secured Convertible Promissory Note issued to Platinum Long Term Growth VII, LLP under the Note Exchange and Purchase Agreement, incorporated by reference from Exhibit 10.2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10.69</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Form of Warrant to Purchase Shares of Common Stock issued to Platinum Long Term Growth VII, LLP under the Note Exchange and Purchase Agreement, incorporated by reference from Exhibit 10.3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26"/>
        </w:trPr>
        <w:tc>
          <w:tcPr>
            <w:tcW w:w="10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0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10.70</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6"/>
              </w:rPr>
              <w:t>Amended and Restated Security Agreement as of October 11, 2012 between VistaGen Therapeutics, Inc. and Platinum Long Term Growth VII, LLP, incorporated by reference from Exhibit 10.4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10.71</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Intellectual Property Security and Stock Pledge Agreement as of October 11, 2012 between VistaGen California and Platinum Long Term Growth VII, LLP, incorporated by reference from Exhibit 10.5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10.72</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Negative Covenant Agreement dated October 11, 2012 between VistaGen California, Artemis Neuroscience, Inc. and Platinum Long Term Growth VII, LLP, incorporated by reference from Exhibit 10.6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10.73</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2"/>
              </w:rPr>
              <w:t>Amendment to Note Exchange and Purchase Agreement as of November 14, 2012 between VistaGen Therapeutics Inc. and Platinum Long Term Growth VII, LLP, incorporated by reference from Exhibit 10.1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to the Company’s Current Report on Form 8-K filed on November 20,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10.75</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Amendment No. 2 to Note Exchange and Purchase Agreement as of January 31, 2013 between VistaGen Therapeutics Inc. and Platinum Long Term Growth VII, LLP,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10.1 to the Company’s Quarterly Report on Form 10-Q filed on February 14,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10.76</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2"/>
              </w:rPr>
              <w:t>Amendment No. 3 to Note Exchange and Purchase Agreement as of February 22, 2013 between VistaGen Therapeutics Inc. and Platinum Long Term Growth VII, LLP,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10.1 to the Company’s Current Report on Form 8-K filed on February 28,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10.77</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Form of Warrant to Purchase Common Stock issued to independent members of the Company’s Board of Directors and its executive officers on March 3, 2013, incorporated by reference from Exhibit 10.1 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the Company’s Current Report on Form 8-K filed on March 6,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10.78</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Securities Purchase Agreement between VistaGen Therapeutics, Inc., and Autilion AG dated April 8, 2013, incorporated by reference from Exhibit 10.1 to the Company’s Current Report on Form 8-K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April 10,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10.79</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5"/>
              </w:rPr>
              <w:t>Voting Agreement between VistaGen Therapeutics, Inc., and Autilion AG dated April 8, 2013, incorporated by reference from Exhibit 10.2 to the Company’s Current Report on Form 8-K filed on April 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10.80</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Note Conversion Agreement as of April 4, 2013 between VistaGen Therapeutics Inc. and Platinum Long Term Growth VII, LLP, incorporated by reference from Exhibit 10.3 to the Company’s Current Report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on Form 8-K filed on April 10,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10.81</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4"/>
              </w:rPr>
              <w:t>Assignment and Assumption Agreement between Autilion AG and Bergamo Acquisition Corp. PTE LTD dated April 12, 2013, incorporated by reference from Exhibit 10.81 to the Company’s Annual Report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on Form 10-K filed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10.82</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Amendment No. 1 to Securities Purchase Agreement dated April 30, 2013 between VistaGen Therapeutics, Inc. and Bergamo Acquisition Corp. PTE LTD,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May 1,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10.83</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2"/>
              </w:rPr>
              <w:t>Lease between Bayside Area Development, LLC and VistaGen Therapeutics, Inc. (California) dated April 24, 2013, incorporated by reference from Exhibit 10.83 to the Company’s Annual Report on Form 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K filed July 18, 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10.84</w:t>
            </w:r>
          </w:p>
        </w:tc>
        <w:tc>
          <w:tcPr>
            <w:tcW w:w="260" w:type="dxa"/>
            <w:vAlign w:val="bottom"/>
          </w:tcPr>
          <w:p>
            <w:pPr>
              <w:spacing w:after="0"/>
              <w:rPr>
                <w:sz w:val="12"/>
                <w:szCs w:val="12"/>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w w:val="92"/>
              </w:rPr>
              <w:t>Indemnification Agreement effective May 20, 2013 between the Company and Jon S. Saxe, incorporated by reference from Exhibit 10.84 to the Company's Annual Report on Form 10-K filed on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10.85</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Indemnification Agreement effective May 20, 2013 between the Company and Shawn K. Singh, incorporated by reference from Exhibit 10.85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10.86</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1"/>
              </w:rPr>
              <w:t>Indemnification Agreement effective May 20, 2013 between the Company and H. Ralph Snodgrass, incorporated by reference from Exhibit 10.86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10.87</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2"/>
              </w:rPr>
              <w:t>Indemnification Agreement effective May 20, 2013 between the Company and Brian J. Underdown, incorporated by reference from Exhibit 10.87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10.88</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Indemnification Agreement effective May 20, 2013 between the Company and Jerrold D. Dotson, incorporated by reference from Exhibit 10.88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10.89</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Amendment and Waiver effective May 24, 2013 between the Company and Platinum Long Term Growth VII, LLC, incorporated by reference from Exhibit 10.1 to the Company’s Current Report on Form 8-K</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filed on June 3, 2013.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60" w:type="dxa"/>
            <w:vAlign w:val="bottom"/>
          </w:tcPr>
          <w:p>
            <w:pPr>
              <w:ind w:left="4600"/>
              <w:spacing w:after="0"/>
              <w:rPr>
                <w:sz w:val="20"/>
                <w:szCs w:val="20"/>
                <w:color w:val="auto"/>
              </w:rPr>
            </w:pPr>
            <w:r>
              <w:rPr>
                <w:rFonts w:ascii="Arial" w:cs="Arial" w:eastAsia="Arial" w:hAnsi="Arial"/>
                <w:sz w:val="12"/>
                <w:szCs w:val="12"/>
                <w:color w:val="auto"/>
              </w:rPr>
              <w:t>II-10</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4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73" w:name="page174"/>
    <w:bookmarkEnd w:id="17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10.90</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w w:val="94"/>
              </w:rPr>
              <w:t>Amendment No 2 to Securities Purchase Agreement dated June 27, 2013 between the Company, Autilion AG and Bergamo Acquisition Corp. PTE LTD, incorporated by reference from Exhibit 10.1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Current Report on Form 8-K filed on June 28, 2013.</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10.91</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3"/>
              </w:rPr>
              <w:t>Senior Secured Convertible Promissory Note, dated July 26, 2013 issued to Platinum Long Term Growth VII, LLP, incorporated by reference from Exhibit 10.1 to the Company’s Current Report on Form 8-K</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filed on August 2, 2013.</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10.92</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w w:val="91"/>
              </w:rPr>
              <w:t>Common Stock Warrant, dated July 26, 2013 issued to Platinum Long Term Growth VII, LLP, incorporated by reference from Exhibit 10.2 to the Company’s Current Report on Form 8-K filed on August 2, 2013.</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10.93</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Subscription Agreement between the Company and investors in the Fall 2013 Unit Private Placement, incorporated by reference from Exhibit 10.93 to the Company’s Annual Report on Form 10-K filed</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10.94</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2"/>
              </w:rPr>
              <w:t>Form of Convertible Promissory Note between the Company and investors in the Fall 2013 Unit Private Placement, incorporated by reference from Exhibit 10.94 to the Company’s Annual Report on Form 10-K</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10.95</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Common Stock Purchase Warrant between the Company and investors in the Fall 2013 Unit Private Placement, incorporated by reference from Exhibit 10.95 to the Company’s Annual Report on Form</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10-K filed 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10.96</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2"/>
              </w:rPr>
              <w:t>Form of Amendment to Convertible Promissory Note and Warrant between the Company and investors in the Fall 2013 Unit Private Placement, effective May 31, 2014, incorporated by reference from Exhibit</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10.96 to the Company’s Annual Report on Form 10-K 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10.97</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Unit Subscription Agreement between the Company and investors in the Spring 2014 Unit Private Placement dated April 1, 2014, incorporated by reference from Exhibit 10.1 to the Company’s Current</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Report on Form 8-K filed on April 8,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10.98</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5"/>
              </w:rPr>
              <w:t>Form of Subordinate Convertible Promissory Note between the Company and investors in the Spring 2014 Unit Private Placement dated April 1, 2014, incorporated by reference from Exhibit 10.2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Current Report on Form 8-K filed on April 8,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10.99</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3"/>
              </w:rPr>
              <w:t>Form of Common Stock Purchase Warrant between the Company and investors in the Spring 2014 Unit Private Placement dated April 1, 2014, incorporated by reference from Exhibit 10.3 to the Company’s</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Current Report on Form 8-K filed on April 8,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10.100</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1"/>
              </w:rPr>
              <w:t>Common Stock Purchase Warrant between the Company and Platinum Long Term Growth Fund VII dated May 14, 2014, incorporated by reference from Exhibit 10.1 to the Company’s Current Report on Form</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8-K filed on May 19,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10.101</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Subordinate Convertible Promissory Note between the Company and Platinum Long Term Growth Fund VII dated May 14, 2014, incorporated by reference from Exhibit 10.2 to the Company’s Current Report</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on Form 8-K filed on May 19,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10.102</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7"/>
              </w:rPr>
              <w:t>Form of Promissory Note and Form of Warrant issued by the Company to Icahn School of Business at Mount Sinai effective April 10, 2014 in satisfaction of technology license maintenance fees and</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reimbursable patent costs, incorporated by reference from Exhibit 10.102 to the Company’s Annual Report on Form 10-K 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10.103</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5"/>
              </w:rPr>
              <w:t>Amendment No. 3 to Sponsored Research Collaboration Agreement, dated April 25, 2011, by and between VistaGen and University Health Network, incorporated by reference from Exhibit 10.103 to the</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Company’s Annual Report on Form 10-K filed 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10.104</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3"/>
              </w:rPr>
              <w:t>Amendment No. 5 to Sponsored Research Collaboration Agreement, dated October 10, 2012, by and between VistaGen and University Health Network, incorporated by reference from Exhibit 10.104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Annual Report on Form 10-K 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10.105</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3"/>
              </w:rPr>
              <w:t>Amended and Restated Note Conversion Agreement and Warrant Amendment, by and between VistaGen Therapeutics, Inc. and Platinum Long Term Growth VII, LLC, dated July 18, 2014, incorporated by</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reference from Exhibit 10.1 to the Company’s Current Report on Form 8-K filed on July 22, 2014.</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10.106</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Form of Subscription Agreement, incorporated by reference from Exhibit 10.106 to Amendment No. 3 to the Company's Registration Statement on Form S-1 filed on July 28, 2014.</w:t>
            </w:r>
          </w:p>
        </w:tc>
      </w:tr>
      <w:tr>
        <w:trPr>
          <w:trHeight w:val="144"/>
        </w:trPr>
        <w:tc>
          <w:tcPr>
            <w:tcW w:w="820" w:type="dxa"/>
            <w:vAlign w:val="bottom"/>
          </w:tcPr>
          <w:p>
            <w:pPr>
              <w:spacing w:after="0"/>
              <w:rPr>
                <w:sz w:val="20"/>
                <w:szCs w:val="20"/>
                <w:color w:val="auto"/>
              </w:rPr>
            </w:pPr>
            <w:r>
              <w:rPr>
                <w:rFonts w:ascii="Arial" w:cs="Arial" w:eastAsia="Arial" w:hAnsi="Arial"/>
                <w:sz w:val="12"/>
                <w:szCs w:val="12"/>
                <w:color w:val="auto"/>
              </w:rPr>
              <w:t>10.107</w:t>
            </w:r>
          </w:p>
        </w:tc>
        <w:tc>
          <w:tcPr>
            <w:tcW w:w="10660" w:type="dxa"/>
            <w:vAlign w:val="bottom"/>
          </w:tcPr>
          <w:p>
            <w:pPr>
              <w:ind w:left="480"/>
              <w:spacing w:after="0"/>
              <w:rPr>
                <w:sz w:val="20"/>
                <w:szCs w:val="20"/>
                <w:color w:val="auto"/>
              </w:rPr>
            </w:pPr>
            <w:r>
              <w:rPr>
                <w:rFonts w:ascii="Arial" w:cs="Arial" w:eastAsia="Arial" w:hAnsi="Arial"/>
                <w:sz w:val="12"/>
                <w:szCs w:val="12"/>
                <w:color w:val="auto"/>
              </w:rPr>
              <w:t>Form of Warrant, incorporated by reference from Exhibit 10.107 to Amendment No. 3 to the Company's Registration Statement on Form S-1 filed on July 28, 2014.</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10.108</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Form of Placement Agency Agreement, by and between VistaGen Therapeutics, Inc. and Geller Biopharm, a healthcare investment banking division of Financial West Group (filed herewith).</w:t>
            </w:r>
          </w:p>
        </w:tc>
      </w:tr>
      <w:tr>
        <w:trPr>
          <w:trHeight w:val="144"/>
        </w:trPr>
        <w:tc>
          <w:tcPr>
            <w:tcW w:w="820" w:type="dxa"/>
            <w:vAlign w:val="bottom"/>
          </w:tcPr>
          <w:p>
            <w:pPr>
              <w:spacing w:after="0"/>
              <w:rPr>
                <w:sz w:val="20"/>
                <w:szCs w:val="20"/>
                <w:color w:val="auto"/>
              </w:rPr>
            </w:pPr>
            <w:r>
              <w:rPr>
                <w:rFonts w:ascii="Arial" w:cs="Arial" w:eastAsia="Arial" w:hAnsi="Arial"/>
                <w:sz w:val="12"/>
                <w:szCs w:val="12"/>
                <w:color w:val="auto"/>
              </w:rPr>
              <w:t>10.109</w:t>
            </w:r>
          </w:p>
        </w:tc>
        <w:tc>
          <w:tcPr>
            <w:tcW w:w="10660" w:type="dxa"/>
            <w:vAlign w:val="bottom"/>
          </w:tcPr>
          <w:p>
            <w:pPr>
              <w:ind w:left="480"/>
              <w:spacing w:after="0"/>
              <w:rPr>
                <w:sz w:val="20"/>
                <w:szCs w:val="20"/>
                <w:color w:val="auto"/>
              </w:rPr>
            </w:pPr>
            <w:r>
              <w:rPr>
                <w:rFonts w:ascii="Arial" w:cs="Arial" w:eastAsia="Arial" w:hAnsi="Arial"/>
                <w:sz w:val="12"/>
                <w:szCs w:val="12"/>
                <w:color w:val="auto"/>
              </w:rPr>
              <w:t>Form of Escrow Agreement, incorporated by reference from Exhibit 10.109 to Amendment No. 3 to the Company's Registration Statement on Form S-1 filed on July 28, 2014.</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21.1*</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List of Subsidiaries.</w:t>
            </w:r>
          </w:p>
        </w:tc>
      </w:tr>
      <w:tr>
        <w:trPr>
          <w:trHeight w:val="144"/>
        </w:trPr>
        <w:tc>
          <w:tcPr>
            <w:tcW w:w="820" w:type="dxa"/>
            <w:vAlign w:val="bottom"/>
          </w:tcPr>
          <w:p>
            <w:pPr>
              <w:spacing w:after="0"/>
              <w:rPr>
                <w:sz w:val="20"/>
                <w:szCs w:val="20"/>
                <w:color w:val="auto"/>
              </w:rPr>
            </w:pPr>
            <w:r>
              <w:rPr>
                <w:rFonts w:ascii="Arial" w:cs="Arial" w:eastAsia="Arial" w:hAnsi="Arial"/>
                <w:sz w:val="12"/>
                <w:szCs w:val="12"/>
                <w:color w:val="auto"/>
              </w:rPr>
              <w:t>23.1</w:t>
            </w:r>
          </w:p>
        </w:tc>
        <w:tc>
          <w:tcPr>
            <w:tcW w:w="10660" w:type="dxa"/>
            <w:vAlign w:val="bottom"/>
          </w:tcPr>
          <w:p>
            <w:pPr>
              <w:ind w:left="480"/>
              <w:spacing w:after="0"/>
              <w:rPr>
                <w:sz w:val="20"/>
                <w:szCs w:val="20"/>
                <w:color w:val="auto"/>
              </w:rPr>
            </w:pPr>
            <w:r>
              <w:rPr>
                <w:rFonts w:ascii="Arial" w:cs="Arial" w:eastAsia="Arial" w:hAnsi="Arial"/>
                <w:sz w:val="12"/>
                <w:szCs w:val="12"/>
                <w:color w:val="auto"/>
              </w:rPr>
              <w:t>Consent of OUM &amp; Co., LLP, independent registered public accounting firm (filed herewith).</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23.2</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Consent of Disclosure Law Group (included in Exhibit 5.1).</w:t>
            </w: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24.1</w:t>
            </w:r>
          </w:p>
        </w:tc>
        <w:tc>
          <w:tcPr>
            <w:tcW w:w="10660" w:type="dxa"/>
            <w:vAlign w:val="bottom"/>
          </w:tcPr>
          <w:p>
            <w:pPr>
              <w:ind w:left="480"/>
              <w:spacing w:after="0"/>
              <w:rPr>
                <w:sz w:val="20"/>
                <w:szCs w:val="20"/>
                <w:color w:val="auto"/>
              </w:rPr>
            </w:pPr>
            <w:r>
              <w:rPr>
                <w:rFonts w:ascii="Arial" w:cs="Arial" w:eastAsia="Arial" w:hAnsi="Arial"/>
                <w:sz w:val="12"/>
                <w:szCs w:val="12"/>
                <w:color w:val="auto"/>
              </w:rPr>
              <w:t>Power of Attorney, incorporated by reference from Exhibit 24.1 to the Company's Registration Statement on Form S-1 filed on May 12, 2014.</w:t>
            </w:r>
          </w:p>
        </w:tc>
      </w:tr>
    </w:tbl>
    <w:p>
      <w:pPr>
        <w:spacing w:after="0" w:line="126" w:lineRule="exact"/>
        <w:rPr>
          <w:sz w:val="20"/>
          <w:szCs w:val="20"/>
          <w:color w:val="auto"/>
        </w:rPr>
      </w:pPr>
    </w:p>
    <w:p>
      <w:pPr>
        <w:jc w:val="right"/>
        <w:ind w:left="5628" w:right="5620" w:hanging="5628"/>
        <w:spacing w:after="0" w:line="785" w:lineRule="auto"/>
        <w:tabs>
          <w:tab w:leader="none" w:pos="124" w:val="left"/>
        </w:tabs>
        <w:numPr>
          <w:ilvl w:val="0"/>
          <w:numId w:val="73"/>
        </w:numPr>
        <w:rPr>
          <w:rFonts w:ascii="Arial" w:cs="Arial" w:eastAsia="Arial" w:hAnsi="Arial"/>
          <w:sz w:val="11"/>
          <w:szCs w:val="11"/>
          <w:color w:val="auto"/>
        </w:rPr>
      </w:pPr>
      <w:r>
        <w:rPr>
          <w:rFonts w:ascii="Arial" w:cs="Arial" w:eastAsia="Arial" w:hAnsi="Arial"/>
          <w:sz w:val="11"/>
          <w:szCs w:val="11"/>
          <w:color w:val="auto"/>
        </w:rPr>
        <w:t>Incorporated by reference from the like-numbered exhibit filed with our Current Report on Form 8-K on May 16, 2011. 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99325"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5" w:right="199" w:bottom="1440" w:gutter="0" w:footer="0" w:header="0"/>
        </w:sectPr>
      </w:pPr>
    </w:p>
    <w:bookmarkStart w:id="174" w:name="page175"/>
    <w:bookmarkEnd w:id="17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Financial Statement Schedules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All financial schedules have been omitted because they are not applicable or the information is included in the Registrant’s financial statements or related notes.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17. Undertakings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 Registrant hereby undertakes:</w:t>
      </w:r>
    </w:p>
    <w:p>
      <w:pPr>
        <w:spacing w:after="0" w:line="150" w:lineRule="exact"/>
        <w:rPr>
          <w:sz w:val="20"/>
          <w:szCs w:val="20"/>
          <w:color w:val="auto"/>
        </w:rPr>
      </w:pPr>
    </w:p>
    <w:p>
      <w:pPr>
        <w:ind w:left="600" w:hanging="176"/>
        <w:spacing w:after="0"/>
        <w:tabs>
          <w:tab w:leader="none" w:pos="60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To file, during any period in which offers or sales are being made, a post-effective amendment to this registration statement:</w:t>
      </w:r>
    </w:p>
    <w:p>
      <w:pPr>
        <w:spacing w:after="0" w:line="150" w:lineRule="exact"/>
        <w:rPr>
          <w:rFonts w:ascii="Arial" w:cs="Arial" w:eastAsia="Arial" w:hAnsi="Arial"/>
          <w:sz w:val="12"/>
          <w:szCs w:val="12"/>
          <w:color w:val="auto"/>
        </w:rPr>
      </w:pPr>
    </w:p>
    <w:p>
      <w:pPr>
        <w:ind w:left="1000" w:hanging="143"/>
        <w:spacing w:after="0"/>
        <w:tabs>
          <w:tab w:leader="none" w:pos="1000" w:val="left"/>
        </w:tabs>
        <w:numPr>
          <w:ilvl w:val="1"/>
          <w:numId w:val="74"/>
        </w:numPr>
        <w:rPr>
          <w:rFonts w:ascii="Arial" w:cs="Arial" w:eastAsia="Arial" w:hAnsi="Arial"/>
          <w:sz w:val="12"/>
          <w:szCs w:val="12"/>
          <w:color w:val="auto"/>
        </w:rPr>
      </w:pPr>
      <w:r>
        <w:rPr>
          <w:rFonts w:ascii="Arial" w:cs="Arial" w:eastAsia="Arial" w:hAnsi="Arial"/>
          <w:sz w:val="12"/>
          <w:szCs w:val="12"/>
          <w:color w:val="auto"/>
        </w:rPr>
        <w:t>To include any prospectus required by Section l0 (a)(3) of the Securities Act:</w:t>
      </w:r>
    </w:p>
    <w:p>
      <w:pPr>
        <w:spacing w:after="0" w:line="150" w:lineRule="exact"/>
        <w:rPr>
          <w:rFonts w:ascii="Arial" w:cs="Arial" w:eastAsia="Arial" w:hAnsi="Arial"/>
          <w:sz w:val="12"/>
          <w:szCs w:val="12"/>
          <w:color w:val="auto"/>
        </w:rPr>
      </w:pPr>
    </w:p>
    <w:p>
      <w:pPr>
        <w:jc w:val="both"/>
        <w:ind w:firstLine="857"/>
        <w:spacing w:after="0" w:line="259" w:lineRule="auto"/>
        <w:tabs>
          <w:tab w:leader="none" w:pos="1044" w:val="left"/>
        </w:tabs>
        <w:numPr>
          <w:ilvl w:val="1"/>
          <w:numId w:val="74"/>
        </w:numPr>
        <w:rPr>
          <w:rFonts w:ascii="Arial" w:cs="Arial" w:eastAsia="Arial" w:hAnsi="Arial"/>
          <w:sz w:val="12"/>
          <w:szCs w:val="12"/>
          <w:color w:val="auto"/>
        </w:rPr>
      </w:pPr>
      <w:r>
        <w:rPr>
          <w:rFonts w:ascii="Arial" w:cs="Arial" w:eastAsia="Arial" w:hAnsi="Arial"/>
          <w:sz w:val="12"/>
          <w:szCs w:val="12"/>
          <w:color w:val="auto"/>
        </w:rPr>
        <w:t>To reflect in the prospectus any facts or events which, individually or together,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4" w:lineRule="exact"/>
        <w:rPr>
          <w:rFonts w:ascii="Arial" w:cs="Arial" w:eastAsia="Arial" w:hAnsi="Arial"/>
          <w:sz w:val="12"/>
          <w:szCs w:val="12"/>
          <w:color w:val="auto"/>
        </w:rPr>
      </w:pPr>
    </w:p>
    <w:p>
      <w:pPr>
        <w:ind w:left="1060" w:hanging="203"/>
        <w:spacing w:after="0"/>
        <w:tabs>
          <w:tab w:leader="none" w:pos="1060" w:val="left"/>
        </w:tabs>
        <w:numPr>
          <w:ilvl w:val="1"/>
          <w:numId w:val="74"/>
        </w:numPr>
        <w:rPr>
          <w:rFonts w:ascii="Arial" w:cs="Arial" w:eastAsia="Arial" w:hAnsi="Arial"/>
          <w:sz w:val="11"/>
          <w:szCs w:val="11"/>
          <w:color w:val="auto"/>
        </w:rPr>
      </w:pPr>
      <w:r>
        <w:rPr>
          <w:rFonts w:ascii="Arial" w:cs="Arial" w:eastAsia="Arial" w:hAnsi="Arial"/>
          <w:sz w:val="11"/>
          <w:szCs w:val="11"/>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Arial" w:cs="Arial" w:eastAsia="Arial" w:hAnsi="Arial"/>
          <w:sz w:val="11"/>
          <w:szCs w:val="11"/>
          <w:color w:val="auto"/>
        </w:rPr>
      </w:pPr>
    </w:p>
    <w:p>
      <w:pPr>
        <w:ind w:firstLine="424"/>
        <w:spacing w:after="0" w:line="276" w:lineRule="auto"/>
        <w:tabs>
          <w:tab w:leader="none" w:pos="612"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4" w:lineRule="exact"/>
        <w:rPr>
          <w:rFonts w:ascii="Arial" w:cs="Arial" w:eastAsia="Arial" w:hAnsi="Arial"/>
          <w:sz w:val="12"/>
          <w:szCs w:val="12"/>
          <w:color w:val="auto"/>
        </w:rPr>
      </w:pPr>
    </w:p>
    <w:p>
      <w:pPr>
        <w:ind w:left="600" w:hanging="176"/>
        <w:spacing w:after="0"/>
        <w:tabs>
          <w:tab w:leader="none" w:pos="60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that remain unsold at the termination of the offering.</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Insofar as indemnification for liabilities arising under the Securities Act of l933 (the “</w:t>
      </w:r>
      <w:r>
        <w:rPr>
          <w:rFonts w:ascii="Arial" w:cs="Arial" w:eastAsia="Arial" w:hAnsi="Arial"/>
          <w:sz w:val="11"/>
          <w:szCs w:val="11"/>
          <w:i w:val="1"/>
          <w:iCs w:val="1"/>
          <w:color w:val="auto"/>
        </w:rPr>
        <w:t>Act</w:t>
      </w:r>
      <w:r>
        <w:rPr>
          <w:rFonts w:ascii="Arial" w:cs="Arial" w:eastAsia="Arial" w:hAnsi="Arial"/>
          <w:sz w:val="11"/>
          <w:szCs w:val="11"/>
          <w:color w:val="auto"/>
        </w:rPr>
        <w: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1" w:lineRule="exact"/>
        <w:rPr>
          <w:sz w:val="20"/>
          <w:szCs w:val="20"/>
          <w:color w:val="auto"/>
        </w:rPr>
      </w:pPr>
    </w:p>
    <w:p>
      <w:pPr>
        <w:ind w:left="600" w:hanging="176"/>
        <w:spacing w:after="0"/>
        <w:tabs>
          <w:tab w:leader="none" w:pos="60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That, for the purpose of determining liability under the Securities Act of 1933 to any purchaser:</w:t>
      </w:r>
    </w:p>
    <w:p>
      <w:pPr>
        <w:spacing w:after="0" w:line="150"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(i) If the Registrant is relying on Rule 430B:</w:t>
      </w:r>
    </w:p>
    <w:p>
      <w:pPr>
        <w:spacing w:after="0" w:line="168" w:lineRule="exact"/>
        <w:rPr>
          <w:rFonts w:ascii="Arial" w:cs="Arial" w:eastAsia="Arial" w:hAnsi="Arial"/>
          <w:sz w:val="12"/>
          <w:szCs w:val="12"/>
          <w:color w:val="auto"/>
        </w:rPr>
      </w:pPr>
    </w:p>
    <w:p>
      <w:pPr>
        <w:ind w:left="1060" w:hanging="203"/>
        <w:spacing w:after="0"/>
        <w:tabs>
          <w:tab w:leader="none" w:pos="1060" w:val="left"/>
        </w:tabs>
        <w:numPr>
          <w:ilvl w:val="1"/>
          <w:numId w:val="75"/>
        </w:numPr>
        <w:rPr>
          <w:rFonts w:ascii="Arial" w:cs="Arial" w:eastAsia="Arial" w:hAnsi="Arial"/>
          <w:sz w:val="11"/>
          <w:szCs w:val="11"/>
          <w:color w:val="auto"/>
        </w:rPr>
      </w:pPr>
      <w:r>
        <w:rPr>
          <w:rFonts w:ascii="Arial" w:cs="Arial" w:eastAsia="Arial" w:hAnsi="Arial"/>
          <w:sz w:val="11"/>
          <w:szCs w:val="11"/>
          <w:color w:val="auto"/>
        </w:rPr>
        <w:t>Each prospectus filed by the Registrant pursuant to Rule 424(b)(3) shall be deemed to be part of the registration statement as of the date the filed prospectus was deemed part of and included in the registration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statement; and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75" w:name="page176"/>
    <w:bookmarkEnd w:id="17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857"/>
        <w:spacing w:after="0" w:line="281" w:lineRule="auto"/>
        <w:tabs>
          <w:tab w:leader="none" w:pos="1059" w:val="left"/>
        </w:tabs>
        <w:numPr>
          <w:ilvl w:val="1"/>
          <w:numId w:val="76"/>
        </w:numPr>
        <w:rPr>
          <w:rFonts w:ascii="Arial" w:cs="Arial" w:eastAsia="Arial" w:hAnsi="Arial"/>
          <w:sz w:val="11"/>
          <w:szCs w:val="11"/>
          <w:color w:val="auto"/>
        </w:rPr>
      </w:pPr>
      <w:r>
        <w:rPr>
          <w:rFonts w:ascii="Arial" w:cs="Arial" w:eastAsia="Arial" w:hAnsi="Arial"/>
          <w:sz w:val="11"/>
          <w:szCs w:val="11"/>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34" w:lineRule="exact"/>
        <w:rPr>
          <w:rFonts w:ascii="Arial" w:cs="Arial" w:eastAsia="Arial" w:hAnsi="Arial"/>
          <w:sz w:val="11"/>
          <w:szCs w:val="11"/>
          <w:color w:val="auto"/>
        </w:rPr>
      </w:pPr>
    </w:p>
    <w:p>
      <w:pPr>
        <w:jc w:val="both"/>
        <w:ind w:firstLine="424"/>
        <w:spacing w:after="0" w:line="257" w:lineRule="auto"/>
        <w:tabs>
          <w:tab w:leader="none" w:pos="626" w:val="left"/>
        </w:tabs>
        <w:numPr>
          <w:ilvl w:val="0"/>
          <w:numId w:val="77"/>
        </w:numPr>
        <w:rPr>
          <w:rFonts w:ascii="Arial" w:cs="Arial" w:eastAsia="Arial" w:hAnsi="Arial"/>
          <w:sz w:val="12"/>
          <w:szCs w:val="12"/>
          <w:color w:val="auto"/>
        </w:rPr>
      </w:pPr>
      <w:r>
        <w:rPr>
          <w:rFonts w:ascii="Arial" w:cs="Arial" w:eastAsia="Arial" w:hAnsi="Arial"/>
          <w:sz w:val="12"/>
          <w:szCs w:val="12"/>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 That, for the purpose of determining liability of the Registrant under the Securities Act of 1933 to any purchaser in the initial distribution of the securities:</w:t>
      </w:r>
    </w:p>
    <w:p>
      <w:pPr>
        <w:spacing w:after="0" w:line="150" w:lineRule="exact"/>
        <w:rPr>
          <w:sz w:val="20"/>
          <w:szCs w:val="20"/>
          <w:color w:val="auto"/>
        </w:rPr>
      </w:pPr>
    </w:p>
    <w:p>
      <w:pPr>
        <w:ind w:firstLine="432"/>
        <w:spacing w:after="0" w:line="380" w:lineRule="auto"/>
        <w:rPr>
          <w:sz w:val="20"/>
          <w:szCs w:val="20"/>
          <w:color w:val="auto"/>
        </w:rPr>
      </w:pPr>
      <w:r>
        <w:rPr>
          <w:rFonts w:ascii="Arial" w:cs="Arial" w:eastAsia="Arial" w:hAnsi="Arial"/>
          <w:sz w:val="10"/>
          <w:szCs w:val="10"/>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sz w:val="20"/>
          <w:szCs w:val="20"/>
          <w:color w:val="auto"/>
        </w:rPr>
      </w:pPr>
    </w:p>
    <w:p>
      <w:pPr>
        <w:ind w:left="560" w:hanging="136"/>
        <w:spacing w:after="0"/>
        <w:tabs>
          <w:tab w:leader="none" w:pos="5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Any preliminary prospectus or prospectus of the undersigned Registrant relating to the offering required to be filed pursuant to Rule 424;</w:t>
      </w:r>
    </w:p>
    <w:p>
      <w:pPr>
        <w:spacing w:after="0" w:line="150" w:lineRule="exact"/>
        <w:rPr>
          <w:rFonts w:ascii="Arial" w:cs="Arial" w:eastAsia="Arial" w:hAnsi="Arial"/>
          <w:sz w:val="12"/>
          <w:szCs w:val="12"/>
          <w:color w:val="auto"/>
        </w:rPr>
      </w:pPr>
    </w:p>
    <w:p>
      <w:pPr>
        <w:ind w:left="600" w:hanging="176"/>
        <w:spacing w:after="0"/>
        <w:tabs>
          <w:tab w:leader="none" w:pos="6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8"/>
        </w:numPr>
        <w:rPr>
          <w:rFonts w:ascii="Arial" w:cs="Arial" w:eastAsia="Arial" w:hAnsi="Arial"/>
          <w:sz w:val="11"/>
          <w:szCs w:val="11"/>
          <w:color w:val="auto"/>
        </w:rPr>
      </w:pPr>
      <w:r>
        <w:rPr>
          <w:rFonts w:ascii="Arial" w:cs="Arial" w:eastAsia="Arial" w:hAnsi="Arial"/>
          <w:sz w:val="11"/>
          <w:szCs w:val="11"/>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Arial" w:cs="Arial" w:eastAsia="Arial" w:hAnsi="Arial"/>
          <w:sz w:val="11"/>
          <w:szCs w:val="11"/>
          <w:color w:val="auto"/>
        </w:rPr>
      </w:pPr>
    </w:p>
    <w:p>
      <w:pPr>
        <w:ind w:left="620" w:hanging="196"/>
        <w:spacing w:after="0"/>
        <w:tabs>
          <w:tab w:leader="none" w:pos="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Any other communication that is an offer in the offering made by the undersigned Registrant to the purchaser.</w:t>
      </w:r>
    </w:p>
    <w:p>
      <w:pPr>
        <w:spacing w:after="0" w:line="168" w:lineRule="exact"/>
        <w:rPr>
          <w:rFonts w:ascii="Arial" w:cs="Arial" w:eastAsia="Arial" w:hAnsi="Arial"/>
          <w:sz w:val="12"/>
          <w:szCs w:val="12"/>
          <w:color w:val="auto"/>
        </w:rPr>
      </w:pPr>
    </w:p>
    <w:p>
      <w:pPr>
        <w:ind w:left="820" w:hanging="276"/>
        <w:spacing w:after="0"/>
        <w:tabs>
          <w:tab w:leader="none" w:pos="820" w:val="left"/>
        </w:tabs>
        <w:numPr>
          <w:ilvl w:val="1"/>
          <w:numId w:val="78"/>
        </w:numPr>
        <w:rPr>
          <w:rFonts w:ascii="Arial" w:cs="Arial" w:eastAsia="Arial" w:hAnsi="Arial"/>
          <w:sz w:val="12"/>
          <w:szCs w:val="12"/>
          <w:color w:val="auto"/>
        </w:rPr>
      </w:pPr>
      <w:r>
        <w:rPr>
          <w:rFonts w:ascii="Arial" w:cs="Arial" w:eastAsia="Arial" w:hAnsi="Arial"/>
          <w:sz w:val="12"/>
          <w:szCs w:val="12"/>
          <w:color w:val="auto"/>
        </w:rPr>
        <w:t>The undersigned registrant hereby undertakes that:</w:t>
      </w:r>
    </w:p>
    <w:p>
      <w:pPr>
        <w:spacing w:after="0" w:line="168" w:lineRule="exact"/>
        <w:rPr>
          <w:sz w:val="20"/>
          <w:szCs w:val="20"/>
          <w:color w:val="auto"/>
        </w:rPr>
      </w:pPr>
    </w:p>
    <w:p>
      <w:pPr>
        <w:ind w:left="100" w:firstLine="324"/>
        <w:spacing w:after="0" w:line="323" w:lineRule="auto"/>
        <w:tabs>
          <w:tab w:leader="none" w:pos="571" w:val="left"/>
        </w:tabs>
        <w:numPr>
          <w:ilvl w:val="0"/>
          <w:numId w:val="79"/>
        </w:numPr>
        <w:rPr>
          <w:rFonts w:ascii="Arial" w:cs="Arial" w:eastAsia="Arial" w:hAnsi="Arial"/>
          <w:sz w:val="11"/>
          <w:szCs w:val="11"/>
          <w:color w:val="auto"/>
        </w:rPr>
      </w:pPr>
      <w:r>
        <w:rPr>
          <w:rFonts w:ascii="Arial" w:cs="Arial" w:eastAsia="Arial" w:hAnsi="Arial"/>
          <w:sz w:val="11"/>
          <w:szCs w:val="11"/>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9" w:lineRule="exact"/>
        <w:rPr>
          <w:rFonts w:ascii="Arial" w:cs="Arial" w:eastAsia="Arial" w:hAnsi="Arial"/>
          <w:sz w:val="11"/>
          <w:szCs w:val="11"/>
          <w:color w:val="auto"/>
        </w:rPr>
      </w:pPr>
    </w:p>
    <w:p>
      <w:pPr>
        <w:ind w:left="100" w:right="20" w:firstLine="324"/>
        <w:spacing w:after="0" w:line="276" w:lineRule="auto"/>
        <w:tabs>
          <w:tab w:leader="none" w:pos="610" w:val="left"/>
        </w:tabs>
        <w:numPr>
          <w:ilvl w:val="0"/>
          <w:numId w:val="79"/>
        </w:numPr>
        <w:rPr>
          <w:rFonts w:ascii="Arial" w:cs="Arial" w:eastAsia="Arial" w:hAnsi="Arial"/>
          <w:sz w:val="12"/>
          <w:szCs w:val="12"/>
          <w:color w:val="auto"/>
        </w:rPr>
      </w:pPr>
      <w:r>
        <w:rPr>
          <w:rFonts w:ascii="Arial" w:cs="Arial" w:eastAsia="Arial" w:hAnsi="Arial"/>
          <w:sz w:val="12"/>
          <w:szCs w:val="12"/>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6" w:name="page177"/>
    <w:bookmarkEnd w:id="17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 xml:space="preserve">Pursuant to the requirements of the Securities Act of l933, the registrant has duly caused this Registration Statement to be signed on its behalf by the undersigned, thereunto duly authorized, in the City of South San Francisco, California on the 6 </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August 2014.</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VISTAGEN THERAPEUTICS, INC.</w:t>
      </w:r>
    </w:p>
    <w:p>
      <w:pPr>
        <w:spacing w:after="0" w:line="154"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Shawn K. Singh, JD</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Shawn K. Singh, JD</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Executive Officer</w:t>
      </w:r>
      <w:r>
        <w:rPr>
          <w:rFonts w:ascii="Arial" w:cs="Arial" w:eastAsia="Arial" w:hAnsi="Arial"/>
          <w:sz w:val="12"/>
          <w:szCs w:val="12"/>
          <w:color w:val="auto"/>
        </w:rPr>
        <w:t>)</w:t>
      </w:r>
    </w:p>
    <w:p>
      <w:pPr>
        <w:spacing w:after="0" w:line="141"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i w:val="1"/>
          <w:iCs w:val="1"/>
          <w:u w:val="single" w:color="auto"/>
          <w:color w:val="auto"/>
        </w:rPr>
        <w:t>/s/ Jerrold D. Dotson</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Jerrold D. Dotson</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Financial and Accounting Officer</w:t>
      </w:r>
      <w:r>
        <w:rPr>
          <w:rFonts w:ascii="Arial" w:cs="Arial" w:eastAsia="Arial" w:hAnsi="Arial"/>
          <w:sz w:val="12"/>
          <w:szCs w:val="12"/>
          <w:color w:val="auto"/>
        </w:rPr>
        <w:t>)</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20" w:type="dxa"/>
            <w:vAlign w:val="bottom"/>
            <w:gridSpan w:val="5"/>
          </w:tcPr>
          <w:p>
            <w:pPr>
              <w:spacing w:after="0"/>
              <w:rPr>
                <w:sz w:val="20"/>
                <w:szCs w:val="20"/>
                <w:color w:val="auto"/>
              </w:rPr>
            </w:pPr>
            <w:r>
              <w:rPr>
                <w:rFonts w:ascii="Arial" w:cs="Arial" w:eastAsia="Arial" w:hAnsi="Arial"/>
                <w:sz w:val="12"/>
                <w:szCs w:val="12"/>
                <w:color w:val="auto"/>
                <w:w w:val="95"/>
              </w:rPr>
              <w:t>Pursuant to the requirements of the Securities Act of l933, this Registration Statement has been signed by the following persons in the capacities and on the dates indicated:</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61"/>
        </w:trPr>
        <w:tc>
          <w:tcPr>
            <w:tcW w:w="460" w:type="dxa"/>
            <w:vAlign w:val="bottom"/>
          </w:tcPr>
          <w:p>
            <w:pPr>
              <w:spacing w:after="0"/>
              <w:rPr>
                <w:sz w:val="20"/>
                <w:szCs w:val="20"/>
                <w:color w:val="auto"/>
              </w:rPr>
            </w:pPr>
            <w:r>
              <w:rPr>
                <w:rFonts w:ascii="Arial" w:cs="Arial" w:eastAsia="Arial" w:hAnsi="Arial"/>
                <w:sz w:val="12"/>
                <w:szCs w:val="12"/>
                <w:color w:val="auto"/>
                <w:w w:val="85"/>
              </w:rPr>
              <w:t>Signature</w:t>
            </w:r>
          </w:p>
        </w:tc>
        <w:tc>
          <w:tcPr>
            <w:tcW w:w="3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100" w:type="dxa"/>
            <w:vAlign w:val="bottom"/>
            <w:gridSpan w:val="2"/>
          </w:tcPr>
          <w:p>
            <w:pPr>
              <w:spacing w:after="0"/>
              <w:rPr>
                <w:sz w:val="20"/>
                <w:szCs w:val="20"/>
                <w:color w:val="auto"/>
              </w:rPr>
            </w:pPr>
            <w:r>
              <w:rPr>
                <w:rFonts w:ascii="Arial" w:cs="Arial" w:eastAsia="Arial" w:hAnsi="Arial"/>
                <w:sz w:val="12"/>
                <w:szCs w:val="12"/>
                <w:color w:val="auto"/>
              </w:rPr>
              <w:t>Title</w:t>
            </w:r>
          </w:p>
        </w:tc>
        <w:tc>
          <w:tcPr>
            <w:tcW w:w="760" w:type="dxa"/>
            <w:vAlign w:val="bottom"/>
          </w:tcPr>
          <w:p>
            <w:pPr>
              <w:spacing w:after="0"/>
              <w:rPr>
                <w:sz w:val="22"/>
                <w:szCs w:val="22"/>
                <w:color w:val="auto"/>
              </w:rPr>
            </w:pPr>
          </w:p>
        </w:tc>
        <w:tc>
          <w:tcPr>
            <w:tcW w:w="480" w:type="dxa"/>
            <w:vAlign w:val="bottom"/>
            <w:gridSpan w:val="2"/>
          </w:tcPr>
          <w:p>
            <w:pPr>
              <w:jc w:val="center"/>
              <w:ind w:right="260"/>
              <w:spacing w:after="0"/>
              <w:rPr>
                <w:sz w:val="20"/>
                <w:szCs w:val="20"/>
                <w:color w:val="auto"/>
              </w:rPr>
            </w:pPr>
            <w:r>
              <w:rPr>
                <w:rFonts w:ascii="Arial" w:cs="Arial" w:eastAsia="Arial" w:hAnsi="Arial"/>
                <w:sz w:val="12"/>
                <w:szCs w:val="12"/>
                <w:color w:val="auto"/>
                <w:w w:val="86"/>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5"/>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1860" w:type="dxa"/>
            <w:vAlign w:val="bottom"/>
          </w:tcPr>
          <w:p>
            <w:pPr>
              <w:ind w:left="120"/>
              <w:spacing w:after="0"/>
              <w:rPr>
                <w:sz w:val="20"/>
                <w:szCs w:val="20"/>
                <w:color w:val="auto"/>
              </w:rPr>
            </w:pPr>
            <w:r>
              <w:rPr>
                <w:rFonts w:ascii="Arial" w:cs="Arial" w:eastAsia="Arial" w:hAnsi="Arial"/>
                <w:sz w:val="12"/>
                <w:szCs w:val="12"/>
                <w:color w:val="auto"/>
              </w:rPr>
              <w:t>Chief Executive Officer</w:t>
            </w:r>
          </w:p>
        </w:tc>
        <w:tc>
          <w:tcPr>
            <w:tcW w:w="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40" w:type="dxa"/>
            <w:vAlign w:val="bottom"/>
            <w:gridSpan w:val="3"/>
          </w:tcPr>
          <w:p>
            <w:pPr>
              <w:jc w:val="center"/>
              <w:ind w:left="420"/>
              <w:spacing w:after="0"/>
              <w:rPr>
                <w:sz w:val="20"/>
                <w:szCs w:val="20"/>
                <w:color w:val="auto"/>
              </w:rPr>
            </w:pPr>
            <w:r>
              <w:rPr>
                <w:rFonts w:ascii="Arial" w:cs="Arial" w:eastAsia="Arial" w:hAnsi="Arial"/>
                <w:sz w:val="12"/>
                <w:szCs w:val="12"/>
                <w:color w:val="auto"/>
                <w:w w:val="90"/>
              </w:rPr>
              <w:t>August 6 ,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Shawn K. Singh, JD</w:t>
            </w:r>
          </w:p>
        </w:tc>
        <w:tc>
          <w:tcPr>
            <w:tcW w:w="4960" w:type="dxa"/>
            <w:vAlign w:val="bottom"/>
            <w:gridSpan w:val="3"/>
          </w:tcPr>
          <w:p>
            <w:pPr>
              <w:ind w:left="120"/>
              <w:spacing w:after="0"/>
              <w:rPr>
                <w:sz w:val="20"/>
                <w:szCs w:val="20"/>
                <w:color w:val="auto"/>
              </w:rPr>
            </w:pPr>
            <w:r>
              <w:rPr>
                <w:rFonts w:ascii="Arial" w:cs="Arial" w:eastAsia="Arial" w:hAnsi="Arial"/>
                <w:sz w:val="12"/>
                <w:szCs w:val="12"/>
                <w:color w:val="auto"/>
              </w:rPr>
              <w:t>(Principal Executive Officer) and Director</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4960" w:type="dxa"/>
            <w:vAlign w:val="bottom"/>
            <w:gridSpan w:val="3"/>
          </w:tcPr>
          <w:p>
            <w:pPr>
              <w:ind w:left="120"/>
              <w:spacing w:after="0"/>
              <w:rPr>
                <w:sz w:val="20"/>
                <w:szCs w:val="20"/>
                <w:color w:val="auto"/>
              </w:rPr>
            </w:pPr>
            <w:r>
              <w:rPr>
                <w:rFonts w:ascii="Arial" w:cs="Arial" w:eastAsia="Arial" w:hAnsi="Arial"/>
                <w:sz w:val="12"/>
                <w:szCs w:val="12"/>
                <w:color w:val="auto"/>
              </w:rPr>
              <w:t>President and Chief Scientific Officer and</w:t>
            </w:r>
          </w:p>
        </w:tc>
        <w:tc>
          <w:tcPr>
            <w:tcW w:w="1240" w:type="dxa"/>
            <w:vAlign w:val="bottom"/>
            <w:gridSpan w:val="3"/>
          </w:tcPr>
          <w:p>
            <w:pPr>
              <w:jc w:val="center"/>
              <w:ind w:left="420"/>
              <w:spacing w:after="0"/>
              <w:rPr>
                <w:sz w:val="20"/>
                <w:szCs w:val="20"/>
                <w:color w:val="auto"/>
              </w:rPr>
            </w:pPr>
            <w:r>
              <w:rPr>
                <w:rFonts w:ascii="Arial" w:cs="Arial" w:eastAsia="Arial" w:hAnsi="Arial"/>
                <w:sz w:val="12"/>
                <w:szCs w:val="12"/>
                <w:color w:val="auto"/>
                <w:w w:val="90"/>
              </w:rPr>
              <w:t>August 6 ,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H. Ralph Snodgrass, Ph.D.</w:t>
            </w:r>
          </w:p>
        </w:tc>
        <w:tc>
          <w:tcPr>
            <w:tcW w:w="496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496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1240" w:type="dxa"/>
            <w:vAlign w:val="bottom"/>
            <w:gridSpan w:val="3"/>
          </w:tcPr>
          <w:p>
            <w:pPr>
              <w:jc w:val="center"/>
              <w:ind w:left="420"/>
              <w:spacing w:after="0"/>
              <w:rPr>
                <w:sz w:val="20"/>
                <w:szCs w:val="20"/>
                <w:color w:val="auto"/>
              </w:rPr>
            </w:pPr>
            <w:r>
              <w:rPr>
                <w:rFonts w:ascii="Arial" w:cs="Arial" w:eastAsia="Arial" w:hAnsi="Arial"/>
                <w:sz w:val="12"/>
                <w:szCs w:val="12"/>
                <w:color w:val="auto"/>
                <w:w w:val="90"/>
              </w:rPr>
              <w:t>August 6 ,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Jon S. Saxe</w:t>
            </w: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496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1240" w:type="dxa"/>
            <w:vAlign w:val="bottom"/>
            <w:gridSpan w:val="3"/>
          </w:tcPr>
          <w:p>
            <w:pPr>
              <w:jc w:val="center"/>
              <w:ind w:left="420"/>
              <w:spacing w:after="0"/>
              <w:rPr>
                <w:sz w:val="20"/>
                <w:szCs w:val="20"/>
                <w:color w:val="auto"/>
              </w:rPr>
            </w:pPr>
            <w:r>
              <w:rPr>
                <w:rFonts w:ascii="Arial" w:cs="Arial" w:eastAsia="Arial" w:hAnsi="Arial"/>
                <w:sz w:val="12"/>
                <w:szCs w:val="12"/>
                <w:color w:val="auto"/>
                <w:w w:val="90"/>
              </w:rPr>
              <w:t>August 6 ,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Brian J. Underdown</w:t>
            </w: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 By: /s/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396490" cy="11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96490"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Attorney-in-fact</w:t>
      </w:r>
    </w:p>
    <w:p>
      <w:pPr>
        <w:sectPr>
          <w:pgSz w:w="11900" w:h="16838" w:orient="portrait"/>
          <w:cols w:equalWidth="0" w:num="1">
            <w:col w:w="11480"/>
          </w:cols>
          <w:pgMar w:left="220" w:top="134" w:right="1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4"/>
          <w:szCs w:val="14"/>
          <w:b w:val="1"/>
          <w:bCs w:val="1"/>
          <w:color w:val="auto"/>
        </w:rPr>
        <w:t>Exhibit 10.108</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PLACEMENT AGENCY AGREEMENT</w:t>
      </w:r>
    </w:p>
    <w:p>
      <w:pPr>
        <w:spacing w:after="0" w:line="172"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_____________, 2014</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Geller Biopharm</w:t>
      </w:r>
    </w:p>
    <w:p>
      <w:pPr>
        <w:spacing w:after="0" w:line="209" w:lineRule="auto"/>
        <w:rPr>
          <w:sz w:val="20"/>
          <w:szCs w:val="20"/>
          <w:color w:val="auto"/>
        </w:rPr>
      </w:pPr>
      <w:r>
        <w:rPr>
          <w:rFonts w:ascii="Arial" w:cs="Arial" w:eastAsia="Arial" w:hAnsi="Arial"/>
          <w:sz w:val="12"/>
          <w:szCs w:val="12"/>
          <w:color w:val="auto"/>
        </w:rPr>
        <w:t>140 W. 57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Street</w:t>
      </w:r>
    </w:p>
    <w:p>
      <w:pPr>
        <w:spacing w:after="0"/>
        <w:rPr>
          <w:sz w:val="20"/>
          <w:szCs w:val="20"/>
          <w:color w:val="auto"/>
        </w:rPr>
      </w:pPr>
      <w:r>
        <w:rPr>
          <w:rFonts w:ascii="Arial" w:cs="Arial" w:eastAsia="Arial" w:hAnsi="Arial"/>
          <w:sz w:val="12"/>
          <w:szCs w:val="12"/>
          <w:color w:val="auto"/>
        </w:rPr>
        <w:t>New York, NY 10019</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VistaGen Therapeutics, Inc., a Nevada corporation (the “</w:t>
      </w:r>
      <w:r>
        <w:rPr>
          <w:rFonts w:ascii="Arial" w:cs="Arial" w:eastAsia="Arial" w:hAnsi="Arial"/>
          <w:sz w:val="11"/>
          <w:szCs w:val="11"/>
          <w:i w:val="1"/>
          <w:iCs w:val="1"/>
          <w:color w:val="auto"/>
        </w:rPr>
        <w:t>Company</w:t>
      </w:r>
      <w:r>
        <w:rPr>
          <w:rFonts w:ascii="Arial" w:cs="Arial" w:eastAsia="Arial" w:hAnsi="Arial"/>
          <w:sz w:val="11"/>
          <w:szCs w:val="11"/>
          <w:color w:val="auto"/>
        </w:rPr>
        <w:t>”), proposes, subject to the terms and conditions herein, to issue and sell up to [*] [_____] shares of its common stock, $0.001 par value per share (the “</w:t>
      </w:r>
      <w:r>
        <w:rPr>
          <w:rFonts w:ascii="Arial" w:cs="Arial" w:eastAsia="Arial" w:hAnsi="Arial"/>
          <w:sz w:val="11"/>
          <w:szCs w:val="11"/>
          <w:i w:val="1"/>
          <w:iCs w:val="1"/>
          <w:color w:val="auto"/>
        </w:rPr>
        <w:t>Common</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Stock</w:t>
      </w:r>
      <w:r>
        <w:rPr>
          <w:rFonts w:ascii="Arial" w:cs="Arial" w:eastAsia="Arial" w:hAnsi="Arial"/>
          <w:sz w:val="11"/>
          <w:szCs w:val="11"/>
          <w:color w:val="auto"/>
        </w:rPr>
        <w:t>”), resulting in maximum gross proceeds to the Company of $15,000,000, and warrants to purchase up to an aggregate of [______] shares of Common Stock (the “</w:t>
      </w:r>
      <w:r>
        <w:rPr>
          <w:rFonts w:ascii="Arial" w:cs="Arial" w:eastAsia="Arial" w:hAnsi="Arial"/>
          <w:sz w:val="11"/>
          <w:szCs w:val="11"/>
          <w:i w:val="1"/>
          <w:iCs w:val="1"/>
          <w:color w:val="auto"/>
        </w:rPr>
        <w:t>Maximum Offering</w:t>
      </w:r>
      <w:r>
        <w:rPr>
          <w:rFonts w:ascii="Arial" w:cs="Arial" w:eastAsia="Arial" w:hAnsi="Arial"/>
          <w:sz w:val="11"/>
          <w:szCs w:val="11"/>
          <w:color w:val="auto"/>
        </w:rPr>
        <w:t>”) in a public offering registered under the</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Securities Act of 1933, as amended (the “</w:t>
      </w:r>
      <w:r>
        <w:rPr>
          <w:rFonts w:ascii="Arial" w:cs="Arial" w:eastAsia="Arial" w:hAnsi="Arial"/>
          <w:sz w:val="12"/>
          <w:szCs w:val="12"/>
          <w:i w:val="1"/>
          <w:iCs w:val="1"/>
          <w:color w:val="auto"/>
        </w:rPr>
        <w:t>1933 Act</w:t>
      </w:r>
      <w:r>
        <w:rPr>
          <w:rFonts w:ascii="Arial" w:cs="Arial" w:eastAsia="Arial" w:hAnsi="Arial"/>
          <w:sz w:val="12"/>
          <w:szCs w:val="12"/>
          <w:color w:val="auto"/>
        </w:rPr>
        <w:t>”). For each share of Common Stock issued and sold by the Company, the Company shall issue and sell to each investor (“</w:t>
      </w:r>
      <w:r>
        <w:rPr>
          <w:rFonts w:ascii="Arial" w:cs="Arial" w:eastAsia="Arial" w:hAnsi="Arial"/>
          <w:sz w:val="12"/>
          <w:szCs w:val="12"/>
          <w:i w:val="1"/>
          <w:iCs w:val="1"/>
          <w:color w:val="auto"/>
        </w:rPr>
        <w:t>Investor</w:t>
      </w:r>
      <w:r>
        <w:rPr>
          <w:rFonts w:ascii="Arial" w:cs="Arial" w:eastAsia="Arial" w:hAnsi="Arial"/>
          <w:sz w:val="12"/>
          <w:szCs w:val="12"/>
          <w:color w:val="auto"/>
        </w:rPr>
        <w:t>”) a warrant to purchase [__] of one share of Common Stock at an exercise price of $[__] per share (each, a “</w:t>
      </w:r>
      <w:r>
        <w:rPr>
          <w:rFonts w:ascii="Arial" w:cs="Arial" w:eastAsia="Arial" w:hAnsi="Arial"/>
          <w:sz w:val="12"/>
          <w:szCs w:val="12"/>
          <w:i w:val="1"/>
          <w:iCs w:val="1"/>
          <w:color w:val="auto"/>
        </w:rPr>
        <w:t>Warrant</w:t>
      </w:r>
      <w:r>
        <w:rPr>
          <w:rFonts w:ascii="Arial" w:cs="Arial" w:eastAsia="Arial" w:hAnsi="Arial"/>
          <w:sz w:val="12"/>
          <w:szCs w:val="12"/>
          <w:color w:val="auto"/>
        </w:rPr>
        <w:t>” and, collectively with the Common Stock, the “</w:t>
      </w:r>
      <w:r>
        <w:rPr>
          <w:rFonts w:ascii="Arial" w:cs="Arial" w:eastAsia="Arial" w:hAnsi="Arial"/>
          <w:sz w:val="12"/>
          <w:szCs w:val="12"/>
          <w:i w:val="1"/>
          <w:iCs w:val="1"/>
          <w:color w:val="auto"/>
        </w:rPr>
        <w:t>Securities</w:t>
      </w:r>
      <w:r>
        <w:rPr>
          <w:rFonts w:ascii="Arial" w:cs="Arial" w:eastAsia="Arial" w:hAnsi="Arial"/>
          <w:sz w:val="12"/>
          <w:szCs w:val="12"/>
          <w:color w:val="auto"/>
        </w:rPr>
        <w:t>”). The Company desires to engage Geller Biopharm, a healthcare investment banking division of Financial West Group (the “</w:t>
      </w:r>
      <w:r>
        <w:rPr>
          <w:rFonts w:ascii="Arial" w:cs="Arial" w:eastAsia="Arial" w:hAnsi="Arial"/>
          <w:sz w:val="12"/>
          <w:szCs w:val="12"/>
          <w:i w:val="1"/>
          <w:iCs w:val="1"/>
          <w:color w:val="auto"/>
        </w:rPr>
        <w:t>Placement Agent</w:t>
      </w:r>
      <w:r>
        <w:rPr>
          <w:rFonts w:ascii="Arial" w:cs="Arial" w:eastAsia="Arial" w:hAnsi="Arial"/>
          <w:sz w:val="12"/>
          <w:szCs w:val="12"/>
          <w:color w:val="auto"/>
        </w:rPr>
        <w:t>”), as exclusive placement agent in connection with such issuance and sale of the Securities. Notwithstanding anything to the contrary herein, the Maximum Offering shall be subject to revision upon agreement of the Company and the Placement Agent.</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hereby confirms its agreement with the Placement Agent as follows: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 Agreement to Act as Placement Agent</w:t>
      </w:r>
      <w:r>
        <w:rPr>
          <w:rFonts w:ascii="Arial" w:cs="Arial" w:eastAsia="Arial" w:hAnsi="Arial"/>
          <w:sz w:val="12"/>
          <w:szCs w:val="12"/>
          <w:color w:val="auto"/>
        </w:rPr>
        <w:t>.</w:t>
      </w:r>
    </w:p>
    <w:p>
      <w:pPr>
        <w:spacing w:after="0" w:line="172" w:lineRule="exact"/>
        <w:rPr>
          <w:sz w:val="20"/>
          <w:szCs w:val="20"/>
          <w:color w:val="auto"/>
        </w:rPr>
      </w:pPr>
    </w:p>
    <w:p>
      <w:pPr>
        <w:jc w:val="both"/>
        <w:ind w:left="100" w:firstLine="432"/>
        <w:spacing w:after="0" w:line="254" w:lineRule="auto"/>
        <w:tabs>
          <w:tab w:leader="none" w:pos="1049" w:val="left"/>
        </w:tabs>
        <w:numPr>
          <w:ilvl w:val="0"/>
          <w:numId w:val="80"/>
        </w:numPr>
        <w:rPr>
          <w:rFonts w:ascii="Arial" w:cs="Arial" w:eastAsia="Arial" w:hAnsi="Arial"/>
          <w:sz w:val="12"/>
          <w:szCs w:val="12"/>
          <w:color w:val="auto"/>
        </w:rPr>
      </w:pPr>
      <w:r>
        <w:rPr>
          <w:rFonts w:ascii="Arial" w:cs="Arial" w:eastAsia="Arial" w:hAnsi="Arial"/>
          <w:sz w:val="12"/>
          <w:szCs w:val="12"/>
          <w:color w:val="auto"/>
        </w:rPr>
        <w:t>On the basis of the representations, warranties and agreements of the Company herein contained, and subject to all the terms and conditions of this Agreement between the Company and the Placement Agent, the Placement Agent shall be the Company’s exclusive placement agent, on a reasonable best efforts basis, in connection with the issuance and sale by the Company of the Securities to the Investors in a proposed offering of the Securities (the “</w:t>
      </w:r>
      <w:r>
        <w:rPr>
          <w:rFonts w:ascii="Arial" w:cs="Arial" w:eastAsia="Arial" w:hAnsi="Arial"/>
          <w:sz w:val="12"/>
          <w:szCs w:val="12"/>
          <w:i w:val="1"/>
          <w:iCs w:val="1"/>
          <w:color w:val="auto"/>
        </w:rPr>
        <w:t>Offering</w:t>
      </w:r>
      <w:r>
        <w:rPr>
          <w:rFonts w:ascii="Arial" w:cs="Arial" w:eastAsia="Arial" w:hAnsi="Arial"/>
          <w:sz w:val="12"/>
          <w:szCs w:val="12"/>
          <w:color w:val="auto"/>
        </w:rPr>
        <w:t>”) under the Registration Statement (as defined below), with the terms of the Offering to be subject to market conditions and negotiations between the Company, the Placement Agent and the prospective Investors in the Offering. As compensation for services rendered, on each Closing Date (as defined below) during the term of this Agreement and during the Tail Period (as defined below), the Company shall pay to the Placement Agent, an aggregate amount (the “</w:t>
      </w:r>
      <w:r>
        <w:rPr>
          <w:rFonts w:ascii="Arial" w:cs="Arial" w:eastAsia="Arial" w:hAnsi="Arial"/>
          <w:sz w:val="12"/>
          <w:szCs w:val="12"/>
          <w:i w:val="1"/>
          <w:iCs w:val="1"/>
          <w:color w:val="auto"/>
        </w:rPr>
        <w:t>Placement Fee</w:t>
      </w:r>
      <w:r>
        <w:rPr>
          <w:rFonts w:ascii="Arial" w:cs="Arial" w:eastAsia="Arial" w:hAnsi="Arial"/>
          <w:sz w:val="12"/>
          <w:szCs w:val="12"/>
          <w:color w:val="auto"/>
        </w:rPr>
        <w:t>”) equal to (A) 8% of the gross cash proceeds received by the Company from the sale of the Securities, and (B) a non-accountable expense reimbursement equal to one percent (1%) of the gross proceeds received by the Company from the sale of the Securities. Notwithstanding the foregoing, the Placement Agent shall not be entitled to receive any fee or commission on any cash received by the Company upon exercise of any of the Warrants issued in the Offering.</w:t>
      </w:r>
    </w:p>
    <w:p>
      <w:pPr>
        <w:spacing w:after="0" w:line="148" w:lineRule="exact"/>
        <w:rPr>
          <w:rFonts w:ascii="Arial" w:cs="Arial" w:eastAsia="Arial" w:hAnsi="Arial"/>
          <w:sz w:val="12"/>
          <w:szCs w:val="12"/>
          <w:color w:val="auto"/>
        </w:rPr>
      </w:pPr>
    </w:p>
    <w:p>
      <w:pPr>
        <w:jc w:val="both"/>
        <w:ind w:left="100" w:firstLine="432"/>
        <w:spacing w:after="0" w:line="257" w:lineRule="auto"/>
        <w:tabs>
          <w:tab w:leader="none" w:pos="1017" w:val="left"/>
        </w:tabs>
        <w:numPr>
          <w:ilvl w:val="0"/>
          <w:numId w:val="80"/>
        </w:numPr>
        <w:rPr>
          <w:rFonts w:ascii="Arial" w:cs="Arial" w:eastAsia="Arial" w:hAnsi="Arial"/>
          <w:sz w:val="12"/>
          <w:szCs w:val="12"/>
          <w:color w:val="auto"/>
        </w:rPr>
      </w:pPr>
      <w:r>
        <w:rPr>
          <w:rFonts w:ascii="Arial" w:cs="Arial" w:eastAsia="Arial" w:hAnsi="Arial"/>
          <w:sz w:val="12"/>
          <w:szCs w:val="12"/>
          <w:color w:val="auto"/>
        </w:rPr>
        <w:t xml:space="preserve">The sale of the Securities shall be made pursuant to subscription agreements in the form included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hereto (the “</w:t>
      </w:r>
      <w:r>
        <w:rPr>
          <w:rFonts w:ascii="Arial" w:cs="Arial" w:eastAsia="Arial" w:hAnsi="Arial"/>
          <w:sz w:val="12"/>
          <w:szCs w:val="12"/>
          <w:i w:val="1"/>
          <w:iCs w:val="1"/>
          <w:color w:val="auto"/>
        </w:rPr>
        <w:t>Subscription Agreements</w:t>
      </w:r>
      <w:r>
        <w:rPr>
          <w:rFonts w:ascii="Arial" w:cs="Arial" w:eastAsia="Arial" w:hAnsi="Arial"/>
          <w:sz w:val="12"/>
          <w:szCs w:val="12"/>
          <w:color w:val="auto"/>
        </w:rPr>
        <w:t xml:space="preserve">”) on the terms described on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hereto. All Investors in the Offering will be entitled to receive identical terms with respect to the Offering irrespective of the Closing Date in which their Subscription Agreements have been accepted. The Company shall have the sole right to accept offers to purchase the Securities and may reject any such offer in whole or in part. Notwithstanding the foregoing, it is understood and agreed that the Placement Agent or any of its or the Company’s affiliates may, solely at their discretion and without any obligation to do so, purchase Securities as principal; </w:t>
      </w:r>
      <w:r>
        <w:rPr>
          <w:rFonts w:ascii="Arial" w:cs="Arial" w:eastAsia="Arial" w:hAnsi="Arial"/>
          <w:sz w:val="12"/>
          <w:szCs w:val="12"/>
          <w:i w:val="1"/>
          <w:iCs w:val="1"/>
          <w:color w:val="auto"/>
        </w:rPr>
        <w:t>provided, however</w:t>
      </w:r>
      <w:r>
        <w:rPr>
          <w:rFonts w:ascii="Arial" w:cs="Arial" w:eastAsia="Arial" w:hAnsi="Arial"/>
          <w:sz w:val="12"/>
          <w:szCs w:val="12"/>
          <w:color w:val="auto"/>
        </w:rPr>
        <w:t>, that any such purchases by the Placement Agent (or its affiliates) or Company affiliates shall be fully disclosed to Investors and the Company and approved by the Company in accordance with the previous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264795</wp:posOffset>
            </wp:positionV>
            <wp:extent cx="7299325" cy="18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178" w:name="page179"/>
    <w:bookmarkEnd w:id="178"/>
    <w:p>
      <w:pPr>
        <w:jc w:val="both"/>
        <w:ind w:left="-432" w:firstLine="432"/>
        <w:spacing w:after="0" w:line="286" w:lineRule="auto"/>
        <w:tabs>
          <w:tab w:leader="none" w:pos="435" w:val="left"/>
        </w:tabs>
        <w:numPr>
          <w:ilvl w:val="0"/>
          <w:numId w:val="81"/>
        </w:numPr>
        <w:rPr>
          <w:rFonts w:ascii="Arial" w:cs="Arial" w:eastAsia="Arial" w:hAnsi="Arial"/>
          <w:sz w:val="11"/>
          <w:szCs w:val="11"/>
          <w:color w:val="auto"/>
        </w:rPr>
      </w:pPr>
      <w:r>
        <w:rPr>
          <w:rFonts w:ascii="Arial" w:cs="Arial" w:eastAsia="Arial" w:hAnsi="Arial"/>
          <w:sz w:val="11"/>
          <w:szCs w:val="11"/>
          <w:color w:val="auto"/>
        </w:rPr>
        <w:t>This Agreement shall not give rise to any commitment by the Placement Agent to purchase any of the Securities, and the Placement Agent shall have no authority to bind the Company. The Placement Agent shall act on a reasonable best efforts basis and does not guarantee that it will be able to raise new capital in the Offering. The Placement Agent may at its sole discretion but upon prior notice to the Company, which may be oral, retain other brokers or dealers to act as sub-agents and/or co-placement agents on its behalf in connection with the Offering, the fees of which shall be paid by the Placement Agent out of the Placement Fee. The Company shall not, without the prior written consent of the Placement Agent, solicit or accept offers to purchase any securities of the Company (other than pursuant to the Autilion Transaction as described in Section 3(u) and the exercise of options or warrants to purchase shares of Common Stock that are outstanding at the date hereof) otherwise than through the Placement Agent in accordance herewith.</w:t>
      </w:r>
    </w:p>
    <w:p>
      <w:pPr>
        <w:spacing w:after="0" w:line="129" w:lineRule="exact"/>
        <w:rPr>
          <w:rFonts w:ascii="Arial" w:cs="Arial" w:eastAsia="Arial" w:hAnsi="Arial"/>
          <w:sz w:val="11"/>
          <w:szCs w:val="11"/>
          <w:color w:val="auto"/>
        </w:rPr>
      </w:pPr>
    </w:p>
    <w:p>
      <w:pPr>
        <w:jc w:val="both"/>
        <w:ind w:left="-432" w:firstLine="432"/>
        <w:spacing w:after="0" w:line="279" w:lineRule="auto"/>
        <w:tabs>
          <w:tab w:leader="none" w:pos="454" w:val="left"/>
        </w:tabs>
        <w:numPr>
          <w:ilvl w:val="0"/>
          <w:numId w:val="81"/>
        </w:numPr>
        <w:rPr>
          <w:rFonts w:ascii="Arial" w:cs="Arial" w:eastAsia="Arial" w:hAnsi="Arial"/>
          <w:sz w:val="11"/>
          <w:szCs w:val="11"/>
          <w:color w:val="auto"/>
        </w:rPr>
      </w:pPr>
      <w:r>
        <w:rPr>
          <w:rFonts w:ascii="Arial" w:cs="Arial" w:eastAsia="Arial" w:hAnsi="Arial"/>
          <w:sz w:val="11"/>
          <w:szCs w:val="11"/>
          <w:color w:val="auto"/>
        </w:rPr>
        <w:t>The Company acknowledges and agrees that the Placement Agent shall act as an independent contractor, and not as a fiduciary, and any duties of the Placement Agent with respect to investment banking services to the Company, including the offering of the Securities contemplated hereby (including in connection with determining the terms of the Offering), shall be contractual in nature, as expressly set forth herein, and shall be owed solely to the Company. Each party disclaims any intention to impose any fiduciary or similar duty on the other. Additionally, the Placement Agent has not advised, nor is advising, the Company or any other person as to any legal, tax, investment, accounting or regulatory matters in any jurisdiction with respect to the transactions contemplated hereby. The Company shall consult with its own advisors concerning such matters and shall be responsible for making its own independent investigation and appraisal of the transactions contemplated hereby, and the Placement Agent shall have no responsibility or liability to the Company with respect thereto. Any review by the Placement Agent of the Company, the transactions contemplated hereby or other matters relating to such transactions has been and will be performed solely for the benefit of the Placement Agent and has not been and shall not be on behalf of the Company or any other person. It is understood that the Placement Agent has not and will not be rendering an opinion to the Company as to the fairness of the terms of the Offering. Notwithstanding anything in this Agreement to the contrary, the Company acknowledges that the Placement Agent may have financial interests in the success of the Offering contemplated hereby that are not limited to the Placement Fee. The Company hereby waives and releases, to the fullest extent permitted by law, any claims that the Company may have against the Placement Agent with respect to any breach or alleged breach of fiduciary owed to the Company.</w:t>
      </w:r>
    </w:p>
    <w:p>
      <w:pPr>
        <w:spacing w:after="0" w:line="135" w:lineRule="exact"/>
        <w:rPr>
          <w:rFonts w:ascii="Arial" w:cs="Arial" w:eastAsia="Arial" w:hAnsi="Arial"/>
          <w:sz w:val="11"/>
          <w:szCs w:val="11"/>
          <w:color w:val="auto"/>
        </w:rPr>
      </w:pPr>
    </w:p>
    <w:p>
      <w:pPr>
        <w:jc w:val="both"/>
        <w:ind w:left="-432" w:firstLine="432"/>
        <w:spacing w:after="0" w:line="283" w:lineRule="auto"/>
        <w:tabs>
          <w:tab w:leader="none" w:pos="520" w:val="left"/>
        </w:tabs>
        <w:numPr>
          <w:ilvl w:val="0"/>
          <w:numId w:val="81"/>
        </w:numPr>
        <w:rPr>
          <w:rFonts w:ascii="Arial" w:cs="Arial" w:eastAsia="Arial" w:hAnsi="Arial"/>
          <w:sz w:val="11"/>
          <w:szCs w:val="11"/>
          <w:color w:val="auto"/>
        </w:rPr>
      </w:pPr>
      <w:r>
        <w:rPr>
          <w:rFonts w:ascii="Arial" w:cs="Arial" w:eastAsia="Arial" w:hAnsi="Arial"/>
          <w:sz w:val="11"/>
          <w:szCs w:val="11"/>
          <w:color w:val="auto"/>
        </w:rPr>
        <w:t>Payment of the purchase price for, and delivery of, the Securities shall be made at a closing (the “</w:t>
      </w:r>
      <w:r>
        <w:rPr>
          <w:rFonts w:ascii="Arial" w:cs="Arial" w:eastAsia="Arial" w:hAnsi="Arial"/>
          <w:sz w:val="11"/>
          <w:szCs w:val="11"/>
          <w:i w:val="1"/>
          <w:iCs w:val="1"/>
          <w:color w:val="auto"/>
        </w:rPr>
        <w:t>Closing</w:t>
      </w:r>
      <w:r>
        <w:rPr>
          <w:rFonts w:ascii="Arial" w:cs="Arial" w:eastAsia="Arial" w:hAnsi="Arial"/>
          <w:sz w:val="11"/>
          <w:szCs w:val="11"/>
          <w:color w:val="auto"/>
        </w:rPr>
        <w:t>”) at the offices of Sichenzia Ross Friedman Ference LLP, counsel for the Placement Agent, located at 61 Broadway, 32nd. Floor, New York, New York 10006 at [•] a.m., local time, on such date or dates as the Placement Agent and the Company may agree in writing, but not later than [*], 2014 (each such date of payment and delivery being herein called a “</w:t>
      </w:r>
      <w:r>
        <w:rPr>
          <w:rFonts w:ascii="Arial" w:cs="Arial" w:eastAsia="Arial" w:hAnsi="Arial"/>
          <w:sz w:val="11"/>
          <w:szCs w:val="11"/>
          <w:i w:val="1"/>
          <w:iCs w:val="1"/>
          <w:color w:val="auto"/>
        </w:rPr>
        <w:t>Closing Date</w:t>
      </w:r>
      <w:r>
        <w:rPr>
          <w:rFonts w:ascii="Arial" w:cs="Arial" w:eastAsia="Arial" w:hAnsi="Arial"/>
          <w:sz w:val="11"/>
          <w:szCs w:val="11"/>
          <w:color w:val="auto"/>
        </w:rPr>
        <w:t>”), or such later date or dates as agreed by the Company and Placement Agent, provided the Minimum Offering is met. All such actions taken at a Closing shall be deemed to have occurred simultaneously. No Securities that the Company has agreed to sell pursuant to this Agreement and the Subscription Agreements shall be deemed to have been purchased and paid for, or sold by the Company until such Securities shall have been delivered to the Investors against payment therefor by the Investors. If the Company shall default in its obligations to deliver the Securities to an Investor whose offer it has accepted, the Company shall indemnify and hold the Placement Agent harmless against any loss, claim or damage incurred by the Placement Agent arising from or as a result of such default by the Company.</w:t>
      </w:r>
    </w:p>
    <w:p>
      <w:pPr>
        <w:spacing w:after="0" w:line="131" w:lineRule="exact"/>
        <w:rPr>
          <w:rFonts w:ascii="Arial" w:cs="Arial" w:eastAsia="Arial" w:hAnsi="Arial"/>
          <w:sz w:val="11"/>
          <w:szCs w:val="11"/>
          <w:color w:val="auto"/>
        </w:rPr>
      </w:pPr>
    </w:p>
    <w:p>
      <w:pPr>
        <w:jc w:val="both"/>
        <w:ind w:left="-432" w:firstLine="432"/>
        <w:spacing w:after="0" w:line="290" w:lineRule="auto"/>
        <w:tabs>
          <w:tab w:leader="none" w:pos="493" w:val="left"/>
        </w:tabs>
        <w:numPr>
          <w:ilvl w:val="0"/>
          <w:numId w:val="81"/>
        </w:numPr>
        <w:rPr>
          <w:rFonts w:ascii="Arial" w:cs="Arial" w:eastAsia="Arial" w:hAnsi="Arial"/>
          <w:sz w:val="11"/>
          <w:szCs w:val="11"/>
          <w:color w:val="auto"/>
        </w:rPr>
      </w:pPr>
      <w:r>
        <w:rPr>
          <w:rFonts w:ascii="Arial" w:cs="Arial" w:eastAsia="Arial" w:hAnsi="Arial"/>
          <w:sz w:val="11"/>
          <w:szCs w:val="11"/>
          <w:color w:val="auto"/>
        </w:rPr>
        <w:t>On or before any Closing Date, each Investor shall pay by wire transfer of immediately available funds to the escrow account (the “</w:t>
      </w:r>
      <w:r>
        <w:rPr>
          <w:rFonts w:ascii="Arial" w:cs="Arial" w:eastAsia="Arial" w:hAnsi="Arial"/>
          <w:sz w:val="11"/>
          <w:szCs w:val="11"/>
          <w:i w:val="1"/>
          <w:iCs w:val="1"/>
          <w:color w:val="auto"/>
        </w:rPr>
        <w:t>Escrow Account</w:t>
      </w:r>
      <w:r>
        <w:rPr>
          <w:rFonts w:ascii="Arial" w:cs="Arial" w:eastAsia="Arial" w:hAnsi="Arial"/>
          <w:sz w:val="11"/>
          <w:szCs w:val="11"/>
          <w:color w:val="auto"/>
        </w:rPr>
        <w:t>”), established at the Company’s expense, at Signature Bank (the “</w:t>
      </w:r>
      <w:r>
        <w:rPr>
          <w:rFonts w:ascii="Arial" w:cs="Arial" w:eastAsia="Arial" w:hAnsi="Arial"/>
          <w:sz w:val="11"/>
          <w:szCs w:val="11"/>
          <w:i w:val="1"/>
          <w:iCs w:val="1"/>
          <w:color w:val="auto"/>
        </w:rPr>
        <w:t>Escrow Agent”</w:t>
      </w:r>
      <w:r>
        <w:rPr>
          <w:rFonts w:ascii="Arial" w:cs="Arial" w:eastAsia="Arial" w:hAnsi="Arial"/>
          <w:sz w:val="11"/>
          <w:szCs w:val="11"/>
          <w:color w:val="auto"/>
        </w:rPr>
        <w:t>) an amount equal to the product of (x) the number of Securities such Investor has agreed to purchase and (y) the purchase price thereof as set forth on the cover page of the Prospectus (as defined below). On any Closing Date, the Company shall (i) deliver or cause to be delivered the Securities to the Investors, with such delivery to be made, if possible, through the facilities of The Depository Trust Company's DWAC system, and (ii) pay to the Placement Agent (A) the Placement Fee and (B) any additional expense reimbursement to which the Placement Agent is entitled pursuant to Section 4 hereof.</w:t>
      </w:r>
    </w:p>
    <w:p>
      <w:pPr>
        <w:spacing w:after="0" w:line="127" w:lineRule="exact"/>
        <w:rPr>
          <w:rFonts w:ascii="Arial" w:cs="Arial" w:eastAsia="Arial" w:hAnsi="Arial"/>
          <w:sz w:val="11"/>
          <w:szCs w:val="11"/>
          <w:color w:val="auto"/>
        </w:rPr>
      </w:pPr>
    </w:p>
    <w:p>
      <w:pPr>
        <w:ind w:left="448" w:hanging="448"/>
        <w:spacing w:after="0"/>
        <w:tabs>
          <w:tab w:leader="none" w:pos="448"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Securities shall be registered in such names and in such denominations as the Placement Agent shall request by written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280670</wp:posOffset>
            </wp:positionV>
            <wp:extent cx="7299325" cy="18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392" w:right="199" w:bottom="1440" w:gutter="0" w:footer="0" w:header="0"/>
        </w:sectPr>
      </w:pPr>
    </w:p>
    <w:bookmarkStart w:id="179" w:name="page180"/>
    <w:bookmarkEnd w:id="179"/>
    <w:p>
      <w:pPr>
        <w:spacing w:after="0"/>
        <w:rPr>
          <w:sz w:val="20"/>
          <w:szCs w:val="20"/>
          <w:color w:val="auto"/>
        </w:rPr>
      </w:pPr>
      <w:r>
        <w:rPr>
          <w:rFonts w:ascii="Arial" w:cs="Arial" w:eastAsia="Arial" w:hAnsi="Arial"/>
          <w:sz w:val="12"/>
          <w:szCs w:val="12"/>
          <w:b w:val="1"/>
          <w:bCs w:val="1"/>
          <w:color w:val="auto"/>
        </w:rPr>
        <w:t>Section 2. Representations, Warranties and Agreements</w:t>
      </w:r>
      <w:r>
        <w:rPr>
          <w:rFonts w:ascii="Arial" w:cs="Arial" w:eastAsia="Arial" w:hAnsi="Arial"/>
          <w:sz w:val="12"/>
          <w:szCs w:val="12"/>
          <w:color w:val="auto"/>
        </w:rPr>
        <w:t>.</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Placement Agent hereby represents, warrants and covenants to the Company as of the date hereof, and as of each Closing Date, the Offering and this Agreement have been duly authorized, executed and delivered by the Placement Agent, and each constitutes a valid, legal and binding obligation of the Placement Agent, enforceable against the Placement Agent in accordance with its terms, except as rights to indemnity hereunder may be limited by federal or state securities laws and except as such enforceability may be limited by applicable bankruptcy, insolvency, reorganization or similar laws affecting the rights of creditors generally and subject to general principles of equity.</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hereby represents, warrants and covenants to the Placement Agent as of the date hereof, and as of each Closing Date of the Offering, as follows:</w:t>
      </w:r>
    </w:p>
    <w:p>
      <w:pPr>
        <w:spacing w:after="0" w:line="168" w:lineRule="exact"/>
        <w:rPr>
          <w:sz w:val="20"/>
          <w:szCs w:val="20"/>
          <w:color w:val="auto"/>
        </w:rPr>
      </w:pPr>
    </w:p>
    <w:p>
      <w:pPr>
        <w:jc w:val="both"/>
        <w:ind w:firstLine="424"/>
        <w:spacing w:after="0" w:line="277" w:lineRule="auto"/>
        <w:tabs>
          <w:tab w:leader="none" w:pos="959" w:val="left"/>
        </w:tabs>
        <w:numPr>
          <w:ilvl w:val="0"/>
          <w:numId w:val="82"/>
        </w:numPr>
        <w:rPr>
          <w:rFonts w:ascii="Arial" w:cs="Arial" w:eastAsia="Arial" w:hAnsi="Arial"/>
          <w:sz w:val="11"/>
          <w:szCs w:val="11"/>
          <w:color w:val="auto"/>
        </w:rPr>
      </w:pPr>
      <w:r>
        <w:rPr>
          <w:rFonts w:ascii="Arial" w:cs="Arial" w:eastAsia="Arial" w:hAnsi="Arial"/>
          <w:sz w:val="11"/>
          <w:szCs w:val="11"/>
          <w:i w:val="1"/>
          <w:iCs w:val="1"/>
          <w:color w:val="auto"/>
        </w:rPr>
        <w:t xml:space="preserve">Registration Statement. </w:t>
      </w:r>
      <w:r>
        <w:rPr>
          <w:rFonts w:ascii="Arial" w:cs="Arial" w:eastAsia="Arial" w:hAnsi="Arial"/>
          <w:sz w:val="11"/>
          <w:szCs w:val="11"/>
          <w:color w:val="auto"/>
        </w:rPr>
        <w:t>The Company has filed with the Securities and Exchange Commission (the “</w:t>
      </w:r>
      <w:r>
        <w:rPr>
          <w:rFonts w:ascii="Arial" w:cs="Arial" w:eastAsia="Arial" w:hAnsi="Arial"/>
          <w:sz w:val="11"/>
          <w:szCs w:val="11"/>
          <w:i w:val="1"/>
          <w:iCs w:val="1"/>
          <w:color w:val="auto"/>
        </w:rPr>
        <w:t>Commission</w:t>
      </w:r>
      <w:r>
        <w:rPr>
          <w:rFonts w:ascii="Arial" w:cs="Arial" w:eastAsia="Arial" w:hAnsi="Arial"/>
          <w:sz w:val="11"/>
          <w:szCs w:val="11"/>
          <w:color w:val="auto"/>
        </w:rPr>
        <w:t>”) a registration statement on Form S-1 under the Securities Act of 1933, as amended (the “</w:t>
      </w:r>
      <w:r>
        <w:rPr>
          <w:rFonts w:ascii="Arial" w:cs="Arial" w:eastAsia="Arial" w:hAnsi="Arial"/>
          <w:sz w:val="11"/>
          <w:szCs w:val="11"/>
          <w:i w:val="1"/>
          <w:iCs w:val="1"/>
          <w:color w:val="auto"/>
        </w:rPr>
        <w:t>Securities Act</w:t>
      </w:r>
      <w:r>
        <w:rPr>
          <w:rFonts w:ascii="Arial" w:cs="Arial" w:eastAsia="Arial" w:hAnsi="Arial"/>
          <w:sz w:val="11"/>
          <w:szCs w:val="11"/>
          <w:color w:val="auto"/>
        </w:rPr>
        <w:t>”) (File No. 333-195901). The Company will use its best efforts to cause the registration statement to become effective pursuant to Rule 430A, and will file with the Commission pursuant to Rules 430A and 424(b) under the Securities</w:t>
      </w:r>
      <w:r>
        <w:rPr>
          <w:rFonts w:ascii="Arial" w:cs="Arial" w:eastAsia="Arial" w:hAnsi="Arial"/>
          <w:sz w:val="11"/>
          <w:szCs w:val="11"/>
          <w:i w:val="1"/>
          <w:iCs w:val="1"/>
          <w:color w:val="auto"/>
        </w:rPr>
        <w:t xml:space="preserve"> </w:t>
      </w:r>
      <w:r>
        <w:rPr>
          <w:rFonts w:ascii="Arial" w:cs="Arial" w:eastAsia="Arial" w:hAnsi="Arial"/>
          <w:sz w:val="11"/>
          <w:szCs w:val="11"/>
          <w:color w:val="auto"/>
        </w:rPr>
        <w:t>Act, and the Regulations of the Commission promulgated thereunder (the “</w:t>
      </w:r>
      <w:r>
        <w:rPr>
          <w:rFonts w:ascii="Arial" w:cs="Arial" w:eastAsia="Arial" w:hAnsi="Arial"/>
          <w:sz w:val="11"/>
          <w:szCs w:val="11"/>
          <w:i w:val="1"/>
          <w:iCs w:val="1"/>
          <w:color w:val="auto"/>
        </w:rPr>
        <w:t>Regulations</w:t>
      </w:r>
      <w:r>
        <w:rPr>
          <w:rFonts w:ascii="Arial" w:cs="Arial" w:eastAsia="Arial" w:hAnsi="Arial"/>
          <w:sz w:val="11"/>
          <w:szCs w:val="11"/>
          <w:color w:val="auto"/>
        </w:rPr>
        <w:t>”), a final prospectus included in such registration statement relating to the placement of the Securities and the plan of distribution thereof and will advise the Placement Agent of all further information (financial and other) with respect to the Company required to be set forth therein. Such registration statement, including the exhibits thereto, as amended as of its effective date and as of the Closing, is hereinafter called the “</w:t>
      </w:r>
      <w:r>
        <w:rPr>
          <w:rFonts w:ascii="Arial" w:cs="Arial" w:eastAsia="Arial" w:hAnsi="Arial"/>
          <w:sz w:val="11"/>
          <w:szCs w:val="11"/>
          <w:i w:val="1"/>
          <w:iCs w:val="1"/>
          <w:color w:val="auto"/>
        </w:rPr>
        <w:t>Registration Statement</w:t>
      </w:r>
      <w:r>
        <w:rPr>
          <w:rFonts w:ascii="Arial" w:cs="Arial" w:eastAsia="Arial" w:hAnsi="Arial"/>
          <w:sz w:val="11"/>
          <w:szCs w:val="11"/>
          <w:color w:val="auto"/>
        </w:rPr>
        <w:t>”; such prospectus in the form in which it appears in the Registration Statement is hereinafter called the “</w:t>
      </w:r>
      <w:r>
        <w:rPr>
          <w:rFonts w:ascii="Arial" w:cs="Arial" w:eastAsia="Arial" w:hAnsi="Arial"/>
          <w:sz w:val="11"/>
          <w:szCs w:val="11"/>
          <w:i w:val="1"/>
          <w:iCs w:val="1"/>
          <w:color w:val="auto"/>
        </w:rPr>
        <w:t>Preliminary Prospectus</w:t>
      </w:r>
      <w:r>
        <w:rPr>
          <w:rFonts w:ascii="Arial" w:cs="Arial" w:eastAsia="Arial" w:hAnsi="Arial"/>
          <w:sz w:val="11"/>
          <w:szCs w:val="11"/>
          <w:color w:val="auto"/>
        </w:rPr>
        <w:t>”; the amended or supplemented form of prospectus, in the form in which it will be filed with the Commission pursuant to Rules 430A and 424(b) (including the Preliminary Prospectus as so amended or supplemented) is hereinafter called the “</w:t>
      </w:r>
      <w:r>
        <w:rPr>
          <w:rFonts w:ascii="Arial" w:cs="Arial" w:eastAsia="Arial" w:hAnsi="Arial"/>
          <w:sz w:val="11"/>
          <w:szCs w:val="11"/>
          <w:i w:val="1"/>
          <w:iCs w:val="1"/>
          <w:color w:val="auto"/>
        </w:rPr>
        <w:t>Pricing Prospectus</w:t>
      </w:r>
      <w:r>
        <w:rPr>
          <w:rFonts w:ascii="Arial" w:cs="Arial" w:eastAsia="Arial" w:hAnsi="Arial"/>
          <w:sz w:val="11"/>
          <w:szCs w:val="11"/>
          <w:color w:val="auto"/>
        </w:rPr>
        <w:t>”; and, unless otherwise stated herein, the Preliminary Prospectus and Pricing Prospectus and any Free Writing Prospectus (as defined below) are hereinafter called the “</w:t>
      </w:r>
      <w:r>
        <w:rPr>
          <w:rFonts w:ascii="Arial" w:cs="Arial" w:eastAsia="Arial" w:hAnsi="Arial"/>
          <w:sz w:val="11"/>
          <w:szCs w:val="11"/>
          <w:i w:val="1"/>
          <w:iCs w:val="1"/>
          <w:color w:val="auto"/>
        </w:rPr>
        <w:t>Disclosure Documents</w:t>
      </w:r>
      <w:r>
        <w:rPr>
          <w:rFonts w:ascii="Arial" w:cs="Arial" w:eastAsia="Arial" w:hAnsi="Arial"/>
          <w:sz w:val="11"/>
          <w:szCs w:val="11"/>
          <w:color w:val="auto"/>
        </w:rPr>
        <w:t>”. Any reference in this Agreement to the Registration Statement and the Disclosure Documents shall be deemed to refer to and include the documents incorporated by reference therein (the “</w:t>
      </w:r>
      <w:r>
        <w:rPr>
          <w:rFonts w:ascii="Arial" w:cs="Arial" w:eastAsia="Arial" w:hAnsi="Arial"/>
          <w:sz w:val="11"/>
          <w:szCs w:val="11"/>
          <w:i w:val="1"/>
          <w:iCs w:val="1"/>
          <w:color w:val="auto"/>
        </w:rPr>
        <w:t>Incorporated Documents</w:t>
      </w:r>
      <w:r>
        <w:rPr>
          <w:rFonts w:ascii="Arial" w:cs="Arial" w:eastAsia="Arial" w:hAnsi="Arial"/>
          <w:sz w:val="11"/>
          <w:szCs w:val="11"/>
          <w:color w:val="auto"/>
        </w:rPr>
        <w:t>”) pursuant to Item 12 of Form S-1 which were filed under the Securities Exchange Act of 1934, as amended (the “</w:t>
      </w:r>
      <w:r>
        <w:rPr>
          <w:rFonts w:ascii="Arial" w:cs="Arial" w:eastAsia="Arial" w:hAnsi="Arial"/>
          <w:sz w:val="11"/>
          <w:szCs w:val="11"/>
          <w:i w:val="1"/>
          <w:iCs w:val="1"/>
          <w:color w:val="auto"/>
        </w:rPr>
        <w:t>Exchange Ac</w:t>
      </w:r>
      <w:r>
        <w:rPr>
          <w:rFonts w:ascii="Arial" w:cs="Arial" w:eastAsia="Arial" w:hAnsi="Arial"/>
          <w:sz w:val="11"/>
          <w:szCs w:val="11"/>
          <w:color w:val="auto"/>
        </w:rPr>
        <w:t>t”), on or before the date of this Agreement, or the issue date of the Preliminary Prospectus or the Pricing Prospectus, as the case may be; and any reference in this Agreement to the terms “amend,” “amendment” or “supplement” with respect to the Registration Statement, the Preliminary Prospectus or the Pricing Prospectus shall be deemed to refer to and include the filing of any document under the Exchange Act after the date of this Agreement, or the issue date of the Preliminary Prospectus or the Pricing Prospectus, as the case may be, deemed to be incorporated therein by reference. All references in this Agreement to financial statements and schedules and other information that is “contained,” “included,” “described,” “referenced,” “set forth” or “stated” in the Registration Statement, the Preliminary Prospectus or the Pricing Prospectus (and all other references of like import) shall be deemed to mean and include all such financial statements and schedules and other information that is or is deemed to be incorporated by reference in the Registration Statement, the Preliminary Prospectus or the Pricing Prospectus, as the case may be.</w:t>
      </w:r>
    </w:p>
    <w:p>
      <w:pPr>
        <w:spacing w:after="0" w:line="13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No stop order preventing or suspending use of the Registration Statement, any Preliminary Prospectus or the Prospectus or the effectiveness of the Registration Statement, has been issued by the Commission, and no proceedings for such purpose have been instituted or, to the Company’s knowledge, are contemplated or threatened by the Commission.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For purposes of this Agreement, all references to the Registration Statement, the Pricing Prospectus, any Preliminary Prospectus, the Prospectus or any amendment or supplement to any of the foregoing shall be deemed to include the copy filed with the Commission pursuant to its Electronic Data Gathering, Analysis and Retrieval System (</w:t>
      </w:r>
      <w:r>
        <w:rPr>
          <w:rFonts w:ascii="Arial" w:cs="Arial" w:eastAsia="Arial" w:hAnsi="Arial"/>
          <w:sz w:val="12"/>
          <w:szCs w:val="12"/>
          <w:i w:val="1"/>
          <w:iCs w:val="1"/>
          <w:color w:val="auto"/>
        </w:rPr>
        <w:t>“EDGAR”</w:t>
      </w:r>
      <w:r>
        <w:rPr>
          <w:rFonts w:ascii="Arial" w:cs="Arial" w:eastAsia="Arial" w:hAnsi="Arial"/>
          <w:sz w:val="12"/>
          <w:szCs w:val="12"/>
          <w:color w:val="auto"/>
        </w:rPr>
        <w:t>). All references in this Agreement to amendments or supplements to the Registration Statement, the Pricing Prospectus, any Preliminary Prospectus or the Prospectus shall be deemed to mean and include the subsequent filing of any document under the Securities Exchange Act and which is deemed to be incorporated therein by reference therein or otherwise deemed to be a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264795</wp:posOffset>
            </wp:positionV>
            <wp:extent cx="7299325" cy="1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80" w:name="page181"/>
    <w:bookmarkEnd w:id="180"/>
    <w:p>
      <w:pPr>
        <w:jc w:val="both"/>
        <w:ind w:left="-424" w:firstLine="424"/>
        <w:spacing w:after="0" w:line="278" w:lineRule="auto"/>
        <w:tabs>
          <w:tab w:leader="none" w:pos="577" w:val="left"/>
        </w:tabs>
        <w:numPr>
          <w:ilvl w:val="0"/>
          <w:numId w:val="83"/>
        </w:numPr>
        <w:rPr>
          <w:rFonts w:ascii="Arial" w:cs="Arial" w:eastAsia="Arial" w:hAnsi="Arial"/>
          <w:sz w:val="11"/>
          <w:szCs w:val="11"/>
          <w:color w:val="auto"/>
        </w:rPr>
      </w:pPr>
      <w:r>
        <w:rPr>
          <w:rFonts w:ascii="Arial" w:cs="Arial" w:eastAsia="Arial" w:hAnsi="Arial"/>
          <w:sz w:val="11"/>
          <w:szCs w:val="11"/>
          <w:i w:val="1"/>
          <w:iCs w:val="1"/>
          <w:color w:val="auto"/>
        </w:rPr>
        <w:t xml:space="preserve">Compliance with Registration Requirements. </w:t>
      </w:r>
      <w:r>
        <w:rPr>
          <w:rFonts w:ascii="Arial" w:cs="Arial" w:eastAsia="Arial" w:hAnsi="Arial"/>
          <w:sz w:val="11"/>
          <w:szCs w:val="11"/>
          <w:color w:val="auto"/>
        </w:rPr>
        <w:t>The Registration Statement (and any further documents to be filed with the Commission) will contain all exhibits and schedules as required by the Securities Act. The</w:t>
      </w:r>
      <w:r>
        <w:rPr>
          <w:rFonts w:ascii="Arial" w:cs="Arial" w:eastAsia="Arial" w:hAnsi="Arial"/>
          <w:sz w:val="11"/>
          <w:szCs w:val="11"/>
          <w:i w:val="1"/>
          <w:iCs w:val="1"/>
          <w:color w:val="auto"/>
        </w:rPr>
        <w:t xml:space="preserve"> </w:t>
      </w:r>
      <w:r>
        <w:rPr>
          <w:rFonts w:ascii="Arial" w:cs="Arial" w:eastAsia="Arial" w:hAnsi="Arial"/>
          <w:sz w:val="11"/>
          <w:szCs w:val="11"/>
          <w:color w:val="auto"/>
        </w:rPr>
        <w:t>Registration Statement, at the time it becomes effective, and at each Closing Date, will comply in all material respects with the Securities Act and the Exchange Act and the applicable Regulations and will not and, as amended or supplemented, contain any untrue statement of a material fact or omit to state a material fact required to be stated therein or necessary to make the statements therein not misleading. The Preliminary Prospectus and the Pricing Prospectus and any Free Writing Prospectus, each as of its respective date, will comply in all material respects with the Securities Act and the Exchange Act and the applicable Regulations. Each of the Preliminary Prospectus and the Pricing Prospectus, as amended or supplemented, will not contain as of the respective dates thereof any untrue statement of a material fact or omit to state a material fact necessary in order to make the statements therein, in light of the circumstances under which they were made, not misleading. The Incorporated Documents, if any, when they were filed with the Commission, conformed in all material respects to the requirements of the Exchange Act and the applicable Regulations, and none of such documents, when they were filed with the Commission, contained any untrue statement of a material fact or omitted to state a material fact necessary to make the statements therein (with respect to Incorporated Documents incorporated by reference in the Disclosure Documents), in light of the circumstances under which they were made not misleading; and any further documents so filed and incorporated by reference in the Disclosure Documents, when such documents are filed with the Commission, will conform in all material respects to the requirements of the Exchange Act and the applicable Regulations, as applicable, and will not contain any untrue statement of a material fact or omit to state a material fact necessary to make the statements therein, in light of the circumstances under which they were made, not misleading.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Disclosure Documents, or to be filed as exhibits or schedules to the Registration Statement, that will not have been described or filed as required.</w:t>
      </w:r>
    </w:p>
    <w:p>
      <w:pPr>
        <w:spacing w:after="0" w:line="115" w:lineRule="exact"/>
        <w:rPr>
          <w:rFonts w:ascii="Arial" w:cs="Arial" w:eastAsia="Arial" w:hAnsi="Arial"/>
          <w:sz w:val="11"/>
          <w:szCs w:val="11"/>
          <w:color w:val="auto"/>
        </w:rPr>
      </w:pPr>
    </w:p>
    <w:p>
      <w:pPr>
        <w:jc w:val="both"/>
        <w:ind w:left="-424" w:firstLine="424"/>
        <w:spacing w:after="0" w:line="257" w:lineRule="auto"/>
        <w:tabs>
          <w:tab w:leader="none" w:pos="534" w:val="left"/>
        </w:tabs>
        <w:numPr>
          <w:ilvl w:val="0"/>
          <w:numId w:val="83"/>
        </w:numPr>
        <w:rPr>
          <w:rFonts w:ascii="Arial" w:cs="Arial" w:eastAsia="Arial" w:hAnsi="Arial"/>
          <w:sz w:val="12"/>
          <w:szCs w:val="12"/>
          <w:color w:val="auto"/>
        </w:rPr>
      </w:pPr>
      <w:r>
        <w:rPr>
          <w:rFonts w:ascii="Arial" w:cs="Arial" w:eastAsia="Arial" w:hAnsi="Arial"/>
          <w:sz w:val="12"/>
          <w:szCs w:val="12"/>
          <w:i w:val="1"/>
          <w:iCs w:val="1"/>
          <w:color w:val="auto"/>
        </w:rPr>
        <w:t xml:space="preserve">Free Writing Prospectus. </w:t>
      </w:r>
      <w:r>
        <w:rPr>
          <w:rFonts w:ascii="Arial" w:cs="Arial" w:eastAsia="Arial" w:hAnsi="Arial"/>
          <w:sz w:val="12"/>
          <w:szCs w:val="12"/>
          <w:color w:val="auto"/>
        </w:rPr>
        <w:t>The Company will not, without the prior consent of the Placement Agent, prepare, use or refer to, any free writing prospectus as defined in Rule 433 under the Securities Act (“</w:t>
      </w:r>
      <w:r>
        <w:rPr>
          <w:rFonts w:ascii="Arial" w:cs="Arial" w:eastAsia="Arial" w:hAnsi="Arial"/>
          <w:sz w:val="12"/>
          <w:szCs w:val="12"/>
          <w:i w:val="1"/>
          <w:iCs w:val="1"/>
          <w:color w:val="auto"/>
        </w:rPr>
        <w:t>Free Writing Prospectus</w:t>
      </w:r>
      <w:r>
        <w:rPr>
          <w:rFonts w:ascii="Arial" w:cs="Arial" w:eastAsia="Arial" w:hAnsi="Arial"/>
          <w:sz w:val="12"/>
          <w:szCs w:val="12"/>
          <w:color w:val="auto"/>
        </w:rPr>
        <w:t>”). Each Free Writing Prospectus, as of its issue date and at all subsequent times through the completion of the offering and sale of the Securities or until any earlier date that the Company notified or notifies the Placement</w:t>
      </w:r>
      <w:r>
        <w:rPr>
          <w:rFonts w:ascii="Arial" w:cs="Arial" w:eastAsia="Arial" w:hAnsi="Arial"/>
          <w:sz w:val="12"/>
          <w:szCs w:val="12"/>
          <w:i w:val="1"/>
          <w:iCs w:val="1"/>
          <w:color w:val="auto"/>
        </w:rPr>
        <w:t xml:space="preserve"> </w:t>
      </w:r>
      <w:r>
        <w:rPr>
          <w:rFonts w:ascii="Arial" w:cs="Arial" w:eastAsia="Arial" w:hAnsi="Arial"/>
          <w:sz w:val="12"/>
          <w:szCs w:val="12"/>
          <w:color w:val="auto"/>
        </w:rPr>
        <w:t>Agent, did not, does not and will not include any information that conflicted, conflicts or will conflict with the information contained in the Registration Statement or the Prospectus including any document incorporated by reference therein and any prospectus supplement deemed to be a part thereof that has not been superseded or modified; provided, that the Company makes no representations or warranty in this paragraph with respect to any Placement Agent Information.</w:t>
      </w:r>
    </w:p>
    <w:p>
      <w:pPr>
        <w:spacing w:after="0" w:line="125" w:lineRule="exact"/>
        <w:rPr>
          <w:rFonts w:ascii="Arial" w:cs="Arial" w:eastAsia="Arial" w:hAnsi="Arial"/>
          <w:sz w:val="12"/>
          <w:szCs w:val="12"/>
          <w:color w:val="auto"/>
        </w:rPr>
      </w:pPr>
    </w:p>
    <w:p>
      <w:pPr>
        <w:jc w:val="both"/>
        <w:ind w:left="-424" w:firstLine="424"/>
        <w:spacing w:after="0" w:line="290" w:lineRule="auto"/>
        <w:tabs>
          <w:tab w:leader="none" w:pos="496" w:val="left"/>
        </w:tabs>
        <w:numPr>
          <w:ilvl w:val="0"/>
          <w:numId w:val="83"/>
        </w:numPr>
        <w:rPr>
          <w:rFonts w:ascii="Arial" w:cs="Arial" w:eastAsia="Arial" w:hAnsi="Arial"/>
          <w:sz w:val="11"/>
          <w:szCs w:val="11"/>
          <w:color w:val="auto"/>
        </w:rPr>
      </w:pPr>
      <w:r>
        <w:rPr>
          <w:rFonts w:ascii="Arial" w:cs="Arial" w:eastAsia="Arial" w:hAnsi="Arial"/>
          <w:sz w:val="11"/>
          <w:szCs w:val="11"/>
          <w:i w:val="1"/>
          <w:iCs w:val="1"/>
          <w:color w:val="auto"/>
        </w:rPr>
        <w:t xml:space="preserve">Additional Materials. </w:t>
      </w:r>
      <w:r>
        <w:rPr>
          <w:rFonts w:ascii="Arial" w:cs="Arial" w:eastAsia="Arial" w:hAnsi="Arial"/>
          <w:sz w:val="11"/>
          <w:szCs w:val="11"/>
          <w:color w:val="auto"/>
        </w:rPr>
        <w:t>The Company will as promptly as practicable deliver to the Placement Agent complete conformed copies of the Registration Statement and of each consent and certificate of experts, as applicable,</w:t>
      </w:r>
      <w:r>
        <w:rPr>
          <w:rFonts w:ascii="Arial" w:cs="Arial" w:eastAsia="Arial" w:hAnsi="Arial"/>
          <w:sz w:val="11"/>
          <w:szCs w:val="11"/>
          <w:i w:val="1"/>
          <w:iCs w:val="1"/>
          <w:color w:val="auto"/>
        </w:rPr>
        <w:t xml:space="preserve"> </w:t>
      </w:r>
      <w:r>
        <w:rPr>
          <w:rFonts w:ascii="Arial" w:cs="Arial" w:eastAsia="Arial" w:hAnsi="Arial"/>
          <w:sz w:val="11"/>
          <w:szCs w:val="11"/>
          <w:color w:val="auto"/>
        </w:rPr>
        <w:t>filed as a part thereof, and conformed copies of the Registration Statement (without exhibits), the Disclosure Documents, as amended or supplemented, in such quantities and at such places as the Placement Agent reasonably requests. Neither the Company nor any of its directors and officers has distributed and none of them will distribute, prior to the Closing Date, any offering material in connection with the offering and sale of the Securities other than the Preliminary Prospectus, the Pricing Prospectus, any Free Writing Prospectus, the Registration Statement, copies of the documents incorporated by reference therein and any other materials permitted by the Securities Act.</w:t>
      </w:r>
    </w:p>
    <w:p>
      <w:pPr>
        <w:spacing w:after="0" w:line="109" w:lineRule="exact"/>
        <w:rPr>
          <w:rFonts w:ascii="Arial" w:cs="Arial" w:eastAsia="Arial" w:hAnsi="Arial"/>
          <w:sz w:val="11"/>
          <w:szCs w:val="11"/>
          <w:color w:val="auto"/>
        </w:rPr>
      </w:pPr>
    </w:p>
    <w:p>
      <w:pPr>
        <w:ind w:left="556" w:hanging="424"/>
        <w:spacing w:after="0"/>
        <w:tabs>
          <w:tab w:leader="none" w:pos="556" w:val="left"/>
        </w:tabs>
        <w:numPr>
          <w:ilvl w:val="1"/>
          <w:numId w:val="83"/>
        </w:numPr>
        <w:rPr>
          <w:rFonts w:ascii="Arial" w:cs="Arial" w:eastAsia="Arial" w:hAnsi="Arial"/>
          <w:sz w:val="12"/>
          <w:szCs w:val="12"/>
          <w:color w:val="auto"/>
        </w:rPr>
      </w:pPr>
      <w:r>
        <w:rPr>
          <w:rFonts w:ascii="Arial" w:cs="Arial" w:eastAsia="Arial" w:hAnsi="Arial"/>
          <w:sz w:val="12"/>
          <w:szCs w:val="12"/>
          <w:i w:val="1"/>
          <w:iCs w:val="1"/>
          <w:color w:val="auto"/>
        </w:rPr>
        <w:t>Preliminary Prospectus</w:t>
      </w:r>
      <w:r>
        <w:rPr>
          <w:rFonts w:ascii="Arial" w:cs="Arial" w:eastAsia="Arial" w:hAnsi="Arial"/>
          <w:sz w:val="12"/>
          <w:szCs w:val="12"/>
          <w:color w:val="auto"/>
        </w:rPr>
        <w:t>. The Company shall not use any Preliminary Prospectus (any prospectus prior to effectiveness of the Registration Statement) to offer or sell Securities.</w:t>
      </w:r>
    </w:p>
    <w:p>
      <w:pPr>
        <w:spacing w:after="0" w:line="150" w:lineRule="exact"/>
        <w:rPr>
          <w:rFonts w:ascii="Arial" w:cs="Arial" w:eastAsia="Arial" w:hAnsi="Arial"/>
          <w:sz w:val="12"/>
          <w:szCs w:val="12"/>
          <w:color w:val="auto"/>
        </w:rPr>
      </w:pPr>
    </w:p>
    <w:p>
      <w:pPr>
        <w:ind w:left="556" w:hanging="424"/>
        <w:spacing w:after="0"/>
        <w:tabs>
          <w:tab w:leader="none" w:pos="556" w:val="left"/>
        </w:tabs>
        <w:numPr>
          <w:ilvl w:val="1"/>
          <w:numId w:val="83"/>
        </w:numPr>
        <w:rPr>
          <w:rFonts w:ascii="Arial" w:cs="Arial" w:eastAsia="Arial" w:hAnsi="Arial"/>
          <w:sz w:val="11"/>
          <w:szCs w:val="11"/>
          <w:color w:val="auto"/>
        </w:rPr>
      </w:pPr>
      <w:r>
        <w:rPr>
          <w:rFonts w:ascii="Arial" w:cs="Arial" w:eastAsia="Arial" w:hAnsi="Arial"/>
          <w:sz w:val="11"/>
          <w:szCs w:val="11"/>
          <w:i w:val="1"/>
          <w:iCs w:val="1"/>
          <w:color w:val="auto"/>
        </w:rPr>
        <w:t>Ineligible Issuer</w:t>
      </w:r>
      <w:r>
        <w:rPr>
          <w:rFonts w:ascii="Arial" w:cs="Arial" w:eastAsia="Arial" w:hAnsi="Arial"/>
          <w:sz w:val="11"/>
          <w:szCs w:val="11"/>
          <w:color w:val="auto"/>
        </w:rPr>
        <w:t>. (1) At the time of filing the Registration Statement and (2) at the date hereof and at such Closing Date, the Company was an “ineligible issuer,” as defined in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287655</wp:posOffset>
            </wp:positionV>
            <wp:extent cx="7299325" cy="18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56"/>
          </w:cols>
          <w:pgMar w:left="644" w:top="392" w:right="199" w:bottom="1440" w:gutter="0" w:footer="0" w:header="0"/>
        </w:sectPr>
      </w:pPr>
    </w:p>
    <w:bookmarkStart w:id="181" w:name="page182"/>
    <w:bookmarkEnd w:id="181"/>
    <w:p>
      <w:pPr>
        <w:jc w:val="both"/>
        <w:ind w:left="-432" w:firstLine="432"/>
        <w:spacing w:after="0" w:line="254" w:lineRule="auto"/>
        <w:tabs>
          <w:tab w:leader="none" w:pos="458" w:val="left"/>
        </w:tabs>
        <w:numPr>
          <w:ilvl w:val="0"/>
          <w:numId w:val="84"/>
        </w:numPr>
        <w:rPr>
          <w:rFonts w:ascii="Arial" w:cs="Arial" w:eastAsia="Arial" w:hAnsi="Arial"/>
          <w:sz w:val="12"/>
          <w:szCs w:val="12"/>
          <w:color w:val="auto"/>
        </w:rPr>
      </w:pPr>
      <w:r>
        <w:rPr>
          <w:rFonts w:ascii="Arial" w:cs="Arial" w:eastAsia="Arial" w:hAnsi="Arial"/>
          <w:sz w:val="12"/>
          <w:szCs w:val="12"/>
          <w:i w:val="1"/>
          <w:iCs w:val="1"/>
          <w:color w:val="auto"/>
        </w:rPr>
        <w:t>Due Incorporation</w:t>
      </w:r>
      <w:r>
        <w:rPr>
          <w:rFonts w:ascii="Arial" w:cs="Arial" w:eastAsia="Arial" w:hAnsi="Arial"/>
          <w:sz w:val="12"/>
          <w:szCs w:val="12"/>
          <w:color w:val="auto"/>
        </w:rPr>
        <w:t>. The Company has been duly incorporated or organized, is validly existing as a corporation or other legal entity in good standing (or the foreign equivalent thereof) under the laws of the jurisdiction</w:t>
      </w:r>
      <w:r>
        <w:rPr>
          <w:rFonts w:ascii="Arial" w:cs="Arial" w:eastAsia="Arial" w:hAnsi="Arial"/>
          <w:sz w:val="12"/>
          <w:szCs w:val="12"/>
          <w:i w:val="1"/>
          <w:iCs w:val="1"/>
          <w:color w:val="auto"/>
        </w:rPr>
        <w:t xml:space="preserve"> </w:t>
      </w:r>
      <w:r>
        <w:rPr>
          <w:rFonts w:ascii="Arial" w:cs="Arial" w:eastAsia="Arial" w:hAnsi="Arial"/>
          <w:sz w:val="12"/>
          <w:szCs w:val="12"/>
          <w:color w:val="auto"/>
        </w:rPr>
        <w:t>of its incorporation or organization, with the corporate power and authority to own its properties and to conduct its business as currently being carried on and as described in the Registration Statement and the Disclosure Documents. The Company is duly qualified to transact business as a foreign corporation and is in good standing under the laws of each other jurisdiction in which its ownership or leasing of property or the conduct of its business requires such qualification, except where the failure to be so qualified and in good standing would not, individually or in the aggregate, result in any material adverse effect upon, or material adverse change in, the business, properties, prospects, condition (financial or otherwise), or results of operations of the Company and the Subsidiaries (as defined below) taken as a whole (a “</w:t>
      </w:r>
      <w:r>
        <w:rPr>
          <w:rFonts w:ascii="Arial" w:cs="Arial" w:eastAsia="Arial" w:hAnsi="Arial"/>
          <w:sz w:val="12"/>
          <w:szCs w:val="12"/>
          <w:i w:val="1"/>
          <w:iCs w:val="1"/>
          <w:color w:val="auto"/>
        </w:rPr>
        <w:t>Material Adverse Effect</w:t>
      </w:r>
      <w:r>
        <w:rPr>
          <w:rFonts w:ascii="Arial" w:cs="Arial" w:eastAsia="Arial" w:hAnsi="Arial"/>
          <w:sz w:val="12"/>
          <w:szCs w:val="12"/>
          <w:color w:val="auto"/>
        </w:rPr>
        <w:t>”). For the purpose of this Agreement, the terms Material Adverse Effect or material adverse change shall not include any such effects resulting, directly or indirectly, from the filing of the Pricing Prospectus with respect to the Securities and the Offering, or the performance of the transactions contemplated by or pursuant to, this Agreement or the Subscription Agreements.</w:t>
      </w:r>
    </w:p>
    <w:p>
      <w:pPr>
        <w:spacing w:after="0" w:line="148" w:lineRule="exact"/>
        <w:rPr>
          <w:rFonts w:ascii="Arial" w:cs="Arial" w:eastAsia="Arial" w:hAnsi="Arial"/>
          <w:sz w:val="12"/>
          <w:szCs w:val="12"/>
          <w:color w:val="auto"/>
        </w:rPr>
      </w:pPr>
    </w:p>
    <w:p>
      <w:pPr>
        <w:jc w:val="both"/>
        <w:ind w:left="-432" w:firstLine="432"/>
        <w:spacing w:after="0" w:line="283" w:lineRule="auto"/>
        <w:tabs>
          <w:tab w:leader="none" w:pos="530" w:val="left"/>
        </w:tabs>
        <w:numPr>
          <w:ilvl w:val="0"/>
          <w:numId w:val="84"/>
        </w:numPr>
        <w:rPr>
          <w:rFonts w:ascii="Arial" w:cs="Arial" w:eastAsia="Arial" w:hAnsi="Arial"/>
          <w:sz w:val="11"/>
          <w:szCs w:val="11"/>
          <w:color w:val="auto"/>
        </w:rPr>
      </w:pPr>
      <w:r>
        <w:rPr>
          <w:rFonts w:ascii="Arial" w:cs="Arial" w:eastAsia="Arial" w:hAnsi="Arial"/>
          <w:sz w:val="11"/>
          <w:szCs w:val="11"/>
          <w:i w:val="1"/>
          <w:iCs w:val="1"/>
          <w:color w:val="auto"/>
        </w:rPr>
        <w:t>Subsidiaries</w:t>
      </w:r>
      <w:r>
        <w:rPr>
          <w:rFonts w:ascii="Arial" w:cs="Arial" w:eastAsia="Arial" w:hAnsi="Arial"/>
          <w:sz w:val="11"/>
          <w:szCs w:val="11"/>
          <w:color w:val="auto"/>
        </w:rPr>
        <w:t>. The Company’s wholly-owned subsidiaries, VistaGen Therapeutics, Inc., a California corporation (“</w:t>
      </w:r>
      <w:r>
        <w:rPr>
          <w:rFonts w:ascii="Arial" w:cs="Arial" w:eastAsia="Arial" w:hAnsi="Arial"/>
          <w:sz w:val="11"/>
          <w:szCs w:val="11"/>
          <w:i w:val="1"/>
          <w:iCs w:val="1"/>
          <w:color w:val="auto"/>
        </w:rPr>
        <w:t>VistaGen California</w:t>
      </w:r>
      <w:r>
        <w:rPr>
          <w:rFonts w:ascii="Arial" w:cs="Arial" w:eastAsia="Arial" w:hAnsi="Arial"/>
          <w:sz w:val="11"/>
          <w:szCs w:val="11"/>
          <w:color w:val="auto"/>
        </w:rPr>
        <w:t>”), VistaStem Canada, Inc. (“</w:t>
      </w:r>
      <w:r>
        <w:rPr>
          <w:rFonts w:ascii="Arial" w:cs="Arial" w:eastAsia="Arial" w:hAnsi="Arial"/>
          <w:sz w:val="11"/>
          <w:szCs w:val="11"/>
          <w:i w:val="1"/>
          <w:iCs w:val="1"/>
          <w:color w:val="auto"/>
        </w:rPr>
        <w:t>VistaStem</w:t>
      </w:r>
      <w:r>
        <w:rPr>
          <w:rFonts w:ascii="Arial" w:cs="Arial" w:eastAsia="Arial" w:hAnsi="Arial"/>
          <w:sz w:val="11"/>
          <w:szCs w:val="11"/>
          <w:color w:val="auto"/>
        </w:rPr>
        <w:t>”), a corporation organized and existing</w:t>
      </w:r>
      <w:r>
        <w:rPr>
          <w:rFonts w:ascii="Arial" w:cs="Arial" w:eastAsia="Arial" w:hAnsi="Arial"/>
          <w:sz w:val="11"/>
          <w:szCs w:val="11"/>
          <w:i w:val="1"/>
          <w:iCs w:val="1"/>
          <w:color w:val="auto"/>
        </w:rPr>
        <w:t xml:space="preserve"> </w:t>
      </w:r>
      <w:r>
        <w:rPr>
          <w:rFonts w:ascii="Arial" w:cs="Arial" w:eastAsia="Arial" w:hAnsi="Arial"/>
          <w:sz w:val="11"/>
          <w:szCs w:val="11"/>
          <w:color w:val="auto"/>
        </w:rPr>
        <w:t>under the laws of Ontario Canada, and Artemis Neuroscience, Inc. (“</w:t>
      </w:r>
      <w:r>
        <w:rPr>
          <w:rFonts w:ascii="Arial" w:cs="Arial" w:eastAsia="Arial" w:hAnsi="Arial"/>
          <w:sz w:val="11"/>
          <w:szCs w:val="11"/>
          <w:i w:val="1"/>
          <w:iCs w:val="1"/>
          <w:color w:val="auto"/>
        </w:rPr>
        <w:t>Artemis</w:t>
      </w:r>
      <w:r>
        <w:rPr>
          <w:rFonts w:ascii="Arial" w:cs="Arial" w:eastAsia="Arial" w:hAnsi="Arial"/>
          <w:sz w:val="11"/>
          <w:szCs w:val="11"/>
          <w:color w:val="auto"/>
        </w:rPr>
        <w:t>”), a Maryland corporation (collectively, the “</w:t>
      </w:r>
      <w:r>
        <w:rPr>
          <w:rFonts w:ascii="Arial" w:cs="Arial" w:eastAsia="Arial" w:hAnsi="Arial"/>
          <w:sz w:val="11"/>
          <w:szCs w:val="11"/>
          <w:i w:val="1"/>
          <w:iCs w:val="1"/>
          <w:color w:val="auto"/>
        </w:rPr>
        <w:t>Subsidiaries</w:t>
      </w:r>
      <w:r>
        <w:rPr>
          <w:rFonts w:ascii="Arial" w:cs="Arial" w:eastAsia="Arial" w:hAnsi="Arial"/>
          <w:sz w:val="11"/>
          <w:szCs w:val="11"/>
          <w:color w:val="auto"/>
        </w:rPr>
        <w:t>”), are the only direct or indirect subsidiaries of the Company. The Subsidiaries are duly organized and in good standing under the laws of its place of organization or incorporation, and are in good standing in each jurisdiction in which its ownership or lease of property or the conduct of business requires such qualification, except where the failure to qualify would not have a material adverse effect on the assets, business or operations of the Company taken as a whole. The Company owns 100% of the issued and outstanding capital stock of VistaGen California, and VistaGen California owns 100% of the issued and outstanding capital stock of each of VistaStem and Artemis, in each case free and clear of any liens, claims, encumbrances or security interests except as set forth in the Registration Statement and the Disclosure Documents, and all of such capital stock has been duly authorized and validly issued and is fully paid and non-assessable.</w:t>
      </w:r>
    </w:p>
    <w:p>
      <w:pPr>
        <w:spacing w:after="0" w:line="131" w:lineRule="exact"/>
        <w:rPr>
          <w:rFonts w:ascii="Arial" w:cs="Arial" w:eastAsia="Arial" w:hAnsi="Arial"/>
          <w:sz w:val="11"/>
          <w:szCs w:val="11"/>
          <w:color w:val="auto"/>
        </w:rPr>
      </w:pPr>
    </w:p>
    <w:p>
      <w:pPr>
        <w:jc w:val="both"/>
        <w:ind w:left="-432" w:firstLine="432"/>
        <w:spacing w:after="0" w:line="281" w:lineRule="auto"/>
        <w:tabs>
          <w:tab w:leader="none" w:pos="458" w:val="left"/>
        </w:tabs>
        <w:numPr>
          <w:ilvl w:val="0"/>
          <w:numId w:val="84"/>
        </w:numPr>
        <w:rPr>
          <w:rFonts w:ascii="Arial" w:cs="Arial" w:eastAsia="Arial" w:hAnsi="Arial"/>
          <w:sz w:val="11"/>
          <w:szCs w:val="11"/>
          <w:color w:val="auto"/>
        </w:rPr>
      </w:pPr>
      <w:r>
        <w:rPr>
          <w:rFonts w:ascii="Arial" w:cs="Arial" w:eastAsia="Arial" w:hAnsi="Arial"/>
          <w:sz w:val="11"/>
          <w:szCs w:val="11"/>
          <w:i w:val="1"/>
          <w:iCs w:val="1"/>
          <w:color w:val="auto"/>
        </w:rPr>
        <w:t>Capitalization</w:t>
      </w:r>
      <w:r>
        <w:rPr>
          <w:rFonts w:ascii="Arial" w:cs="Arial" w:eastAsia="Arial" w:hAnsi="Arial"/>
          <w:sz w:val="11"/>
          <w:szCs w:val="11"/>
          <w:color w:val="auto"/>
        </w:rPr>
        <w:t>. The Company has duly and validly authorized capital stock as set forth in each of the Registration Statement and Disclosure Documents; all outstanding securities of the Company have been issued in</w:t>
      </w:r>
      <w:r>
        <w:rPr>
          <w:rFonts w:ascii="Arial" w:cs="Arial" w:eastAsia="Arial" w:hAnsi="Arial"/>
          <w:sz w:val="11"/>
          <w:szCs w:val="11"/>
          <w:i w:val="1"/>
          <w:iCs w:val="1"/>
          <w:color w:val="auto"/>
        </w:rPr>
        <w:t xml:space="preserve"> </w:t>
      </w:r>
      <w:r>
        <w:rPr>
          <w:rFonts w:ascii="Arial" w:cs="Arial" w:eastAsia="Arial" w:hAnsi="Arial"/>
          <w:sz w:val="11"/>
          <w:szCs w:val="11"/>
          <w:color w:val="auto"/>
        </w:rPr>
        <w:t>compliance with federal and state securities laws and conform, or when issued will conform, to the description thereof in the Registration Statement and the Disclosure Documents; and the Securities have been, or, when issued and paid for in the manner described herein will be, duly authorized, validly issued, fully paid and non-assessable and issued in compliance with federal and state securities laws, and the shares of Common Stock issuable upon exercise of the Warrants have been, or when issued upon exercise of the Warrants will be, duly authorized, validly issued, fully paid and non-assessable and will be issued in compliance with federal and state securities laws; and except as disclosed in the Registration Statement and the Disclosure Documents, the issuance of the Securities to be purchased from the Company hereunder and the issuance of the Common Stock upon exercise thereof is not subject to preemptive or other rights to subscribe for or to purchase or acquire any securities of any of the Company, or other similar rights, or any restriction upon the voting or transfer thereof pursuant to applicable law or the Company’s Articles of Incorporation (as the same may be amended or restated from time to time prior to such Closing Date, the “</w:t>
      </w:r>
      <w:r>
        <w:rPr>
          <w:rFonts w:ascii="Arial" w:cs="Arial" w:eastAsia="Arial" w:hAnsi="Arial"/>
          <w:sz w:val="11"/>
          <w:szCs w:val="11"/>
          <w:i w:val="1"/>
          <w:iCs w:val="1"/>
          <w:color w:val="auto"/>
        </w:rPr>
        <w:t>Charter</w:t>
      </w:r>
      <w:r>
        <w:rPr>
          <w:rFonts w:ascii="Arial" w:cs="Arial" w:eastAsia="Arial" w:hAnsi="Arial"/>
          <w:sz w:val="11"/>
          <w:szCs w:val="11"/>
          <w:color w:val="auto"/>
        </w:rPr>
        <w:t>”), Bylaws, or governing documents or any agreement to which the Company is a party or by which it may be bound.</w:t>
      </w:r>
    </w:p>
    <w:p>
      <w:pPr>
        <w:spacing w:after="0" w:line="134" w:lineRule="exact"/>
        <w:rPr>
          <w:rFonts w:ascii="Arial" w:cs="Arial" w:eastAsia="Arial" w:hAnsi="Arial"/>
          <w:sz w:val="11"/>
          <w:szCs w:val="11"/>
          <w:color w:val="auto"/>
        </w:rPr>
      </w:pPr>
    </w:p>
    <w:p>
      <w:pPr>
        <w:ind w:left="408" w:hanging="408"/>
        <w:spacing w:after="0"/>
        <w:tabs>
          <w:tab w:leader="none" w:pos="408" w:val="left"/>
        </w:tabs>
        <w:numPr>
          <w:ilvl w:val="0"/>
          <w:numId w:val="84"/>
        </w:numPr>
        <w:rPr>
          <w:rFonts w:ascii="Arial" w:cs="Arial" w:eastAsia="Arial" w:hAnsi="Arial"/>
          <w:sz w:val="12"/>
          <w:szCs w:val="12"/>
          <w:color w:val="auto"/>
        </w:rPr>
      </w:pPr>
      <w:r>
        <w:rPr>
          <w:rFonts w:ascii="Arial" w:cs="Arial" w:eastAsia="Arial" w:hAnsi="Arial"/>
          <w:sz w:val="12"/>
          <w:szCs w:val="12"/>
          <w:i w:val="1"/>
          <w:iCs w:val="1"/>
          <w:color w:val="auto"/>
        </w:rPr>
        <w:t>Intentionally Omitted</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280670</wp:posOffset>
            </wp:positionV>
            <wp:extent cx="7299325" cy="18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392" w:right="199" w:bottom="1440" w:gutter="0" w:footer="0" w:header="0"/>
        </w:sectPr>
      </w:pPr>
    </w:p>
    <w:bookmarkStart w:id="182" w:name="page183"/>
    <w:bookmarkEnd w:id="182"/>
    <w:p>
      <w:pPr>
        <w:jc w:val="both"/>
        <w:ind w:left="-432" w:firstLine="432"/>
        <w:spacing w:after="0" w:line="279" w:lineRule="auto"/>
        <w:tabs>
          <w:tab w:leader="none" w:pos="476" w:val="left"/>
        </w:tabs>
        <w:numPr>
          <w:ilvl w:val="0"/>
          <w:numId w:val="85"/>
        </w:numPr>
        <w:rPr>
          <w:rFonts w:ascii="Arial" w:cs="Arial" w:eastAsia="Arial" w:hAnsi="Arial"/>
          <w:sz w:val="11"/>
          <w:szCs w:val="11"/>
          <w:color w:val="auto"/>
        </w:rPr>
      </w:pPr>
      <w:r>
        <w:rPr>
          <w:rFonts w:ascii="Arial" w:cs="Arial" w:eastAsia="Arial" w:hAnsi="Arial"/>
          <w:sz w:val="11"/>
          <w:szCs w:val="11"/>
          <w:i w:val="1"/>
          <w:iCs w:val="1"/>
          <w:color w:val="auto"/>
        </w:rPr>
        <w:t>Authorization, Issuance</w:t>
      </w:r>
      <w:r>
        <w:rPr>
          <w:rFonts w:ascii="Arial" w:cs="Arial" w:eastAsia="Arial" w:hAnsi="Arial"/>
          <w:sz w:val="11"/>
          <w:szCs w:val="11"/>
          <w:color w:val="auto"/>
        </w:rPr>
        <w:t>. All corporate action required to be taken by the Company for the authorization, issuance and sale of the Securities (including the shares of Common Stock issuable upon exercise thereof) has</w:t>
      </w:r>
      <w:r>
        <w:rPr>
          <w:rFonts w:ascii="Arial" w:cs="Arial" w:eastAsia="Arial" w:hAnsi="Arial"/>
          <w:sz w:val="11"/>
          <w:szCs w:val="11"/>
          <w:i w:val="1"/>
          <w:iCs w:val="1"/>
          <w:color w:val="auto"/>
        </w:rPr>
        <w:t xml:space="preserve"> </w:t>
      </w:r>
      <w:r>
        <w:rPr>
          <w:rFonts w:ascii="Arial" w:cs="Arial" w:eastAsia="Arial" w:hAnsi="Arial"/>
          <w:sz w:val="11"/>
          <w:szCs w:val="11"/>
          <w:color w:val="auto"/>
        </w:rPr>
        <w:t>been duly and validly taken. When the Securities have been issued and delivered against payment therefor as provided herein, the Securities, when so issued and sold, will be duly and validly issued, fully paid and non-assessable and the Investors or other persons in whose names Securities are registered will acquire good and valid title to such Securities free and clear of all liens, encumbrances, equities, preemptive rights and other claims. When the shares of Common Stock issuable upon exercise of the Warrants have been issued and delivered upon exercise thereof, the shares of Common Stock, when so issued, will be duly and validly issued, fully paid and non-assessable and the Investors or other persons in whose names such shares of Common Stock are registered will acquire good and valid title to such shares of Common Stock free and clear of all liens, encumbrances, equities, preemptive rights and other claims. The Securities and shares of Common Stock issuable upon exercise thereof will conform in all material respects to the description thereof contained in the Registration Statement and the Disclosure Documents. No further approval or authority of the shareholders or the Board of Directors of the Company will be required for the issuance and sale of the Securities (including the shares of Common Stock issuable upon exercise thereof) as contemplated herein and in the Subscription Agreements. Except as disclosed in the Disclosure Documents, there are no outstanding subscriptions, rights, warrants, options, calls, convertible securities, commitments of sale or rights related to or entitling any person to purchase or otherwise to acquire any Securities of, or any security convertible into or exchangeable or exercisable for, the capital stock of, or other ownership interest in, the Company, except for such options or rights as may have been granted by the Company to employees, directors or consultants pursuant to its stock option or stock purchase plans.</w:t>
      </w:r>
    </w:p>
    <w:p>
      <w:pPr>
        <w:spacing w:after="0" w:line="132" w:lineRule="exact"/>
        <w:rPr>
          <w:rFonts w:ascii="Arial" w:cs="Arial" w:eastAsia="Arial" w:hAnsi="Arial"/>
          <w:sz w:val="11"/>
          <w:szCs w:val="11"/>
          <w:color w:val="auto"/>
        </w:rPr>
      </w:pPr>
    </w:p>
    <w:p>
      <w:pPr>
        <w:ind w:left="-432" w:right="20" w:firstLine="432"/>
        <w:spacing w:after="0" w:line="276" w:lineRule="auto"/>
        <w:tabs>
          <w:tab w:leader="none" w:pos="440" w:val="left"/>
        </w:tabs>
        <w:numPr>
          <w:ilvl w:val="0"/>
          <w:numId w:val="85"/>
        </w:numPr>
        <w:rPr>
          <w:rFonts w:ascii="Arial" w:cs="Arial" w:eastAsia="Arial" w:hAnsi="Arial"/>
          <w:sz w:val="12"/>
          <w:szCs w:val="12"/>
          <w:color w:val="auto"/>
        </w:rPr>
      </w:pPr>
      <w:r>
        <w:rPr>
          <w:rFonts w:ascii="Arial" w:cs="Arial" w:eastAsia="Arial" w:hAnsi="Arial"/>
          <w:sz w:val="12"/>
          <w:szCs w:val="12"/>
          <w:i w:val="1"/>
          <w:iCs w:val="1"/>
          <w:color w:val="auto"/>
        </w:rPr>
        <w:t>No Registration Rights</w:t>
      </w:r>
      <w:r>
        <w:rPr>
          <w:rFonts w:ascii="Arial" w:cs="Arial" w:eastAsia="Arial" w:hAnsi="Arial"/>
          <w:sz w:val="12"/>
          <w:szCs w:val="12"/>
          <w:color w:val="auto"/>
        </w:rPr>
        <w:t>. Neither the filing of the Registration Statement nor the offering or sale of the Securities as contemplated by this Agreement gives rise to any rights, other than those which have been waived or</w:t>
      </w:r>
      <w:r>
        <w:rPr>
          <w:rFonts w:ascii="Arial" w:cs="Arial" w:eastAsia="Arial" w:hAnsi="Arial"/>
          <w:sz w:val="12"/>
          <w:szCs w:val="12"/>
          <w:i w:val="1"/>
          <w:iCs w:val="1"/>
          <w:color w:val="auto"/>
        </w:rPr>
        <w:t xml:space="preserve"> </w:t>
      </w:r>
      <w:r>
        <w:rPr>
          <w:rFonts w:ascii="Arial" w:cs="Arial" w:eastAsia="Arial" w:hAnsi="Arial"/>
          <w:sz w:val="12"/>
          <w:szCs w:val="12"/>
          <w:color w:val="auto"/>
        </w:rPr>
        <w:t>satisfied, for or relating to the registration of any Securities or other securities of the Company.</w:t>
      </w:r>
    </w:p>
    <w:p>
      <w:pPr>
        <w:spacing w:after="0" w:line="132" w:lineRule="exact"/>
        <w:rPr>
          <w:rFonts w:ascii="Arial" w:cs="Arial" w:eastAsia="Arial" w:hAnsi="Arial"/>
          <w:sz w:val="12"/>
          <w:szCs w:val="12"/>
          <w:color w:val="auto"/>
        </w:rPr>
      </w:pPr>
    </w:p>
    <w:p>
      <w:pPr>
        <w:jc w:val="both"/>
        <w:ind w:left="-432" w:firstLine="432"/>
        <w:spacing w:after="0" w:line="263" w:lineRule="auto"/>
        <w:tabs>
          <w:tab w:leader="none" w:pos="491" w:val="left"/>
        </w:tabs>
        <w:numPr>
          <w:ilvl w:val="0"/>
          <w:numId w:val="85"/>
        </w:numPr>
        <w:rPr>
          <w:rFonts w:ascii="Arial" w:cs="Arial" w:eastAsia="Arial" w:hAnsi="Arial"/>
          <w:sz w:val="12"/>
          <w:szCs w:val="12"/>
          <w:color w:val="auto"/>
        </w:rPr>
      </w:pPr>
      <w:r>
        <w:rPr>
          <w:rFonts w:ascii="Arial" w:cs="Arial" w:eastAsia="Arial" w:hAnsi="Arial"/>
          <w:sz w:val="12"/>
          <w:szCs w:val="12"/>
          <w:i w:val="1"/>
          <w:iCs w:val="1"/>
          <w:color w:val="auto"/>
        </w:rPr>
        <w:t>Due Authorization and Enforceability</w:t>
      </w:r>
      <w:r>
        <w:rPr>
          <w:rFonts w:ascii="Arial" w:cs="Arial" w:eastAsia="Arial" w:hAnsi="Arial"/>
          <w:sz w:val="12"/>
          <w:szCs w:val="12"/>
          <w:color w:val="auto"/>
        </w:rPr>
        <w:t>. This Agreement and each Subscription Agreement have been duly authorized, executed and delivered by the Company, and each constitutes a valid, legal and binding obligation</w:t>
      </w:r>
      <w:r>
        <w:rPr>
          <w:rFonts w:ascii="Arial" w:cs="Arial" w:eastAsia="Arial" w:hAnsi="Arial"/>
          <w:sz w:val="12"/>
          <w:szCs w:val="12"/>
          <w:i w:val="1"/>
          <w:iCs w:val="1"/>
          <w:color w:val="auto"/>
        </w:rPr>
        <w:t xml:space="preserve"> </w:t>
      </w:r>
      <w:r>
        <w:rPr>
          <w:rFonts w:ascii="Arial" w:cs="Arial" w:eastAsia="Arial" w:hAnsi="Arial"/>
          <w:sz w:val="12"/>
          <w:szCs w:val="12"/>
          <w:color w:val="auto"/>
        </w:rPr>
        <w:t>of the Company, enforceable against the Company in accordance with its terms, except as rights to indemnity hereunder may be limited by federal or state securities laws and except as such enforceability may be limited by applicable bankruptcy, insolvency, reorganization or similar laws affecting the rights of creditors generally and subject to general principles of equity.</w:t>
      </w:r>
    </w:p>
    <w:p>
      <w:pPr>
        <w:spacing w:after="0" w:line="140" w:lineRule="exact"/>
        <w:rPr>
          <w:rFonts w:ascii="Arial" w:cs="Arial" w:eastAsia="Arial" w:hAnsi="Arial"/>
          <w:sz w:val="12"/>
          <w:szCs w:val="12"/>
          <w:color w:val="auto"/>
        </w:rPr>
      </w:pPr>
    </w:p>
    <w:p>
      <w:pPr>
        <w:jc w:val="both"/>
        <w:ind w:left="-432" w:firstLine="432"/>
        <w:spacing w:after="0" w:line="281" w:lineRule="auto"/>
        <w:tabs>
          <w:tab w:leader="none" w:pos="449" w:val="left"/>
        </w:tabs>
        <w:numPr>
          <w:ilvl w:val="0"/>
          <w:numId w:val="85"/>
        </w:numPr>
        <w:rPr>
          <w:rFonts w:ascii="Arial" w:cs="Arial" w:eastAsia="Arial" w:hAnsi="Arial"/>
          <w:sz w:val="11"/>
          <w:szCs w:val="11"/>
          <w:color w:val="auto"/>
        </w:rPr>
      </w:pPr>
      <w:r>
        <w:rPr>
          <w:rFonts w:ascii="Arial" w:cs="Arial" w:eastAsia="Arial" w:hAnsi="Arial"/>
          <w:sz w:val="11"/>
          <w:szCs w:val="11"/>
          <w:i w:val="1"/>
          <w:iCs w:val="1"/>
          <w:color w:val="auto"/>
        </w:rPr>
        <w:t>No Violation</w:t>
      </w:r>
      <w:r>
        <w:rPr>
          <w:rFonts w:ascii="Arial" w:cs="Arial" w:eastAsia="Arial" w:hAnsi="Arial"/>
          <w:sz w:val="11"/>
          <w:szCs w:val="11"/>
          <w:color w:val="auto"/>
        </w:rPr>
        <w:t>. Neither the Company nor any of the Subsidiaries is in breach or violation of or in default (nor has any event occurred which with notice, lapse of time or both would result in any breach or violation of, or</w:t>
      </w:r>
      <w:r>
        <w:rPr>
          <w:rFonts w:ascii="Arial" w:cs="Arial" w:eastAsia="Arial" w:hAnsi="Arial"/>
          <w:sz w:val="11"/>
          <w:szCs w:val="11"/>
          <w:i w:val="1"/>
          <w:iCs w:val="1"/>
          <w:color w:val="auto"/>
        </w:rPr>
        <w:t xml:space="preserve"> </w:t>
      </w:r>
      <w:r>
        <w:rPr>
          <w:rFonts w:ascii="Arial" w:cs="Arial" w:eastAsia="Arial" w:hAnsi="Arial"/>
          <w:sz w:val="11"/>
          <w:szCs w:val="11"/>
          <w:color w:val="auto"/>
        </w:rPr>
        <w:t>constitute a default) (i) under the provisions of the Charter, its Bylaws or other governing documents or (ii) except as set forth in the Registration Statement and the Disclosure Documents, in the performance or observance of any term, covenant, obligation, agreement or condition contained in any indenture, mortgage, deed of trust, bank loan or credit agreement or other evidence of indebtedness, or any license, lease, contract or other agreement or instrument to which the Company or the Subsidiaries is a party or by which any of them or any of their properties may be bound or affected, or (iii) in the performance or observance of any statute, law, rule, regulation, ordinance, judgment, order or decree of any court, regulatory body, administrative agency, governmental body, arbitrator or other authority having jurisdiction over the Company, the Subsidiaries or any of their respective properties (including, without limitation, those administered by the Food and Drug Administration of the U.S. Department of Health and Human Services (the “</w:t>
      </w:r>
      <w:r>
        <w:rPr>
          <w:rFonts w:ascii="Arial" w:cs="Arial" w:eastAsia="Arial" w:hAnsi="Arial"/>
          <w:sz w:val="11"/>
          <w:szCs w:val="11"/>
          <w:i w:val="1"/>
          <w:iCs w:val="1"/>
          <w:color w:val="auto"/>
        </w:rPr>
        <w:t>FDA</w:t>
      </w:r>
      <w:r>
        <w:rPr>
          <w:rFonts w:ascii="Arial" w:cs="Arial" w:eastAsia="Arial" w:hAnsi="Arial"/>
          <w:sz w:val="11"/>
          <w:szCs w:val="11"/>
          <w:color w:val="auto"/>
        </w:rPr>
        <w:t>”) or by any foreign, federal, state or local regulatory authority performing functions similar to those performed by the FDA), except, with respect to clauses (ii) and (iii) above, to the extent any such contravention would not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259080</wp:posOffset>
            </wp:positionV>
            <wp:extent cx="7299325"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392" w:right="199" w:bottom="1440" w:gutter="0" w:footer="0" w:header="0"/>
        </w:sectPr>
      </w:pPr>
    </w:p>
    <w:bookmarkStart w:id="183" w:name="page184"/>
    <w:bookmarkEnd w:id="183"/>
    <w:p>
      <w:pPr>
        <w:jc w:val="both"/>
        <w:ind w:firstLine="432"/>
        <w:spacing w:after="0" w:line="283" w:lineRule="auto"/>
        <w:tabs>
          <w:tab w:leader="none" w:pos="944" w:val="left"/>
        </w:tabs>
        <w:numPr>
          <w:ilvl w:val="1"/>
          <w:numId w:val="86"/>
        </w:numPr>
        <w:rPr>
          <w:rFonts w:ascii="Arial" w:cs="Arial" w:eastAsia="Arial" w:hAnsi="Arial"/>
          <w:sz w:val="11"/>
          <w:szCs w:val="11"/>
          <w:color w:val="auto"/>
        </w:rPr>
      </w:pPr>
      <w:r>
        <w:rPr>
          <w:rFonts w:ascii="Arial" w:cs="Arial" w:eastAsia="Arial" w:hAnsi="Arial"/>
          <w:sz w:val="11"/>
          <w:szCs w:val="11"/>
          <w:i w:val="1"/>
          <w:iCs w:val="1"/>
          <w:color w:val="auto"/>
        </w:rPr>
        <w:t>No Conflict</w:t>
      </w:r>
      <w:r>
        <w:rPr>
          <w:rFonts w:ascii="Arial" w:cs="Arial" w:eastAsia="Arial" w:hAnsi="Arial"/>
          <w:sz w:val="11"/>
          <w:szCs w:val="11"/>
          <w:color w:val="auto"/>
        </w:rPr>
        <w:t>. Except as set forth in the Registration Statement and the Disclosure Documents, the execution, delivery and performance by the Company of this Agreement and each Subscription Agreement and the</w:t>
      </w:r>
      <w:r>
        <w:rPr>
          <w:rFonts w:ascii="Arial" w:cs="Arial" w:eastAsia="Arial" w:hAnsi="Arial"/>
          <w:sz w:val="11"/>
          <w:szCs w:val="11"/>
          <w:i w:val="1"/>
          <w:iCs w:val="1"/>
          <w:color w:val="auto"/>
        </w:rPr>
        <w:t xml:space="preserve"> </w:t>
      </w:r>
      <w:r>
        <w:rPr>
          <w:rFonts w:ascii="Arial" w:cs="Arial" w:eastAsia="Arial" w:hAnsi="Arial"/>
          <w:sz w:val="11"/>
          <w:szCs w:val="11"/>
          <w:color w:val="auto"/>
        </w:rPr>
        <w:t>consummation of the transactions herein contemplated, including the issuance and sale by the Company of the Securities (or the issuance of the shares of Common Stock upon exercise thereof), will not conflict with or result in a breach or violation of, or constitute a default under (nor constitute any event which with notice, lapse of time or both would result in any breach or violation of or constitute a default under) (i) the Charter, Bylaws or other governing documents of the Company or the Subsidiaries, (ii) any material indenture, mortgage, deed of trust, bank loan or credit agreement or other evidence of indebtedness, or any material license, lease, contract or other agreement or instrument to which the Company or the Subsidiaries is a party or by which any of them or any of their respective properties may be bound or affected, or (iii) any federal, state, local or foreign law, regulation or rule or any decree, judgment or order applicable to the Company or the Subsidiaries, except, with respect to clauses (ii) and (iii) above, to the extent any such contravention would not result in a Material Adverse Effect.</w:t>
      </w:r>
    </w:p>
    <w:p>
      <w:pPr>
        <w:spacing w:after="0" w:line="131" w:lineRule="exact"/>
        <w:rPr>
          <w:rFonts w:ascii="Arial" w:cs="Arial" w:eastAsia="Arial" w:hAnsi="Arial"/>
          <w:sz w:val="11"/>
          <w:szCs w:val="11"/>
          <w:color w:val="auto"/>
        </w:rPr>
      </w:pPr>
    </w:p>
    <w:p>
      <w:pPr>
        <w:jc w:val="both"/>
        <w:ind w:firstLine="432"/>
        <w:spacing w:after="0" w:line="286" w:lineRule="auto"/>
        <w:tabs>
          <w:tab w:leader="none" w:pos="899" w:val="left"/>
        </w:tabs>
        <w:numPr>
          <w:ilvl w:val="1"/>
          <w:numId w:val="86"/>
        </w:numPr>
        <w:rPr>
          <w:rFonts w:ascii="Arial" w:cs="Arial" w:eastAsia="Arial" w:hAnsi="Arial"/>
          <w:sz w:val="11"/>
          <w:szCs w:val="11"/>
          <w:color w:val="auto"/>
        </w:rPr>
      </w:pPr>
      <w:r>
        <w:rPr>
          <w:rFonts w:ascii="Arial" w:cs="Arial" w:eastAsia="Arial" w:hAnsi="Arial"/>
          <w:sz w:val="11"/>
          <w:szCs w:val="11"/>
          <w:i w:val="1"/>
          <w:iCs w:val="1"/>
          <w:color w:val="auto"/>
        </w:rPr>
        <w:t>No Consents Required</w:t>
      </w:r>
      <w:r>
        <w:rPr>
          <w:rFonts w:ascii="Arial" w:cs="Arial" w:eastAsia="Arial" w:hAnsi="Arial"/>
          <w:sz w:val="11"/>
          <w:szCs w:val="11"/>
          <w:color w:val="auto"/>
        </w:rPr>
        <w:t>. 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approval of the stockholders of the Company), is required in connection with the issuance and sale of the Securities (or the issuance of the shares of Common Stock upon exercise thereof) or the consummation by the Company of the transactions contemplated hereby other than (i) as may be required under the Securities Act and (ii) under the rules and regulations of the Financial Industry Regulatory Authority (“</w:t>
      </w:r>
      <w:r>
        <w:rPr>
          <w:rFonts w:ascii="Arial" w:cs="Arial" w:eastAsia="Arial" w:hAnsi="Arial"/>
          <w:sz w:val="11"/>
          <w:szCs w:val="11"/>
          <w:i w:val="1"/>
          <w:iCs w:val="1"/>
          <w:color w:val="auto"/>
        </w:rPr>
        <w:t>FINRA</w:t>
      </w:r>
      <w:r>
        <w:rPr>
          <w:rFonts w:ascii="Arial" w:cs="Arial" w:eastAsia="Arial" w:hAnsi="Arial"/>
          <w:sz w:val="11"/>
          <w:szCs w:val="11"/>
          <w:color w:val="auto"/>
        </w:rPr>
        <w:t>”). The Company has full power and authority to enter into this Agreement and each Subscription Agreement and to authorize, issue and sell the Securities (and to authorize and issue the shares of Common Stock issuable upon exercise thereof) as contemplated by this Agreement and each Subscription Agreement.</w:t>
      </w:r>
    </w:p>
    <w:p>
      <w:pPr>
        <w:spacing w:after="0" w:line="129" w:lineRule="exact"/>
        <w:rPr>
          <w:rFonts w:ascii="Arial" w:cs="Arial" w:eastAsia="Arial" w:hAnsi="Arial"/>
          <w:sz w:val="11"/>
          <w:szCs w:val="11"/>
          <w:color w:val="auto"/>
        </w:rPr>
      </w:pPr>
    </w:p>
    <w:p>
      <w:pPr>
        <w:jc w:val="both"/>
        <w:ind w:firstLine="432"/>
        <w:spacing w:after="0" w:line="304" w:lineRule="auto"/>
        <w:tabs>
          <w:tab w:leader="none" w:pos="962" w:val="left"/>
        </w:tabs>
        <w:numPr>
          <w:ilvl w:val="1"/>
          <w:numId w:val="86"/>
        </w:numPr>
        <w:rPr>
          <w:rFonts w:ascii="Arial" w:cs="Arial" w:eastAsia="Arial" w:hAnsi="Arial"/>
          <w:sz w:val="10"/>
          <w:szCs w:val="10"/>
          <w:color w:val="auto"/>
        </w:rPr>
      </w:pPr>
      <w:r>
        <w:rPr>
          <w:rFonts w:ascii="Arial" w:cs="Arial" w:eastAsia="Arial" w:hAnsi="Arial"/>
          <w:sz w:val="10"/>
          <w:szCs w:val="10"/>
          <w:i w:val="1"/>
          <w:iCs w:val="1"/>
          <w:color w:val="auto"/>
        </w:rPr>
        <w:t xml:space="preserve">Absence of Material Changes. </w:t>
      </w:r>
      <w:r>
        <w:rPr>
          <w:rFonts w:ascii="Arial" w:cs="Arial" w:eastAsia="Arial" w:hAnsi="Arial"/>
          <w:sz w:val="10"/>
          <w:szCs w:val="10"/>
          <w:color w:val="auto"/>
        </w:rPr>
        <w:t>Subsequent to the respective dates as of which information is given in the Disclosure Documents, (a) neither the Company nor its Subsidiaries has incurred any material liability or</w:t>
      </w:r>
      <w:r>
        <w:rPr>
          <w:rFonts w:ascii="Arial" w:cs="Arial" w:eastAsia="Arial" w:hAnsi="Arial"/>
          <w:sz w:val="10"/>
          <w:szCs w:val="10"/>
          <w:i w:val="1"/>
          <w:iCs w:val="1"/>
          <w:color w:val="auto"/>
        </w:rPr>
        <w:t xml:space="preserve"> </w:t>
      </w:r>
      <w:r>
        <w:rPr>
          <w:rFonts w:ascii="Arial" w:cs="Arial" w:eastAsia="Arial" w:hAnsi="Arial"/>
          <w:sz w:val="10"/>
          <w:szCs w:val="10"/>
          <w:color w:val="auto"/>
        </w:rPr>
        <w:t>obligation, direct or contingent, or entered into any material transaction not in the ordinary course of business; (b) neither the Company nor its Subsidiaries has purchased any of the Company's outstanding capital stock, or declared, paid or otherwise made any dividend or distribution of any kind on the Company's capital stock; (c) there has not been any change in the capital stock (other than a change in the number of outstanding shares of Common Stock due to the issuance of Common Stock upon the exercise of outstanding options or warrants), or material change in the short−term debt or long-term debt of the Company and its Subsidiaries or any issue of options, warrants, convertible securities or other rights to purchase the capital stock (other than grants of stock options in the ordinary course of business and consistent with past practice under the Company’s stock option plans existing on the date hereof) of the Company, or</w:t>
      </w:r>
    </w:p>
    <w:p>
      <w:pPr>
        <w:spacing w:after="0" w:line="1" w:lineRule="exact"/>
        <w:rPr>
          <w:rFonts w:ascii="Arial" w:cs="Arial" w:eastAsia="Arial" w:hAnsi="Arial"/>
          <w:sz w:val="10"/>
          <w:szCs w:val="10"/>
          <w:color w:val="auto"/>
        </w:rPr>
      </w:pPr>
    </w:p>
    <w:p>
      <w:pPr>
        <w:ind w:right="20"/>
        <w:spacing w:after="0" w:line="261" w:lineRule="auto"/>
        <w:tabs>
          <w:tab w:leader="none" w:pos="175"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there has not been any material adverse change, or any development involving a prospective material adverse change, in the business, properties, prospects, management, financial condition or results of operations of the Company and the Subsidiaries, taken as a whole, from that set forth in the Disclosure Documents (exclusive of any amendments or supplements thereto subsequent to the date of this Agreement).</w:t>
      </w:r>
    </w:p>
    <w:p>
      <w:pPr>
        <w:spacing w:after="0" w:line="141" w:lineRule="exact"/>
        <w:rPr>
          <w:rFonts w:ascii="Arial" w:cs="Arial" w:eastAsia="Arial" w:hAnsi="Arial"/>
          <w:sz w:val="12"/>
          <w:szCs w:val="12"/>
          <w:color w:val="auto"/>
        </w:rPr>
      </w:pPr>
    </w:p>
    <w:p>
      <w:pPr>
        <w:jc w:val="both"/>
        <w:ind w:firstLine="432"/>
        <w:spacing w:after="0" w:line="259" w:lineRule="auto"/>
        <w:tabs>
          <w:tab w:leader="none" w:pos="861" w:val="left"/>
        </w:tabs>
        <w:numPr>
          <w:ilvl w:val="1"/>
          <w:numId w:val="87"/>
        </w:numPr>
        <w:rPr>
          <w:rFonts w:ascii="Arial" w:cs="Arial" w:eastAsia="Arial" w:hAnsi="Arial"/>
          <w:sz w:val="12"/>
          <w:szCs w:val="12"/>
          <w:color w:val="auto"/>
        </w:rPr>
      </w:pPr>
      <w:r>
        <w:rPr>
          <w:rFonts w:ascii="Arial" w:cs="Arial" w:eastAsia="Arial" w:hAnsi="Arial"/>
          <w:sz w:val="12"/>
          <w:szCs w:val="12"/>
          <w:i w:val="1"/>
          <w:iCs w:val="1"/>
          <w:color w:val="auto"/>
        </w:rPr>
        <w:t>Permits</w:t>
      </w:r>
      <w:r>
        <w:rPr>
          <w:rFonts w:ascii="Arial" w:cs="Arial" w:eastAsia="Arial" w:hAnsi="Arial"/>
          <w:sz w:val="12"/>
          <w:szCs w:val="12"/>
          <w:color w:val="auto"/>
        </w:rPr>
        <w:t>. The Company and the Subsidiaries possess all necessary licenses, authorizations, consents and approvals and have made all necessary filings required under any federal, state, local or foreign law, regulation or</w:t>
      </w:r>
      <w:r>
        <w:rPr>
          <w:rFonts w:ascii="Arial" w:cs="Arial" w:eastAsia="Arial" w:hAnsi="Arial"/>
          <w:sz w:val="12"/>
          <w:szCs w:val="12"/>
          <w:i w:val="1"/>
          <w:iCs w:val="1"/>
          <w:color w:val="auto"/>
        </w:rPr>
        <w:t xml:space="preserve"> </w:t>
      </w:r>
      <w:r>
        <w:rPr>
          <w:rFonts w:ascii="Arial" w:cs="Arial" w:eastAsia="Arial" w:hAnsi="Arial"/>
          <w:sz w:val="12"/>
          <w:szCs w:val="12"/>
          <w:color w:val="auto"/>
        </w:rPr>
        <w:t>rule (including, without limitation, those from the FDA and any other foreign, federal, state or local government or regulatory authorities performing functions similar to those performed by the FDA) in order to conduct its business. Neither the Company nor the Subsidiaries is in violation of, or in default under, or has received notice of any proceedings relating to revocation or modification of, any such license, authorization, consent or approval. The Company and the Subsidiaries is in compliance in all material respects with all applicable federal, state, local and foreign laws, regulations, orders or decrees.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264795</wp:posOffset>
            </wp:positionV>
            <wp:extent cx="7299325" cy="1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320" w:top="392" w:right="199" w:bottom="1440" w:gutter="0" w:footer="0" w:header="0"/>
        </w:sectPr>
      </w:pPr>
    </w:p>
    <w:bookmarkStart w:id="184" w:name="page185"/>
    <w:bookmarkEnd w:id="184"/>
    <w:p>
      <w:pPr>
        <w:jc w:val="both"/>
        <w:ind w:left="-432" w:right="20" w:firstLine="432"/>
        <w:spacing w:after="0" w:line="340" w:lineRule="auto"/>
        <w:tabs>
          <w:tab w:leader="none" w:pos="445" w:val="left"/>
        </w:tabs>
        <w:numPr>
          <w:ilvl w:val="0"/>
          <w:numId w:val="88"/>
        </w:numPr>
        <w:rPr>
          <w:rFonts w:ascii="Arial" w:cs="Arial" w:eastAsia="Arial" w:hAnsi="Arial"/>
          <w:sz w:val="10"/>
          <w:szCs w:val="10"/>
          <w:color w:val="auto"/>
        </w:rPr>
      </w:pPr>
      <w:r>
        <w:rPr>
          <w:rFonts w:ascii="Arial" w:cs="Arial" w:eastAsia="Arial" w:hAnsi="Arial"/>
          <w:sz w:val="10"/>
          <w:szCs w:val="10"/>
          <w:i w:val="1"/>
          <w:iCs w:val="1"/>
          <w:color w:val="auto"/>
        </w:rPr>
        <w:t>D&amp;O Questionnaires</w:t>
      </w:r>
      <w:r>
        <w:rPr>
          <w:rFonts w:ascii="Arial" w:cs="Arial" w:eastAsia="Arial" w:hAnsi="Arial"/>
          <w:sz w:val="10"/>
          <w:szCs w:val="10"/>
          <w:color w:val="auto"/>
        </w:rPr>
        <w:t>. To the Company’s knowledge, all information contained in the questionnaires (the “</w:t>
      </w:r>
      <w:r>
        <w:rPr>
          <w:rFonts w:ascii="Arial" w:cs="Arial" w:eastAsia="Arial" w:hAnsi="Arial"/>
          <w:sz w:val="10"/>
          <w:szCs w:val="10"/>
          <w:i w:val="1"/>
          <w:iCs w:val="1"/>
          <w:color w:val="auto"/>
        </w:rPr>
        <w:t>Questionnaires</w:t>
      </w:r>
      <w:r>
        <w:rPr>
          <w:rFonts w:ascii="Arial" w:cs="Arial" w:eastAsia="Arial" w:hAnsi="Arial"/>
          <w:sz w:val="10"/>
          <w:szCs w:val="10"/>
          <w:color w:val="auto"/>
        </w:rPr>
        <w:t>”) completed by each of the Company’s directors and officers immediately prior to the Offering</w:t>
      </w:r>
      <w:r>
        <w:rPr>
          <w:rFonts w:ascii="Arial" w:cs="Arial" w:eastAsia="Arial" w:hAnsi="Arial"/>
          <w:sz w:val="10"/>
          <w:szCs w:val="10"/>
          <w:i w:val="1"/>
          <w:iCs w:val="1"/>
          <w:color w:val="auto"/>
        </w:rPr>
        <w:t xml:space="preserve"> </w:t>
      </w:r>
      <w:r>
        <w:rPr>
          <w:rFonts w:ascii="Arial" w:cs="Arial" w:eastAsia="Arial" w:hAnsi="Arial"/>
          <w:sz w:val="10"/>
          <w:szCs w:val="10"/>
          <w:color w:val="auto"/>
        </w:rPr>
        <w:t>as supplemented by all information concerning the Company’s directors, officers and principal shareholders as described in the Registration Statement and the Disclosure Documents, as well as in the Lock-Up Agreement, provided to the Placement Agent is true and correct in all material respects and the Company has not become aware of any information which would cause the information disclosed in the Questionnaires to become materially inaccurate and incorrect.</w:t>
      </w:r>
    </w:p>
    <w:p>
      <w:pPr>
        <w:spacing w:after="0" w:line="105" w:lineRule="exact"/>
        <w:rPr>
          <w:rFonts w:ascii="Arial" w:cs="Arial" w:eastAsia="Arial" w:hAnsi="Arial"/>
          <w:sz w:val="10"/>
          <w:szCs w:val="10"/>
          <w:color w:val="auto"/>
        </w:rPr>
      </w:pPr>
    </w:p>
    <w:p>
      <w:pPr>
        <w:jc w:val="both"/>
        <w:ind w:left="-432" w:firstLine="432"/>
        <w:spacing w:after="0" w:line="257" w:lineRule="auto"/>
        <w:tabs>
          <w:tab w:leader="none" w:pos="458" w:val="left"/>
        </w:tabs>
        <w:numPr>
          <w:ilvl w:val="0"/>
          <w:numId w:val="88"/>
        </w:numPr>
        <w:rPr>
          <w:rFonts w:ascii="Arial" w:cs="Arial" w:eastAsia="Arial" w:hAnsi="Arial"/>
          <w:sz w:val="12"/>
          <w:szCs w:val="12"/>
          <w:color w:val="auto"/>
        </w:rPr>
      </w:pPr>
      <w:r>
        <w:rPr>
          <w:rFonts w:ascii="Arial" w:cs="Arial" w:eastAsia="Arial" w:hAnsi="Arial"/>
          <w:sz w:val="12"/>
          <w:szCs w:val="12"/>
          <w:i w:val="1"/>
          <w:iCs w:val="1"/>
          <w:color w:val="auto"/>
        </w:rPr>
        <w:t>Legal Proceedings</w:t>
      </w:r>
      <w:r>
        <w:rPr>
          <w:rFonts w:ascii="Arial" w:cs="Arial" w:eastAsia="Arial" w:hAnsi="Arial"/>
          <w:sz w:val="12"/>
          <w:szCs w:val="12"/>
          <w:color w:val="auto"/>
        </w:rPr>
        <w:t>. There are no legal or governmental proceedings pending or, to the Company’s knowledge, threatened or contemplated to which the Company or the Subsidiaries is or would be a party or of which</w:t>
      </w:r>
      <w:r>
        <w:rPr>
          <w:rFonts w:ascii="Arial" w:cs="Arial" w:eastAsia="Arial" w:hAnsi="Arial"/>
          <w:sz w:val="12"/>
          <w:szCs w:val="12"/>
          <w:i w:val="1"/>
          <w:iCs w:val="1"/>
          <w:color w:val="auto"/>
        </w:rPr>
        <w:t xml:space="preserve"> </w:t>
      </w:r>
      <w:r>
        <w:rPr>
          <w:rFonts w:ascii="Arial" w:cs="Arial" w:eastAsia="Arial" w:hAnsi="Arial"/>
          <w:sz w:val="12"/>
          <w:szCs w:val="12"/>
          <w:color w:val="auto"/>
        </w:rPr>
        <w:t>any of their respective properties is or would be subject at law or in equity, before or by any federal, state, local or foreign governmental or regulatory commission, board, body, authority or agency, or before or by any self-regulatory organization or other non-governmental regulatory authority, except (i) as described in the Registration Statement and the Disclosure Documents, (ii) any such proceeding, which if resolved adversely to the Company or any Subsidiaries, would not result in a judgment, decree or order having, individually or in the aggregate, a Material Adverse Effect or (iii) any such proceeding that would not prevent or materially and adversely affect the ability of the Company to consummate the transactions contemplated hereby.</w:t>
      </w:r>
    </w:p>
    <w:p>
      <w:pPr>
        <w:spacing w:after="0" w:line="143" w:lineRule="exact"/>
        <w:rPr>
          <w:rFonts w:ascii="Arial" w:cs="Arial" w:eastAsia="Arial" w:hAnsi="Arial"/>
          <w:sz w:val="12"/>
          <w:szCs w:val="12"/>
          <w:color w:val="auto"/>
        </w:rPr>
      </w:pPr>
    </w:p>
    <w:p>
      <w:pPr>
        <w:ind w:left="-432" w:right="20" w:firstLine="432"/>
        <w:spacing w:after="0" w:line="276" w:lineRule="auto"/>
        <w:tabs>
          <w:tab w:leader="none" w:pos="512" w:val="left"/>
        </w:tabs>
        <w:numPr>
          <w:ilvl w:val="0"/>
          <w:numId w:val="88"/>
        </w:numPr>
        <w:rPr>
          <w:rFonts w:ascii="Arial" w:cs="Arial" w:eastAsia="Arial" w:hAnsi="Arial"/>
          <w:sz w:val="12"/>
          <w:szCs w:val="12"/>
          <w:color w:val="auto"/>
        </w:rPr>
      </w:pPr>
      <w:r>
        <w:rPr>
          <w:rFonts w:ascii="Arial" w:cs="Arial" w:eastAsia="Arial" w:hAnsi="Arial"/>
          <w:sz w:val="12"/>
          <w:szCs w:val="12"/>
          <w:i w:val="1"/>
          <w:iCs w:val="1"/>
          <w:color w:val="auto"/>
        </w:rPr>
        <w:t>Statutes; Contracts</w:t>
      </w:r>
      <w:r>
        <w:rPr>
          <w:rFonts w:ascii="Arial" w:cs="Arial" w:eastAsia="Arial" w:hAnsi="Arial"/>
          <w:sz w:val="12"/>
          <w:szCs w:val="12"/>
          <w:color w:val="auto"/>
        </w:rPr>
        <w:t>. There are no statutes or regulations applicable to the Company or contracts or other documents of the Company that are required to be described in the Registration Statement or the Disclosure</w:t>
      </w:r>
      <w:r>
        <w:rPr>
          <w:rFonts w:ascii="Arial" w:cs="Arial" w:eastAsia="Arial" w:hAnsi="Arial"/>
          <w:sz w:val="12"/>
          <w:szCs w:val="12"/>
          <w:i w:val="1"/>
          <w:iCs w:val="1"/>
          <w:color w:val="auto"/>
        </w:rPr>
        <w:t xml:space="preserve"> </w:t>
      </w:r>
      <w:r>
        <w:rPr>
          <w:rFonts w:ascii="Arial" w:cs="Arial" w:eastAsia="Arial" w:hAnsi="Arial"/>
          <w:sz w:val="12"/>
          <w:szCs w:val="12"/>
          <w:color w:val="auto"/>
        </w:rPr>
        <w:t>Documents, or filed as exhibits to the Registration Statement by the Securities Act which have not been so described or filed.</w:t>
      </w:r>
    </w:p>
    <w:p>
      <w:pPr>
        <w:spacing w:after="0" w:line="132" w:lineRule="exact"/>
        <w:rPr>
          <w:rFonts w:ascii="Arial" w:cs="Arial" w:eastAsia="Arial" w:hAnsi="Arial"/>
          <w:sz w:val="12"/>
          <w:szCs w:val="12"/>
          <w:color w:val="auto"/>
        </w:rPr>
      </w:pPr>
    </w:p>
    <w:p>
      <w:pPr>
        <w:jc w:val="both"/>
        <w:ind w:left="-432" w:firstLine="432"/>
        <w:spacing w:after="0" w:line="263" w:lineRule="auto"/>
        <w:tabs>
          <w:tab w:leader="none" w:pos="503" w:val="left"/>
        </w:tabs>
        <w:numPr>
          <w:ilvl w:val="0"/>
          <w:numId w:val="88"/>
        </w:numPr>
        <w:rPr>
          <w:rFonts w:ascii="Arial" w:cs="Arial" w:eastAsia="Arial" w:hAnsi="Arial"/>
          <w:sz w:val="12"/>
          <w:szCs w:val="12"/>
          <w:color w:val="auto"/>
        </w:rPr>
      </w:pPr>
      <w:r>
        <w:rPr>
          <w:rFonts w:ascii="Arial" w:cs="Arial" w:eastAsia="Arial" w:hAnsi="Arial"/>
          <w:sz w:val="12"/>
          <w:szCs w:val="12"/>
          <w:i w:val="1"/>
          <w:iCs w:val="1"/>
          <w:color w:val="auto"/>
        </w:rPr>
        <w:t>Independent Accountants</w:t>
      </w:r>
      <w:r>
        <w:rPr>
          <w:rFonts w:ascii="Arial" w:cs="Arial" w:eastAsia="Arial" w:hAnsi="Arial"/>
          <w:sz w:val="12"/>
          <w:szCs w:val="12"/>
          <w:color w:val="auto"/>
        </w:rPr>
        <w:t>. To the knowledge of the Company, OUM &amp; CO LLP (the “</w:t>
      </w:r>
      <w:r>
        <w:rPr>
          <w:rFonts w:ascii="Arial" w:cs="Arial" w:eastAsia="Arial" w:hAnsi="Arial"/>
          <w:sz w:val="12"/>
          <w:szCs w:val="12"/>
          <w:i w:val="1"/>
          <w:iCs w:val="1"/>
          <w:color w:val="auto"/>
        </w:rPr>
        <w:t>Auditor</w:t>
      </w:r>
      <w:r>
        <w:rPr>
          <w:rFonts w:ascii="Arial" w:cs="Arial" w:eastAsia="Arial" w:hAnsi="Arial"/>
          <w:sz w:val="12"/>
          <w:szCs w:val="12"/>
          <w:color w:val="auto"/>
        </w:rPr>
        <w:t>”), whose report is filed with the Commission as part of the Registration Statement, is an independent registered public</w:t>
      </w:r>
      <w:r>
        <w:rPr>
          <w:rFonts w:ascii="Arial" w:cs="Arial" w:eastAsia="Arial" w:hAnsi="Arial"/>
          <w:sz w:val="12"/>
          <w:szCs w:val="12"/>
          <w:i w:val="1"/>
          <w:iCs w:val="1"/>
          <w:color w:val="auto"/>
        </w:rPr>
        <w:t xml:space="preserve"> </w:t>
      </w:r>
      <w:r>
        <w:rPr>
          <w:rFonts w:ascii="Arial" w:cs="Arial" w:eastAsia="Arial" w:hAnsi="Arial"/>
          <w:sz w:val="12"/>
          <w:szCs w:val="12"/>
          <w:color w:val="auto"/>
        </w:rPr>
        <w:t>accounting firm as required by the Securities Act and the Regulations and the Public Company Accounting Oversight Board. The Auditor has not, during the periods covered by the financial statements included in the Registration Statement and the Disclosure Documents, provided to the Company any non-audit services, as such term is used in Section 10A(g) of the Exchange Act.</w:t>
      </w:r>
    </w:p>
    <w:p>
      <w:pPr>
        <w:spacing w:after="0" w:line="140" w:lineRule="exact"/>
        <w:rPr>
          <w:rFonts w:ascii="Arial" w:cs="Arial" w:eastAsia="Arial" w:hAnsi="Arial"/>
          <w:sz w:val="12"/>
          <w:szCs w:val="12"/>
          <w:color w:val="auto"/>
        </w:rPr>
      </w:pPr>
    </w:p>
    <w:p>
      <w:pPr>
        <w:jc w:val="both"/>
        <w:ind w:left="-432" w:firstLine="432"/>
        <w:spacing w:after="0" w:line="279" w:lineRule="auto"/>
        <w:tabs>
          <w:tab w:leader="none" w:pos="512" w:val="left"/>
        </w:tabs>
        <w:numPr>
          <w:ilvl w:val="0"/>
          <w:numId w:val="88"/>
        </w:numPr>
        <w:rPr>
          <w:rFonts w:ascii="Arial" w:cs="Arial" w:eastAsia="Arial" w:hAnsi="Arial"/>
          <w:sz w:val="11"/>
          <w:szCs w:val="11"/>
          <w:color w:val="auto"/>
        </w:rPr>
      </w:pPr>
      <w:r>
        <w:rPr>
          <w:rFonts w:ascii="Arial" w:cs="Arial" w:eastAsia="Arial" w:hAnsi="Arial"/>
          <w:sz w:val="11"/>
          <w:szCs w:val="11"/>
          <w:i w:val="1"/>
          <w:iCs w:val="1"/>
          <w:color w:val="auto"/>
        </w:rPr>
        <w:t>Financial Statements</w:t>
      </w:r>
      <w:r>
        <w:rPr>
          <w:rFonts w:ascii="Arial" w:cs="Arial" w:eastAsia="Arial" w:hAnsi="Arial"/>
          <w:sz w:val="11"/>
          <w:szCs w:val="11"/>
          <w:color w:val="auto"/>
        </w:rPr>
        <w:t>. The financial statements, including the notes thereto and supporting schedules included in the Registration Statement and the Disclosure Documents fairly present the financial position and the</w:t>
      </w:r>
      <w:r>
        <w:rPr>
          <w:rFonts w:ascii="Arial" w:cs="Arial" w:eastAsia="Arial" w:hAnsi="Arial"/>
          <w:sz w:val="11"/>
          <w:szCs w:val="11"/>
          <w:i w:val="1"/>
          <w:iCs w:val="1"/>
          <w:color w:val="auto"/>
        </w:rPr>
        <w:t xml:space="preserve"> </w:t>
      </w:r>
      <w:r>
        <w:rPr>
          <w:rFonts w:ascii="Arial" w:cs="Arial" w:eastAsia="Arial" w:hAnsi="Arial"/>
          <w:sz w:val="11"/>
          <w:szCs w:val="11"/>
          <w:color w:val="auto"/>
        </w:rPr>
        <w:t>results of operations of the Company at the dates and for the periods to which they apply; and such financial statements have been prepared in conformity with U.S. generally accepted accounting principles (“</w:t>
      </w:r>
      <w:r>
        <w:rPr>
          <w:rFonts w:ascii="Arial" w:cs="Arial" w:eastAsia="Arial" w:hAnsi="Arial"/>
          <w:sz w:val="11"/>
          <w:szCs w:val="11"/>
          <w:i w:val="1"/>
          <w:iCs w:val="1"/>
          <w:color w:val="auto"/>
        </w:rPr>
        <w:t>GAAP</w:t>
      </w:r>
      <w:r>
        <w:rPr>
          <w:rFonts w:ascii="Arial" w:cs="Arial" w:eastAsia="Arial" w:hAnsi="Arial"/>
          <w:sz w:val="11"/>
          <w:szCs w:val="11"/>
          <w:color w:val="auto"/>
        </w:rPr>
        <w:t>”), consistently applied throughout the periods involved (provided that unaudited interim financial statements are subject to year end audit adjustments that are not expected to be material in the aggregate and do not contain all footnotes required by GAAP); and the supporting schedules included in the Registration Statement present fairly the information required to be stated therein. Each of the Registration Statement and the Disclosure Documents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and the Disclosure Documents, since March 31, 2014, (a) neither the Company nor its Subsidiaries,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the Subsidiaries, or, other than in the course of business, any grants under any stock compensation plan, and (d) there has not been any material adverse change in the Company’s long-term or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259715</wp:posOffset>
            </wp:positionV>
            <wp:extent cx="7299325" cy="1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392" w:right="199" w:bottom="1440" w:gutter="0" w:footer="0" w:header="0"/>
        </w:sectPr>
      </w:pPr>
    </w:p>
    <w:bookmarkStart w:id="185" w:name="page186"/>
    <w:bookmarkEnd w:id="185"/>
    <w:p>
      <w:pPr>
        <w:jc w:val="both"/>
        <w:ind w:left="-432" w:firstLine="432"/>
        <w:spacing w:after="0" w:line="308" w:lineRule="auto"/>
        <w:tabs>
          <w:tab w:leader="none" w:pos="485" w:val="left"/>
        </w:tabs>
        <w:numPr>
          <w:ilvl w:val="0"/>
          <w:numId w:val="89"/>
        </w:numPr>
        <w:rPr>
          <w:rFonts w:ascii="Arial" w:cs="Arial" w:eastAsia="Arial" w:hAnsi="Arial"/>
          <w:sz w:val="10"/>
          <w:szCs w:val="10"/>
          <w:color w:val="auto"/>
        </w:rPr>
      </w:pPr>
      <w:r>
        <w:rPr>
          <w:rFonts w:ascii="Arial" w:cs="Arial" w:eastAsia="Arial" w:hAnsi="Arial"/>
          <w:sz w:val="10"/>
          <w:szCs w:val="10"/>
          <w:i w:val="1"/>
          <w:iCs w:val="1"/>
          <w:color w:val="auto"/>
        </w:rPr>
        <w:t>Compliance with Laws</w:t>
      </w:r>
      <w:r>
        <w:rPr>
          <w:rFonts w:ascii="Arial" w:cs="Arial" w:eastAsia="Arial" w:hAnsi="Arial"/>
          <w:sz w:val="10"/>
          <w:szCs w:val="10"/>
          <w:color w:val="auto"/>
        </w:rPr>
        <w:t>. The Company: (i) is and at all times has been in compliance with all statutes, rules, or regulations applicable to the ownership, testing, development, manufacture, packaging, processing, use,</w:t>
      </w:r>
      <w:r>
        <w:rPr>
          <w:rFonts w:ascii="Arial" w:cs="Arial" w:eastAsia="Arial" w:hAnsi="Arial"/>
          <w:sz w:val="10"/>
          <w:szCs w:val="10"/>
          <w:i w:val="1"/>
          <w:iCs w:val="1"/>
          <w:color w:val="auto"/>
        </w:rPr>
        <w:t xml:space="preserve"> </w:t>
      </w:r>
      <w:r>
        <w:rPr>
          <w:rFonts w:ascii="Arial" w:cs="Arial" w:eastAsia="Arial" w:hAnsi="Arial"/>
          <w:sz w:val="10"/>
          <w:szCs w:val="10"/>
          <w:color w:val="auto"/>
        </w:rPr>
        <w:t>distribution, marketing, labeling, promotion, sale, offer for sale, storage, import, export or disposal of any product manufactured or distributed by the Company (“</w:t>
      </w:r>
      <w:r>
        <w:rPr>
          <w:rFonts w:ascii="Arial" w:cs="Arial" w:eastAsia="Arial" w:hAnsi="Arial"/>
          <w:sz w:val="10"/>
          <w:szCs w:val="10"/>
          <w:i w:val="1"/>
          <w:iCs w:val="1"/>
          <w:color w:val="auto"/>
        </w:rPr>
        <w:t>Applicable Laws</w:t>
      </w:r>
      <w:r>
        <w:rPr>
          <w:rFonts w:ascii="Arial" w:cs="Arial" w:eastAsia="Arial" w:hAnsi="Arial"/>
          <w:sz w:val="10"/>
          <w:szCs w:val="10"/>
          <w:color w:val="auto"/>
        </w:rPr>
        <w:t>”), except as could not, individually or in the aggregate, reasonably be expected to have a material adverse change; (ii) has not received any FDA Form 483, notice of adverse finding, warning letter, untitled letter or other correspondence or notice from the U.S. Food and Drug Administration or any other governmental authority alleging or asserting noncompliance with any Applicable Laws or any licenses, certificates, approvals, clearances, authorizations, permits and supplements or amendments thereto required by any such Applicable Laws (“</w:t>
      </w:r>
      <w:r>
        <w:rPr>
          <w:rFonts w:ascii="Arial" w:cs="Arial" w:eastAsia="Arial" w:hAnsi="Arial"/>
          <w:sz w:val="10"/>
          <w:szCs w:val="10"/>
          <w:i w:val="1"/>
          <w:iCs w:val="1"/>
          <w:color w:val="auto"/>
        </w:rPr>
        <w:t>Authorizations</w:t>
      </w:r>
      <w:r>
        <w:rPr>
          <w:rFonts w:ascii="Arial" w:cs="Arial" w:eastAsia="Arial" w:hAnsi="Arial"/>
          <w:sz w:val="10"/>
          <w:szCs w:val="10"/>
          <w:color w:val="auto"/>
        </w:rPr>
        <w:t>”); (iii) possesses all material Authorizations and such Authorizations are valid and in full force and effect and are not in material violation of any term of any such Authorizations; (iv)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(v) has not received notice that any governmental authority has taken, is taking or intends to take action to limit, suspend, modify or revoke any Authorizations and has no knowledge that any such governmental authority is considering such action;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(vii) has not, either voluntarily or involuntarily, initiated, conducted, or issued or caused to be initiated, conducted or issued, any recall, market withdrawal or replacement, safety alert, post sale warning, “dear doctor”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268" w:lineRule="exact"/>
        <w:rPr>
          <w:rFonts w:ascii="Arial" w:cs="Arial" w:eastAsia="Arial" w:hAnsi="Arial"/>
          <w:sz w:val="10"/>
          <w:szCs w:val="10"/>
          <w:color w:val="auto"/>
        </w:rPr>
      </w:pPr>
    </w:p>
    <w:p>
      <w:pPr>
        <w:ind w:left="-432" w:firstLine="432"/>
        <w:spacing w:after="0" w:line="276" w:lineRule="auto"/>
        <w:tabs>
          <w:tab w:leader="none" w:pos="440" w:val="left"/>
        </w:tabs>
        <w:numPr>
          <w:ilvl w:val="0"/>
          <w:numId w:val="89"/>
        </w:numPr>
        <w:rPr>
          <w:rFonts w:ascii="Arial" w:cs="Arial" w:eastAsia="Arial" w:hAnsi="Arial"/>
          <w:sz w:val="12"/>
          <w:szCs w:val="12"/>
          <w:color w:val="auto"/>
        </w:rPr>
      </w:pPr>
      <w:r>
        <w:rPr>
          <w:rFonts w:ascii="Arial" w:cs="Arial" w:eastAsia="Arial" w:hAnsi="Arial"/>
          <w:sz w:val="12"/>
          <w:szCs w:val="12"/>
          <w:i w:val="1"/>
          <w:iCs w:val="1"/>
          <w:color w:val="auto"/>
        </w:rPr>
        <w:t>Not an Investment Company</w:t>
      </w:r>
      <w:r>
        <w:rPr>
          <w:rFonts w:ascii="Arial" w:cs="Arial" w:eastAsia="Arial" w:hAnsi="Arial"/>
          <w:sz w:val="12"/>
          <w:szCs w:val="12"/>
          <w:color w:val="auto"/>
        </w:rPr>
        <w:t>. Neither the Company nor the Subsidiaries is or, after giving effect to the offering and sale of the Securities and the application of the proceeds thereof as described in the Prospectus, will be</w:t>
      </w:r>
      <w:r>
        <w:rPr>
          <w:rFonts w:ascii="Arial" w:cs="Arial" w:eastAsia="Arial" w:hAnsi="Arial"/>
          <w:sz w:val="12"/>
          <w:szCs w:val="12"/>
          <w:i w:val="1"/>
          <w:iCs w:val="1"/>
          <w:color w:val="auto"/>
        </w:rPr>
        <w:t xml:space="preserve"> </w:t>
      </w:r>
      <w:r>
        <w:rPr>
          <w:rFonts w:ascii="Arial" w:cs="Arial" w:eastAsia="Arial" w:hAnsi="Arial"/>
          <w:sz w:val="12"/>
          <w:szCs w:val="12"/>
          <w:color w:val="auto"/>
        </w:rPr>
        <w:t>required to register as an “investment company” as defined in the Investment Company Act of 1940, as amended.</w:t>
      </w:r>
    </w:p>
    <w:p>
      <w:pPr>
        <w:spacing w:after="0" w:line="132" w:lineRule="exact"/>
        <w:rPr>
          <w:rFonts w:ascii="Arial" w:cs="Arial" w:eastAsia="Arial" w:hAnsi="Arial"/>
          <w:sz w:val="12"/>
          <w:szCs w:val="12"/>
          <w:color w:val="auto"/>
        </w:rPr>
      </w:pPr>
    </w:p>
    <w:p>
      <w:pPr>
        <w:jc w:val="both"/>
        <w:ind w:left="-432" w:firstLine="432"/>
        <w:spacing w:after="0" w:line="320" w:lineRule="auto"/>
        <w:tabs>
          <w:tab w:leader="none" w:pos="460" w:val="left"/>
        </w:tabs>
        <w:numPr>
          <w:ilvl w:val="0"/>
          <w:numId w:val="89"/>
        </w:numPr>
        <w:rPr>
          <w:rFonts w:ascii="Arial" w:cs="Arial" w:eastAsia="Arial" w:hAnsi="Arial"/>
          <w:sz w:val="10"/>
          <w:szCs w:val="10"/>
          <w:color w:val="auto"/>
        </w:rPr>
      </w:pPr>
      <w:r>
        <w:rPr>
          <w:rFonts w:ascii="Arial" w:cs="Arial" w:eastAsia="Arial" w:hAnsi="Arial"/>
          <w:sz w:val="10"/>
          <w:szCs w:val="10"/>
          <w:i w:val="1"/>
          <w:iCs w:val="1"/>
          <w:color w:val="auto"/>
        </w:rPr>
        <w:t>Good Title to Property</w:t>
      </w:r>
      <w:r>
        <w:rPr>
          <w:rFonts w:ascii="Arial" w:cs="Arial" w:eastAsia="Arial" w:hAnsi="Arial"/>
          <w:sz w:val="10"/>
          <w:szCs w:val="10"/>
          <w:color w:val="auto"/>
        </w:rPr>
        <w:t>. The Company and the Subsidiaries have good and valid title to all property (whether real or personal) described in the Registration Statement and the Disclosure Documents as being owned by</w:t>
      </w:r>
      <w:r>
        <w:rPr>
          <w:rFonts w:ascii="Arial" w:cs="Arial" w:eastAsia="Arial" w:hAnsi="Arial"/>
          <w:sz w:val="10"/>
          <w:szCs w:val="10"/>
          <w:i w:val="1"/>
          <w:iCs w:val="1"/>
          <w:color w:val="auto"/>
        </w:rPr>
        <w:t xml:space="preserve"> </w:t>
      </w:r>
      <w:r>
        <w:rPr>
          <w:rFonts w:ascii="Arial" w:cs="Arial" w:eastAsia="Arial" w:hAnsi="Arial"/>
          <w:sz w:val="10"/>
          <w:szCs w:val="10"/>
          <w:color w:val="auto"/>
        </w:rPr>
        <w:t>each of them, in each case free and clear of all liens, claims, security interests, other encumbrances or defects except as described in the Registration Statement and the Disclosure Documents, and those that would not, individually or in the aggregate materially and adversely affect the value of such property and do not materially and adversely interfere with the use made and proposed to be made of such property by the Company and the Subsidiaries. All of the property described in the Registration Statement and the Disclosure Documents as being held under lease by the Company or a Subsidiaries is held thereby under valid, subsisting and enforceable leases, without any liens, restrictions, encumbrances or claims, except those that, individually or in the aggregate, are not material and do not materially interfere with the use made and proposed to be made of such property by the Company and the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247650</wp:posOffset>
            </wp:positionV>
            <wp:extent cx="729932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392" w:right="199" w:bottom="1440" w:gutter="0" w:footer="0" w:header="0"/>
        </w:sectPr>
      </w:pPr>
    </w:p>
    <w:bookmarkStart w:id="186" w:name="page187"/>
    <w:bookmarkEnd w:id="186"/>
    <w:p>
      <w:pPr>
        <w:jc w:val="both"/>
        <w:ind w:left="-432" w:firstLine="432"/>
        <w:spacing w:after="0" w:line="275" w:lineRule="auto"/>
        <w:tabs>
          <w:tab w:leader="none" w:pos="495" w:val="left"/>
        </w:tabs>
        <w:numPr>
          <w:ilvl w:val="0"/>
          <w:numId w:val="90"/>
        </w:numPr>
        <w:rPr>
          <w:rFonts w:ascii="Arial" w:cs="Arial" w:eastAsia="Arial" w:hAnsi="Arial"/>
          <w:sz w:val="11"/>
          <w:szCs w:val="11"/>
          <w:color w:val="auto"/>
        </w:rPr>
      </w:pPr>
      <w:r>
        <w:rPr>
          <w:rFonts w:ascii="Arial" w:cs="Arial" w:eastAsia="Arial" w:hAnsi="Arial"/>
          <w:sz w:val="11"/>
          <w:szCs w:val="11"/>
          <w:i w:val="1"/>
          <w:iCs w:val="1"/>
          <w:color w:val="auto"/>
        </w:rPr>
        <w:t>Intellectual Property Rights</w:t>
      </w:r>
      <w:r>
        <w:rPr>
          <w:rFonts w:ascii="Arial" w:cs="Arial" w:eastAsia="Arial" w:hAnsi="Arial"/>
          <w:sz w:val="11"/>
          <w:szCs w:val="11"/>
          <w:color w:val="auto"/>
        </w:rPr>
        <w:t>. The Company and the Subsidiaries own or possess or have valid rights to use all patents, patent applications, trademarks, service marks, trade names, trademark registrations, service mark</w:t>
      </w:r>
      <w:r>
        <w:rPr>
          <w:rFonts w:ascii="Arial" w:cs="Arial" w:eastAsia="Arial" w:hAnsi="Arial"/>
          <w:sz w:val="11"/>
          <w:szCs w:val="11"/>
          <w:i w:val="1"/>
          <w:iCs w:val="1"/>
          <w:color w:val="auto"/>
        </w:rPr>
        <w:t xml:space="preserve"> </w:t>
      </w:r>
      <w:r>
        <w:rPr>
          <w:rFonts w:ascii="Arial" w:cs="Arial" w:eastAsia="Arial" w:hAnsi="Arial"/>
          <w:sz w:val="11"/>
          <w:szCs w:val="11"/>
          <w:color w:val="auto"/>
        </w:rPr>
        <w:t>registrations, copyrights, licenses, inventions, trade secrets and similar rights (“</w:t>
      </w:r>
      <w:r>
        <w:rPr>
          <w:rFonts w:ascii="Arial" w:cs="Arial" w:eastAsia="Arial" w:hAnsi="Arial"/>
          <w:sz w:val="11"/>
          <w:szCs w:val="11"/>
          <w:i w:val="1"/>
          <w:iCs w:val="1"/>
          <w:color w:val="auto"/>
        </w:rPr>
        <w:t>Intellectual Property Rights</w:t>
      </w:r>
      <w:r>
        <w:rPr>
          <w:rFonts w:ascii="Arial" w:cs="Arial" w:eastAsia="Arial" w:hAnsi="Arial"/>
          <w:sz w:val="11"/>
          <w:szCs w:val="11"/>
          <w:color w:val="auto"/>
        </w:rPr>
        <w:t>”) necessary for the conduct of the business of the Company and the Subsidiaries as currently carried on and as described in the Registration Statement and the Disclosure Documents. To the knowledge of the Company, no action or use by the Company or the Subsidiaries necessary for the conduct of its business as currently carried on and as described in the Registration Statement and the Prospectus will involve or give rise to any infringement of, or license or similar fees for, any Intellectual Property Rights of others. Neither the Company nor the Subsidiaries has received any notice alleging any such infringement, fee or conflict with asserted Intellectual Property Rights of others. Except as would not reasonably be expected to result, individually or in the aggregate, in a material adverse change (i) to the knowledge of the Company, there is no infringement, misappropriation or violation by third parties of any of the Intellectual Property Rights owned by the Company and the Subsidiaries; (ii) there is no pending or, to the knowledge of the Company, threatened action, suit, proceeding or claim by others challenging the rights of the Company or the Subsidiaries in or to any such Intellectual Property Rights, and the Company is unaware of any facts which would form a reasonable basis for any such claim, that would, individually or in the aggregate, together with any other claims in this Section 3(aa), reasonably be expected to result in a material adverse change; (iii) the Intellectual Property Rights owned by the Company and the Subsidiaries and, to the knowledge of the Company, the Intellectual Property Rights licensed to the Company and the Subsidiaries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Section 3(aa), reasonably be expected to result in a material adverse change; (iv) there is no pending or, to the Company’s knowledge, threatened action, suit, proceeding or claim by others that the Company or the Subsidiaries infringes, misappropriates or otherwise violates any Intellectual Property Rights or other proprietary rights of others, neither the Company nor any of the Subsidiaries has received any written notice of such claim and the Company is unaware of any other facts which would form a reasonable basis for any such claim that would, individually or in the aggregate, together with any other claims in this Section 3(aa), reasonably be expected to result in a material adverse change; and (v) to the Company’s knowledge, no employee of the Company or any of the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the Subsidiaries, or actions undertaken by the employee while employed with the Company and could reasonably be expected to result, individually or in the aggregate, in a material adverse change. To the Company’s knowledge, all material technical information developed by and belonging to the Company or any of the Subsidiaries which has not been patented has been kept confidential. Neither the Company nor any of the Subsidiaries is a party to or bound by any options, licenses or agreements with respect to the Intellectual Property Rights of any other person or entity that are required to be set forth in the Registration Statement and the Disclosure Documents and are not described therein. The Registration Statement and the Disclosure Documents contain in all material respects the same description of the matters set forth in the preceding sentence. None of the technology employed by the Company or any of the Subsidiaries has been obtained or is being used by the Company or any of the Subsidiaries in violation of any contractual obligation binding on the Company or any of the Subsidiaries or, to the Company’s knowledge, any of its officers, directors or employees, or otherwise in violation of the rights of any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265430</wp:posOffset>
            </wp:positionV>
            <wp:extent cx="7299325" cy="18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392" w:right="199" w:bottom="1440" w:gutter="0" w:footer="0" w:header="0"/>
        </w:sectPr>
      </w:pPr>
    </w:p>
    <w:bookmarkStart w:id="187" w:name="page188"/>
    <w:bookmarkEnd w:id="187"/>
    <w:p>
      <w:pPr>
        <w:jc w:val="both"/>
        <w:ind w:left="-432" w:firstLine="432"/>
        <w:spacing w:after="0" w:line="280" w:lineRule="auto"/>
        <w:tabs>
          <w:tab w:leader="none" w:pos="545" w:val="left"/>
        </w:tabs>
        <w:numPr>
          <w:ilvl w:val="0"/>
          <w:numId w:val="91"/>
        </w:numPr>
        <w:rPr>
          <w:rFonts w:ascii="Arial" w:cs="Arial" w:eastAsia="Arial" w:hAnsi="Arial"/>
          <w:sz w:val="11"/>
          <w:szCs w:val="11"/>
          <w:color w:val="auto"/>
        </w:rPr>
      </w:pPr>
      <w:r>
        <w:rPr>
          <w:rFonts w:ascii="Arial" w:cs="Arial" w:eastAsia="Arial" w:hAnsi="Arial"/>
          <w:sz w:val="11"/>
          <w:szCs w:val="11"/>
          <w:i w:val="1"/>
          <w:iCs w:val="1"/>
          <w:color w:val="auto"/>
        </w:rPr>
        <w:t>Taxes</w:t>
      </w:r>
      <w:r>
        <w:rPr>
          <w:rFonts w:ascii="Arial" w:cs="Arial" w:eastAsia="Arial" w:hAnsi="Arial"/>
          <w:sz w:val="11"/>
          <w:szCs w:val="11"/>
          <w:color w:val="auto"/>
        </w:rPr>
        <w:t>. Each of the Company and the Subsidiaries has filed all returns (as hereinafter defined) required to be filed with taxing authorities prior to the date hereof or has duly obtained extensions of time for the filing</w:t>
      </w:r>
      <w:r>
        <w:rPr>
          <w:rFonts w:ascii="Arial" w:cs="Arial" w:eastAsia="Arial" w:hAnsi="Arial"/>
          <w:sz w:val="11"/>
          <w:szCs w:val="11"/>
          <w:i w:val="1"/>
          <w:iCs w:val="1"/>
          <w:color w:val="auto"/>
        </w:rPr>
        <w:t xml:space="preserve"> </w:t>
      </w:r>
      <w:r>
        <w:rPr>
          <w:rFonts w:ascii="Arial" w:cs="Arial" w:eastAsia="Arial" w:hAnsi="Arial"/>
          <w:sz w:val="11"/>
          <w:szCs w:val="11"/>
          <w:color w:val="auto"/>
        </w:rPr>
        <w:t>thereof. Each of the Company and the Subsidiaries has paid all taxes (as hereinafter defined) shown as due on such returns that were filed and has paid all taxes imposed on or assessed against the Company or the Subsidiaries.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With respect to the Company and its Subsidiaries, (i) no issues have been raised (and are currently pending) by any taxing authority in connection with any of the returns or taxes asserted as due from the Company or the Subsidiaries, and (ii) no waivers of statutes of limitation with respect to the returns or collection of taxes have been given by or requested from the Company or the Subsidiaries.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“returns” means all returns, declarations, reports, statements and other documents required to be filed in respect to taxes.</w:t>
      </w:r>
    </w:p>
    <w:p>
      <w:pPr>
        <w:spacing w:after="0" w:line="134" w:lineRule="exact"/>
        <w:rPr>
          <w:rFonts w:ascii="Arial" w:cs="Arial" w:eastAsia="Arial" w:hAnsi="Arial"/>
          <w:sz w:val="11"/>
          <w:szCs w:val="11"/>
          <w:color w:val="auto"/>
        </w:rPr>
      </w:pPr>
    </w:p>
    <w:p>
      <w:pPr>
        <w:jc w:val="both"/>
        <w:ind w:left="-432" w:firstLine="432"/>
        <w:spacing w:after="0" w:line="280" w:lineRule="auto"/>
        <w:tabs>
          <w:tab w:leader="none" w:pos="495" w:val="left"/>
        </w:tabs>
        <w:numPr>
          <w:ilvl w:val="0"/>
          <w:numId w:val="91"/>
        </w:numPr>
        <w:rPr>
          <w:rFonts w:ascii="Arial" w:cs="Arial" w:eastAsia="Arial" w:hAnsi="Arial"/>
          <w:sz w:val="11"/>
          <w:szCs w:val="11"/>
          <w:color w:val="auto"/>
        </w:rPr>
      </w:pPr>
      <w:r>
        <w:rPr>
          <w:rFonts w:ascii="Arial" w:cs="Arial" w:eastAsia="Arial" w:hAnsi="Arial"/>
          <w:sz w:val="11"/>
          <w:szCs w:val="11"/>
          <w:i w:val="1"/>
          <w:iCs w:val="1"/>
          <w:color w:val="auto"/>
        </w:rPr>
        <w:t>ERISA Compliance</w:t>
      </w:r>
      <w:r>
        <w:rPr>
          <w:rFonts w:ascii="Arial" w:cs="Arial" w:eastAsia="Arial" w:hAnsi="Arial"/>
          <w:sz w:val="11"/>
          <w:szCs w:val="11"/>
          <w:color w:val="auto"/>
        </w:rPr>
        <w:t>. The Company and any “employee benefit plan” (as defined under the Employee Retirement Income Security Act of 1974, as amended, and the regulations and published interpretations thereunder</w:t>
      </w:r>
      <w:r>
        <w:rPr>
          <w:rFonts w:ascii="Arial" w:cs="Arial" w:eastAsia="Arial" w:hAnsi="Arial"/>
          <w:sz w:val="11"/>
          <w:szCs w:val="11"/>
          <w:i w:val="1"/>
          <w:iCs w:val="1"/>
          <w:color w:val="auto"/>
        </w:rPr>
        <w:t xml:space="preserve"> </w:t>
      </w:r>
      <w:r>
        <w:rPr>
          <w:rFonts w:ascii="Arial" w:cs="Arial" w:eastAsia="Arial" w:hAnsi="Arial"/>
          <w:sz w:val="11"/>
          <w:szCs w:val="11"/>
          <w:color w:val="auto"/>
        </w:rPr>
        <w:t>(collectively, “</w:t>
      </w:r>
      <w:r>
        <w:rPr>
          <w:rFonts w:ascii="Arial" w:cs="Arial" w:eastAsia="Arial" w:hAnsi="Arial"/>
          <w:sz w:val="11"/>
          <w:szCs w:val="11"/>
          <w:i w:val="1"/>
          <w:iCs w:val="1"/>
          <w:color w:val="auto"/>
        </w:rPr>
        <w:t>ERISA</w:t>
      </w:r>
      <w:r>
        <w:rPr>
          <w:rFonts w:ascii="Arial" w:cs="Arial" w:eastAsia="Arial" w:hAnsi="Arial"/>
          <w:sz w:val="11"/>
          <w:szCs w:val="11"/>
          <w:color w:val="auto"/>
        </w:rPr>
        <w:t>”)) established or maintained by the Company or its “ERISA Affiliates” (as defined below) are in compliance in all material respects with ERISA. “ERISA Affiliate” means, with respect to the Company, any member of any group of organizations described in Sections 414(b),(c),(m) or (o) of the Internal Revenue Code of 1986, as amended, and the regulations and published interpretations thereunder (the “</w:t>
      </w:r>
      <w:r>
        <w:rPr>
          <w:rFonts w:ascii="Arial" w:cs="Arial" w:eastAsia="Arial" w:hAnsi="Arial"/>
          <w:sz w:val="11"/>
          <w:szCs w:val="11"/>
          <w:i w:val="1"/>
          <w:iCs w:val="1"/>
          <w:color w:val="auto"/>
        </w:rPr>
        <w:t>Code</w:t>
      </w:r>
      <w:r>
        <w:rPr>
          <w:rFonts w:ascii="Arial" w:cs="Arial" w:eastAsia="Arial" w:hAnsi="Arial"/>
          <w:sz w:val="11"/>
          <w:szCs w:val="11"/>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to the knowledge of the Company, nothing has occurred, whether by action or failure to act, which would cause the loss of such qualification.</w:t>
      </w:r>
    </w:p>
    <w:p>
      <w:pPr>
        <w:spacing w:after="0" w:line="134" w:lineRule="exact"/>
        <w:rPr>
          <w:rFonts w:ascii="Arial" w:cs="Arial" w:eastAsia="Arial" w:hAnsi="Arial"/>
          <w:sz w:val="11"/>
          <w:szCs w:val="11"/>
          <w:color w:val="auto"/>
        </w:rPr>
      </w:pPr>
    </w:p>
    <w:p>
      <w:pPr>
        <w:jc w:val="both"/>
        <w:ind w:left="-432" w:firstLine="432"/>
        <w:spacing w:after="0" w:line="259" w:lineRule="auto"/>
        <w:tabs>
          <w:tab w:leader="none" w:pos="527" w:val="left"/>
        </w:tabs>
        <w:numPr>
          <w:ilvl w:val="0"/>
          <w:numId w:val="91"/>
        </w:numPr>
        <w:rPr>
          <w:rFonts w:ascii="Arial" w:cs="Arial" w:eastAsia="Arial" w:hAnsi="Arial"/>
          <w:sz w:val="12"/>
          <w:szCs w:val="12"/>
          <w:color w:val="auto"/>
        </w:rPr>
      </w:pPr>
      <w:r>
        <w:rPr>
          <w:rFonts w:ascii="Arial" w:cs="Arial" w:eastAsia="Arial" w:hAnsi="Arial"/>
          <w:sz w:val="12"/>
          <w:szCs w:val="12"/>
          <w:i w:val="1"/>
          <w:iCs w:val="1"/>
          <w:color w:val="auto"/>
        </w:rPr>
        <w:t>Insurance</w:t>
      </w:r>
      <w:r>
        <w:rPr>
          <w:rFonts w:ascii="Arial" w:cs="Arial" w:eastAsia="Arial" w:hAnsi="Arial"/>
          <w:sz w:val="12"/>
          <w:szCs w:val="12"/>
          <w:color w:val="auto"/>
        </w:rPr>
        <w:t>. Each of the Company and the Subsidiaries maintains insurance in such amounts and covering such risks as is adequate for the conduct of its business and the value of its properties and as is customary for</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engaged in similar businesses in similar industries. All such insurance is fully in force on the date hereof and will be fully in force as of such Closing Date. Neither the Company nor the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42" w:lineRule="exact"/>
        <w:rPr>
          <w:rFonts w:ascii="Arial" w:cs="Arial" w:eastAsia="Arial" w:hAnsi="Arial"/>
          <w:sz w:val="12"/>
          <w:szCs w:val="12"/>
          <w:color w:val="auto"/>
        </w:rPr>
      </w:pPr>
    </w:p>
    <w:p>
      <w:pPr>
        <w:jc w:val="both"/>
        <w:ind w:left="-432" w:firstLine="432"/>
        <w:spacing w:after="0" w:line="259" w:lineRule="auto"/>
        <w:tabs>
          <w:tab w:leader="none" w:pos="585" w:val="left"/>
        </w:tabs>
        <w:numPr>
          <w:ilvl w:val="0"/>
          <w:numId w:val="91"/>
        </w:numPr>
        <w:rPr>
          <w:rFonts w:ascii="Arial" w:cs="Arial" w:eastAsia="Arial" w:hAnsi="Arial"/>
          <w:sz w:val="12"/>
          <w:szCs w:val="12"/>
          <w:color w:val="auto"/>
        </w:rPr>
      </w:pPr>
      <w:r>
        <w:rPr>
          <w:rFonts w:ascii="Arial" w:cs="Arial" w:eastAsia="Arial" w:hAnsi="Arial"/>
          <w:sz w:val="12"/>
          <w:szCs w:val="12"/>
          <w:i w:val="1"/>
          <w:iCs w:val="1"/>
          <w:color w:val="auto"/>
        </w:rPr>
        <w:t>Accounting Controls</w:t>
      </w:r>
      <w:r>
        <w:rPr>
          <w:rFonts w:ascii="Arial" w:cs="Arial" w:eastAsia="Arial" w:hAnsi="Arial"/>
          <w:sz w:val="12"/>
          <w:szCs w:val="12"/>
          <w:color w:val="auto"/>
        </w:rPr>
        <w:t>. Except as disclosed in the Registration Statement and the Disclosure Documents, the Company and the Subsidiaries maintains a system of internal accounting controls sufficient to provide</w:t>
      </w:r>
      <w:r>
        <w:rPr>
          <w:rFonts w:ascii="Arial" w:cs="Arial" w:eastAsia="Arial" w:hAnsi="Arial"/>
          <w:sz w:val="12"/>
          <w:szCs w:val="12"/>
          <w:i w:val="1"/>
          <w:iCs w:val="1"/>
          <w:color w:val="auto"/>
        </w:rPr>
        <w:t xml:space="preserve"> </w:t>
      </w:r>
      <w:r>
        <w:rPr>
          <w:rFonts w:ascii="Arial" w:cs="Arial" w:eastAsia="Arial" w:hAnsi="Arial"/>
          <w:sz w:val="12"/>
          <w:szCs w:val="12"/>
          <w:color w:val="auto"/>
        </w:rPr>
        <w:t>reasonable assurances that (i) transactions are executed in accordance with management’s general or specific authorization; (ii) transactions are recorded as necessary to permit preparation of financial statements in conformity with generally accepted accounting principles as in effect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264795</wp:posOffset>
            </wp:positionV>
            <wp:extent cx="7299325" cy="18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392" w:right="199" w:bottom="1440" w:gutter="0" w:footer="0" w:header="0"/>
        </w:sectPr>
      </w:pPr>
    </w:p>
    <w:bookmarkStart w:id="188" w:name="page189"/>
    <w:bookmarkEnd w:id="188"/>
    <w:p>
      <w:pPr>
        <w:jc w:val="both"/>
        <w:ind w:left="-432" w:firstLine="432"/>
        <w:spacing w:after="0" w:line="280" w:lineRule="auto"/>
        <w:tabs>
          <w:tab w:leader="none" w:pos="548" w:val="left"/>
        </w:tabs>
        <w:numPr>
          <w:ilvl w:val="0"/>
          <w:numId w:val="92"/>
        </w:numPr>
        <w:rPr>
          <w:rFonts w:ascii="Arial" w:cs="Arial" w:eastAsia="Arial" w:hAnsi="Arial"/>
          <w:sz w:val="11"/>
          <w:szCs w:val="11"/>
          <w:color w:val="auto"/>
        </w:rPr>
      </w:pPr>
      <w:r>
        <w:rPr>
          <w:rFonts w:ascii="Arial" w:cs="Arial" w:eastAsia="Arial" w:hAnsi="Arial"/>
          <w:sz w:val="11"/>
          <w:szCs w:val="11"/>
          <w:i w:val="1"/>
          <w:iCs w:val="1"/>
          <w:color w:val="auto"/>
        </w:rPr>
        <w:t>Disclosure Controls</w:t>
      </w:r>
      <w:r>
        <w:rPr>
          <w:rFonts w:ascii="Arial" w:cs="Arial" w:eastAsia="Arial" w:hAnsi="Arial"/>
          <w:sz w:val="11"/>
          <w:szCs w:val="11"/>
          <w:color w:val="auto"/>
        </w:rPr>
        <w:t>. The Company has established, maintains and evaluates “disclosure controls and procedures” (as such term is defined in Rule 13a-15(e) and 15d-15(e) under the Exchange Act), which (i) are</w:t>
      </w:r>
      <w:r>
        <w:rPr>
          <w:rFonts w:ascii="Arial" w:cs="Arial" w:eastAsia="Arial" w:hAnsi="Arial"/>
          <w:sz w:val="11"/>
          <w:szCs w:val="11"/>
          <w:i w:val="1"/>
          <w:iCs w:val="1"/>
          <w:color w:val="auto"/>
        </w:rPr>
        <w:t xml:space="preserve"> </w:t>
      </w:r>
      <w:r>
        <w:rPr>
          <w:rFonts w:ascii="Arial" w:cs="Arial" w:eastAsia="Arial" w:hAnsi="Arial"/>
          <w:sz w:val="11"/>
          <w:szCs w:val="11"/>
          <w:color w:val="auto"/>
        </w:rPr>
        <w:t>designed to ensure that material information relating to the Company is made known to the Company’s principal executive officer and its principal financial officer by others within those entities, particularly during the periods in which the periodic reports required under the Exchange Act are being prepared, (ii) have been evaluated for effectiveness as of the end of the last fiscal period covered by the Registration Statement; and (iii) except as disclosed in the Registration Statement and Disclosure Documents, such disclosure controls and procedures are effective to perform the functions for which they were established. Except as disclosed in the Registration Statement and the Disclosure Documents, there are no significant deficiencies and material weaknesses in the design or operation of internal controls which could adversely affect the Company’s ability to record, process, summarize, and report financial data to management and the Board of Directors. The Company is not aware of any fraud, whether or not material, that involves management or other employees who have a role in the Company’s internal controls. Except as disclosed in the Registration Statement and the Disclosure Documents, since the date of the most recent evaluation of such disclosure controls and procedures, there have been no significant changes in internal controls or in other factors that could significantly affect internal controls, including any corrective actions with regard to significant deficiencies and material weaknesses.</w:t>
      </w:r>
    </w:p>
    <w:p>
      <w:pPr>
        <w:spacing w:after="0" w:line="134" w:lineRule="exact"/>
        <w:rPr>
          <w:rFonts w:ascii="Arial" w:cs="Arial" w:eastAsia="Arial" w:hAnsi="Arial"/>
          <w:sz w:val="11"/>
          <w:szCs w:val="11"/>
          <w:color w:val="auto"/>
        </w:rPr>
      </w:pPr>
    </w:p>
    <w:p>
      <w:pPr>
        <w:jc w:val="both"/>
        <w:ind w:left="-432" w:firstLine="432"/>
        <w:spacing w:after="0" w:line="263" w:lineRule="auto"/>
        <w:tabs>
          <w:tab w:leader="none" w:pos="518" w:val="left"/>
        </w:tabs>
        <w:numPr>
          <w:ilvl w:val="0"/>
          <w:numId w:val="92"/>
        </w:numPr>
        <w:rPr>
          <w:rFonts w:ascii="Arial" w:cs="Arial" w:eastAsia="Arial" w:hAnsi="Arial"/>
          <w:sz w:val="12"/>
          <w:szCs w:val="12"/>
          <w:color w:val="auto"/>
        </w:rPr>
      </w:pPr>
      <w:r>
        <w:rPr>
          <w:rFonts w:ascii="Arial" w:cs="Arial" w:eastAsia="Arial" w:hAnsi="Arial"/>
          <w:sz w:val="12"/>
          <w:szCs w:val="12"/>
          <w:i w:val="1"/>
          <w:iCs w:val="1"/>
          <w:color w:val="auto"/>
        </w:rPr>
        <w:t>Lock-Up Agreements</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Schedule A</w:t>
      </w:r>
      <w:r>
        <w:rPr>
          <w:rFonts w:ascii="Arial" w:cs="Arial" w:eastAsia="Arial" w:hAnsi="Arial"/>
          <w:sz w:val="12"/>
          <w:szCs w:val="12"/>
          <w:i w:val="1"/>
          <w:iCs w:val="1"/>
          <w:color w:val="auto"/>
        </w:rPr>
        <w:t xml:space="preserve"> </w:t>
      </w:r>
      <w:r>
        <w:rPr>
          <w:rFonts w:ascii="Arial" w:cs="Arial" w:eastAsia="Arial" w:hAnsi="Arial"/>
          <w:sz w:val="12"/>
          <w:szCs w:val="12"/>
          <w:color w:val="auto"/>
        </w:rPr>
        <w:t>hereto contains a complete and accurate list of the Company’s officers, directors and each owner of at least 5% of the Company’s outstanding shares of Common Stock (or securities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convertible or exercisable into shares of Common Stock) (collectively, the </w:t>
      </w:r>
      <w:r>
        <w:rPr>
          <w:rFonts w:ascii="Arial" w:cs="Arial" w:eastAsia="Arial" w:hAnsi="Arial"/>
          <w:sz w:val="12"/>
          <w:szCs w:val="12"/>
          <w:i w:val="1"/>
          <w:iCs w:val="1"/>
          <w:color w:val="auto"/>
        </w:rPr>
        <w:t>“Lock-Up Parties</w:t>
      </w:r>
      <w:r>
        <w:rPr>
          <w:rFonts w:ascii="Arial" w:cs="Arial" w:eastAsia="Arial" w:hAnsi="Arial"/>
          <w:sz w:val="12"/>
          <w:szCs w:val="12"/>
          <w:color w:val="auto"/>
        </w:rPr>
        <w:t xml:space="preserve">”). The Company has caused each of the Lock-Up Parties to deliver to the Representative executed Lock-Up Agreements, in the form attached hereto as </w:t>
      </w:r>
      <w:r>
        <w:rPr>
          <w:rFonts w:ascii="Arial" w:cs="Arial" w:eastAsia="Arial" w:hAnsi="Arial"/>
          <w:sz w:val="12"/>
          <w:szCs w:val="12"/>
          <w:u w:val="single" w:color="auto"/>
          <w:color w:val="auto"/>
        </w:rPr>
        <w:t>Exhibit F</w:t>
      </w:r>
      <w:r>
        <w:rPr>
          <w:rFonts w:ascii="Arial" w:cs="Arial" w:eastAsia="Arial" w:hAnsi="Arial"/>
          <w:sz w:val="12"/>
          <w:szCs w:val="12"/>
          <w:color w:val="auto"/>
        </w:rPr>
        <w:t>, prior to the execution of this Agreement.</w:t>
      </w:r>
    </w:p>
    <w:p>
      <w:pPr>
        <w:spacing w:after="0" w:line="140" w:lineRule="exact"/>
        <w:rPr>
          <w:rFonts w:ascii="Arial" w:cs="Arial" w:eastAsia="Arial" w:hAnsi="Arial"/>
          <w:sz w:val="12"/>
          <w:szCs w:val="12"/>
          <w:color w:val="auto"/>
        </w:rPr>
      </w:pPr>
    </w:p>
    <w:p>
      <w:pPr>
        <w:ind w:left="-432" w:firstLine="432"/>
        <w:spacing w:after="0" w:line="276" w:lineRule="auto"/>
        <w:tabs>
          <w:tab w:leader="none" w:pos="590" w:val="left"/>
        </w:tabs>
        <w:numPr>
          <w:ilvl w:val="0"/>
          <w:numId w:val="92"/>
        </w:numPr>
        <w:rPr>
          <w:rFonts w:ascii="Arial" w:cs="Arial" w:eastAsia="Arial" w:hAnsi="Arial"/>
          <w:sz w:val="12"/>
          <w:szCs w:val="12"/>
          <w:color w:val="auto"/>
        </w:rPr>
      </w:pPr>
      <w:r>
        <w:rPr>
          <w:rFonts w:ascii="Arial" w:cs="Arial" w:eastAsia="Arial" w:hAnsi="Arial"/>
          <w:sz w:val="12"/>
          <w:szCs w:val="12"/>
          <w:i w:val="1"/>
          <w:iCs w:val="1"/>
          <w:color w:val="auto"/>
        </w:rPr>
        <w:t>Related Party Transactions</w:t>
      </w:r>
      <w:r>
        <w:rPr>
          <w:rFonts w:ascii="Arial" w:cs="Arial" w:eastAsia="Arial" w:hAnsi="Arial"/>
          <w:sz w:val="12"/>
          <w:szCs w:val="12"/>
          <w:color w:val="auto"/>
        </w:rPr>
        <w:t>. There are no business relationships or related party transactions involving the Company or any other person required to be described in the Registration Statement and the Disclosure</w:t>
      </w:r>
      <w:r>
        <w:rPr>
          <w:rFonts w:ascii="Arial" w:cs="Arial" w:eastAsia="Arial" w:hAnsi="Arial"/>
          <w:sz w:val="12"/>
          <w:szCs w:val="12"/>
          <w:i w:val="1"/>
          <w:iCs w:val="1"/>
          <w:color w:val="auto"/>
        </w:rPr>
        <w:t xml:space="preserve"> </w:t>
      </w:r>
      <w:r>
        <w:rPr>
          <w:rFonts w:ascii="Arial" w:cs="Arial" w:eastAsia="Arial" w:hAnsi="Arial"/>
          <w:sz w:val="12"/>
          <w:szCs w:val="12"/>
          <w:color w:val="auto"/>
        </w:rPr>
        <w:t>Documents that have not been described as required.</w:t>
      </w:r>
    </w:p>
    <w:p>
      <w:pPr>
        <w:spacing w:after="0" w:line="132" w:lineRule="exact"/>
        <w:rPr>
          <w:rFonts w:ascii="Arial" w:cs="Arial" w:eastAsia="Arial" w:hAnsi="Arial"/>
          <w:sz w:val="12"/>
          <w:szCs w:val="12"/>
          <w:color w:val="auto"/>
        </w:rPr>
      </w:pPr>
    </w:p>
    <w:p>
      <w:pPr>
        <w:jc w:val="both"/>
        <w:ind w:left="-432" w:firstLine="432"/>
        <w:spacing w:after="0" w:line="290" w:lineRule="auto"/>
        <w:tabs>
          <w:tab w:leader="none" w:pos="510" w:val="left"/>
        </w:tabs>
        <w:numPr>
          <w:ilvl w:val="0"/>
          <w:numId w:val="92"/>
        </w:numPr>
        <w:rPr>
          <w:rFonts w:ascii="Arial" w:cs="Arial" w:eastAsia="Arial" w:hAnsi="Arial"/>
          <w:sz w:val="11"/>
          <w:szCs w:val="11"/>
          <w:color w:val="auto"/>
        </w:rPr>
      </w:pPr>
      <w:r>
        <w:rPr>
          <w:rFonts w:ascii="Arial" w:cs="Arial" w:eastAsia="Arial" w:hAnsi="Arial"/>
          <w:sz w:val="11"/>
          <w:szCs w:val="11"/>
          <w:i w:val="1"/>
          <w:iCs w:val="1"/>
          <w:color w:val="auto"/>
        </w:rPr>
        <w:t>Board of Directors</w:t>
      </w:r>
      <w:r>
        <w:rPr>
          <w:rFonts w:ascii="Arial" w:cs="Arial" w:eastAsia="Arial" w:hAnsi="Arial"/>
          <w:sz w:val="11"/>
          <w:szCs w:val="11"/>
          <w:color w:val="auto"/>
        </w:rPr>
        <w:t>. The Board of Directors of the Company is comprised of the persons set forth under the heading of the Pricing Prospectus and the Prospectus captioned “Management.” The qualifications of the</w:t>
      </w:r>
      <w:r>
        <w:rPr>
          <w:rFonts w:ascii="Arial" w:cs="Arial" w:eastAsia="Arial" w:hAnsi="Arial"/>
          <w:sz w:val="11"/>
          <w:szCs w:val="11"/>
          <w:i w:val="1"/>
          <w:iCs w:val="1"/>
          <w:color w:val="auto"/>
        </w:rPr>
        <w:t xml:space="preserve"> </w:t>
      </w:r>
      <w:r>
        <w:rPr>
          <w:rFonts w:ascii="Arial" w:cs="Arial" w:eastAsia="Arial" w:hAnsi="Arial"/>
          <w:sz w:val="11"/>
          <w:szCs w:val="11"/>
          <w:color w:val="auto"/>
        </w:rPr>
        <w:t>persons serving as board members and the overall composition of the board comply with the Sarbanes-Oxley Act of 2002 and the rules promulgated thereunder (the “</w:t>
      </w:r>
      <w:r>
        <w:rPr>
          <w:rFonts w:ascii="Arial" w:cs="Arial" w:eastAsia="Arial" w:hAnsi="Arial"/>
          <w:sz w:val="11"/>
          <w:szCs w:val="11"/>
          <w:i w:val="1"/>
          <w:iCs w:val="1"/>
          <w:color w:val="auto"/>
        </w:rPr>
        <w:t>Sarbanes-Oxley Act</w:t>
      </w:r>
      <w:r>
        <w:rPr>
          <w:rFonts w:ascii="Arial" w:cs="Arial" w:eastAsia="Arial" w:hAnsi="Arial"/>
          <w:sz w:val="11"/>
          <w:szCs w:val="11"/>
          <w:color w:val="auto"/>
        </w:rPr>
        <w:t>”) applicable to the Company and the listing rules of the Nasdaq Stock Market LLC. At least one member of the Audit Committee of the Board of Directors of the Company qualifies as a “financial expert,” as such term is defined under the Sarbanes-Oxley Act and the listing rules of the Nasdaq Stock Market LLC. In addition, at least a majority of the persons serving on the Board of Directors qualify as “independent,” as defined under the listing rules of the Nasdaq Stock Market LLC.</w:t>
      </w:r>
    </w:p>
    <w:p>
      <w:pPr>
        <w:spacing w:after="0" w:line="127" w:lineRule="exact"/>
        <w:rPr>
          <w:rFonts w:ascii="Arial" w:cs="Arial" w:eastAsia="Arial" w:hAnsi="Arial"/>
          <w:sz w:val="11"/>
          <w:szCs w:val="11"/>
          <w:color w:val="auto"/>
        </w:rPr>
      </w:pPr>
    </w:p>
    <w:p>
      <w:pPr>
        <w:jc w:val="both"/>
        <w:ind w:left="-432" w:firstLine="432"/>
        <w:spacing w:after="0" w:line="259" w:lineRule="auto"/>
        <w:tabs>
          <w:tab w:leader="none" w:pos="456" w:val="left"/>
        </w:tabs>
        <w:numPr>
          <w:ilvl w:val="0"/>
          <w:numId w:val="92"/>
        </w:numPr>
        <w:rPr>
          <w:rFonts w:ascii="Arial" w:cs="Arial" w:eastAsia="Arial" w:hAnsi="Arial"/>
          <w:sz w:val="12"/>
          <w:szCs w:val="12"/>
          <w:color w:val="auto"/>
        </w:rPr>
      </w:pPr>
      <w:r>
        <w:rPr>
          <w:rFonts w:ascii="Arial" w:cs="Arial" w:eastAsia="Arial" w:hAnsi="Arial"/>
          <w:sz w:val="12"/>
          <w:szCs w:val="12"/>
          <w:i w:val="1"/>
          <w:iCs w:val="1"/>
          <w:color w:val="auto"/>
        </w:rPr>
        <w:t>Corrupt Practices</w:t>
      </w:r>
      <w:r>
        <w:rPr>
          <w:rFonts w:ascii="Arial" w:cs="Arial" w:eastAsia="Arial" w:hAnsi="Arial"/>
          <w:sz w:val="12"/>
          <w:szCs w:val="12"/>
          <w:color w:val="auto"/>
        </w:rPr>
        <w:t>. Neither the Company nor, to the Company’s knowledge, any other person associated with or acting on behalf of the Company, including without limitation any director, officer, agent or employee of</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or its Subsidiaries has, directly or indirectly, while acting on behalf of the Company or its Subsidiaries (i) used any corporate funds for unlawful contributions, gifts, entertainment or other unlawful expenses relating to political activity, (ii) made any unlawful payment to foreign or domestic government officials or employees or to foreign or domestic political parties or campaigns from corporate funds, (iii) violated any provision of the Foreign Corrupt Practices Act of 1977, as amended or (iv) made any other unlawful payment.</w:t>
      </w:r>
    </w:p>
    <w:p>
      <w:pPr>
        <w:spacing w:after="0" w:line="142" w:lineRule="exact"/>
        <w:rPr>
          <w:rFonts w:ascii="Arial" w:cs="Arial" w:eastAsia="Arial" w:hAnsi="Arial"/>
          <w:sz w:val="12"/>
          <w:szCs w:val="12"/>
          <w:color w:val="auto"/>
        </w:rPr>
      </w:pPr>
    </w:p>
    <w:p>
      <w:pPr>
        <w:jc w:val="both"/>
        <w:ind w:left="-432" w:firstLine="432"/>
        <w:spacing w:after="0" w:line="263" w:lineRule="auto"/>
        <w:tabs>
          <w:tab w:leader="none" w:pos="617" w:val="left"/>
        </w:tabs>
        <w:numPr>
          <w:ilvl w:val="0"/>
          <w:numId w:val="92"/>
        </w:numPr>
        <w:rPr>
          <w:rFonts w:ascii="Arial" w:cs="Arial" w:eastAsia="Arial" w:hAnsi="Arial"/>
          <w:sz w:val="12"/>
          <w:szCs w:val="12"/>
          <w:color w:val="auto"/>
        </w:rPr>
      </w:pPr>
      <w:r>
        <w:rPr>
          <w:rFonts w:ascii="Arial" w:cs="Arial" w:eastAsia="Arial" w:hAnsi="Arial"/>
          <w:sz w:val="12"/>
          <w:szCs w:val="12"/>
          <w:i w:val="1"/>
          <w:iCs w:val="1"/>
          <w:color w:val="auto"/>
        </w:rPr>
        <w:t>No Price Stabilization</w:t>
      </w:r>
      <w:r>
        <w:rPr>
          <w:rFonts w:ascii="Arial" w:cs="Arial" w:eastAsia="Arial" w:hAnsi="Arial"/>
          <w:sz w:val="12"/>
          <w:szCs w:val="12"/>
          <w:color w:val="auto"/>
        </w:rPr>
        <w:t>. Neither the Company nor the Subsidiaries nor, to the Company’s knowledge, any of their respective officers, directors, affiliates or controlling persons has taken or will take, directly or</w:t>
      </w:r>
      <w:r>
        <w:rPr>
          <w:rFonts w:ascii="Arial" w:cs="Arial" w:eastAsia="Arial" w:hAnsi="Arial"/>
          <w:sz w:val="12"/>
          <w:szCs w:val="12"/>
          <w:i w:val="1"/>
          <w:iCs w:val="1"/>
          <w:color w:val="auto"/>
        </w:rPr>
        <w:t xml:space="preserve"> </w:t>
      </w:r>
      <w:r>
        <w:rPr>
          <w:rFonts w:ascii="Arial" w:cs="Arial" w:eastAsia="Arial" w:hAnsi="Arial"/>
          <w:sz w:val="12"/>
          <w:szCs w:val="12"/>
          <w:color w:val="auto"/>
        </w:rPr>
        <w:t>indirectly, any action designed to cause or result in, or which has constituted or which might reasonably be expected to constitute the stabilization or manipulation of the price of any security of the Company to facilitate the sale or resale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262890</wp:posOffset>
            </wp:positionV>
            <wp:extent cx="7299325" cy="18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392" w:right="199" w:bottom="1440" w:gutter="0" w:footer="0" w:header="0"/>
        </w:sectPr>
      </w:pPr>
    </w:p>
    <w:bookmarkStart w:id="189" w:name="page190"/>
    <w:bookmarkEnd w:id="189"/>
    <w:p>
      <w:pPr>
        <w:jc w:val="both"/>
        <w:ind w:firstLine="432"/>
        <w:spacing w:after="0" w:line="257" w:lineRule="auto"/>
        <w:tabs>
          <w:tab w:leader="none" w:pos="924" w:val="left"/>
        </w:tabs>
        <w:numPr>
          <w:ilvl w:val="1"/>
          <w:numId w:val="93"/>
        </w:numPr>
        <w:rPr>
          <w:rFonts w:ascii="Arial" w:cs="Arial" w:eastAsia="Arial" w:hAnsi="Arial"/>
          <w:sz w:val="12"/>
          <w:szCs w:val="12"/>
          <w:color w:val="auto"/>
        </w:rPr>
      </w:pPr>
      <w:r>
        <w:rPr>
          <w:rFonts w:ascii="Arial" w:cs="Arial" w:eastAsia="Arial" w:hAnsi="Arial"/>
          <w:sz w:val="12"/>
          <w:szCs w:val="12"/>
          <w:i w:val="1"/>
          <w:iCs w:val="1"/>
          <w:color w:val="auto"/>
        </w:rPr>
        <w:t>No Undisclosed Relationships</w:t>
      </w:r>
      <w:r>
        <w:rPr>
          <w:rFonts w:ascii="Arial" w:cs="Arial" w:eastAsia="Arial" w:hAnsi="Arial"/>
          <w:sz w:val="12"/>
          <w:szCs w:val="12"/>
          <w:color w:val="auto"/>
        </w:rPr>
        <w:t>. No relationship, direct or indirect, exists between or among the Company on the one hand and the directors, officers, stockholders, customers or suppliers of the Company on the other</w:t>
      </w:r>
      <w:r>
        <w:rPr>
          <w:rFonts w:ascii="Arial" w:cs="Arial" w:eastAsia="Arial" w:hAnsi="Arial"/>
          <w:sz w:val="12"/>
          <w:szCs w:val="12"/>
          <w:i w:val="1"/>
          <w:iCs w:val="1"/>
          <w:color w:val="auto"/>
        </w:rPr>
        <w:t xml:space="preserve"> </w:t>
      </w:r>
      <w:r>
        <w:rPr>
          <w:rFonts w:ascii="Arial" w:cs="Arial" w:eastAsia="Arial" w:hAnsi="Arial"/>
          <w:sz w:val="12"/>
          <w:szCs w:val="12"/>
          <w:color w:val="auto"/>
        </w:rPr>
        <w:t>hand which is required to be described in the Registration Statement and the Disclosure Documents which has not been so described. There are no outstanding loans, advances (except normal advances for business expenses in the ordinary course of business) or guarantees of indebtedness by the Company to or for the benefit of any of the officers or directors of the Company or any member of their respective immediate families. The Company has not, in violation of the Sarbanes-Oxley Act, directly or indirectly, extended or maintained credit, arranged for the extension of credit, or renewed an extension of credit, in the form of a personal loan to or for any director or executive officer of the Company.</w:t>
      </w:r>
    </w:p>
    <w:p>
      <w:pPr>
        <w:spacing w:after="0" w:line="143" w:lineRule="exact"/>
        <w:rPr>
          <w:rFonts w:ascii="Arial" w:cs="Arial" w:eastAsia="Arial" w:hAnsi="Arial"/>
          <w:sz w:val="12"/>
          <w:szCs w:val="12"/>
          <w:color w:val="auto"/>
        </w:rPr>
      </w:pPr>
    </w:p>
    <w:p>
      <w:pPr>
        <w:ind w:firstLine="432"/>
        <w:spacing w:after="0" w:line="276" w:lineRule="auto"/>
        <w:tabs>
          <w:tab w:leader="none" w:pos="1017" w:val="left"/>
        </w:tabs>
        <w:numPr>
          <w:ilvl w:val="1"/>
          <w:numId w:val="93"/>
        </w:numPr>
        <w:rPr>
          <w:rFonts w:ascii="Arial" w:cs="Arial" w:eastAsia="Arial" w:hAnsi="Arial"/>
          <w:sz w:val="12"/>
          <w:szCs w:val="12"/>
          <w:color w:val="auto"/>
        </w:rPr>
      </w:pPr>
      <w:r>
        <w:rPr>
          <w:rFonts w:ascii="Arial" w:cs="Arial" w:eastAsia="Arial" w:hAnsi="Arial"/>
          <w:sz w:val="12"/>
          <w:szCs w:val="12"/>
          <w:i w:val="1"/>
          <w:iCs w:val="1"/>
          <w:color w:val="auto"/>
        </w:rPr>
        <w:t>Sarbanes-Oxley Act</w:t>
      </w:r>
      <w:r>
        <w:rPr>
          <w:rFonts w:ascii="Arial" w:cs="Arial" w:eastAsia="Arial" w:hAnsi="Arial"/>
          <w:sz w:val="12"/>
          <w:szCs w:val="12"/>
          <w:color w:val="auto"/>
        </w:rPr>
        <w:t>. The Company, and to its knowledge all of the Company’s directors or officers, in their capacities as such, are in compliance in all material respects with all applicable effective provisions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Sarbanes-Oxley Act and any related rules and regulations promulgated by the Commission.</w:t>
      </w:r>
    </w:p>
    <w:p>
      <w:pPr>
        <w:spacing w:after="0" w:line="132" w:lineRule="exact"/>
        <w:rPr>
          <w:rFonts w:ascii="Arial" w:cs="Arial" w:eastAsia="Arial" w:hAnsi="Arial"/>
          <w:sz w:val="12"/>
          <w:szCs w:val="12"/>
          <w:color w:val="auto"/>
        </w:rPr>
      </w:pPr>
    </w:p>
    <w:p>
      <w:pPr>
        <w:ind w:firstLine="432"/>
        <w:spacing w:after="0" w:line="276" w:lineRule="auto"/>
        <w:tabs>
          <w:tab w:leader="none" w:pos="932" w:val="left"/>
        </w:tabs>
        <w:numPr>
          <w:ilvl w:val="1"/>
          <w:numId w:val="93"/>
        </w:numPr>
        <w:rPr>
          <w:rFonts w:ascii="Arial" w:cs="Arial" w:eastAsia="Arial" w:hAnsi="Arial"/>
          <w:sz w:val="12"/>
          <w:szCs w:val="12"/>
          <w:color w:val="auto"/>
        </w:rPr>
      </w:pPr>
      <w:r>
        <w:rPr>
          <w:rFonts w:ascii="Arial" w:cs="Arial" w:eastAsia="Arial" w:hAnsi="Arial"/>
          <w:sz w:val="12"/>
          <w:szCs w:val="12"/>
          <w:i w:val="1"/>
          <w:iCs w:val="1"/>
          <w:color w:val="auto"/>
        </w:rPr>
        <w:t>Brokers Fees</w:t>
      </w:r>
      <w:r>
        <w:rPr>
          <w:rFonts w:ascii="Arial" w:cs="Arial" w:eastAsia="Arial" w:hAnsi="Arial"/>
          <w:sz w:val="12"/>
          <w:szCs w:val="12"/>
          <w:color w:val="auto"/>
        </w:rPr>
        <w:t>. Neither the Company nor the Subsidiaries is a party to any contract, agreement or understanding with any person (other than this Agreement) that would give rise to a valid claim against the Company or</w:t>
      </w:r>
      <w:r>
        <w:rPr>
          <w:rFonts w:ascii="Arial" w:cs="Arial" w:eastAsia="Arial" w:hAnsi="Arial"/>
          <w:sz w:val="12"/>
          <w:szCs w:val="12"/>
          <w:i w:val="1"/>
          <w:iCs w:val="1"/>
          <w:color w:val="auto"/>
        </w:rPr>
        <w:t xml:space="preserve"> </w:t>
      </w:r>
      <w:r>
        <w:rPr>
          <w:rFonts w:ascii="Arial" w:cs="Arial" w:eastAsia="Arial" w:hAnsi="Arial"/>
          <w:sz w:val="12"/>
          <w:szCs w:val="12"/>
          <w:color w:val="auto"/>
        </w:rPr>
        <w:t>the Subsidiaries or the Placement Agent for a brokerage commission, finder’s fee or other like payment in connection with the offering and sale of the Securities.</w:t>
      </w:r>
    </w:p>
    <w:p>
      <w:pPr>
        <w:spacing w:after="0" w:line="132" w:lineRule="exact"/>
        <w:rPr>
          <w:rFonts w:ascii="Arial" w:cs="Arial" w:eastAsia="Arial" w:hAnsi="Arial"/>
          <w:sz w:val="12"/>
          <w:szCs w:val="12"/>
          <w:color w:val="auto"/>
        </w:rPr>
      </w:pPr>
    </w:p>
    <w:p>
      <w:pPr>
        <w:ind w:left="960" w:hanging="528"/>
        <w:spacing w:after="0"/>
        <w:tabs>
          <w:tab w:leader="none" w:pos="960" w:val="left"/>
        </w:tabs>
        <w:numPr>
          <w:ilvl w:val="1"/>
          <w:numId w:val="93"/>
        </w:numPr>
        <w:rPr>
          <w:rFonts w:ascii="Arial" w:cs="Arial" w:eastAsia="Arial" w:hAnsi="Arial"/>
          <w:sz w:val="10"/>
          <w:szCs w:val="10"/>
          <w:color w:val="auto"/>
        </w:rPr>
      </w:pPr>
      <w:r>
        <w:rPr>
          <w:rFonts w:ascii="Arial" w:cs="Arial" w:eastAsia="Arial" w:hAnsi="Arial"/>
          <w:sz w:val="10"/>
          <w:szCs w:val="10"/>
          <w:i w:val="1"/>
          <w:iCs w:val="1"/>
          <w:color w:val="auto"/>
        </w:rPr>
        <w:t>Payments Within Twelve (12) Months</w:t>
      </w:r>
      <w:r>
        <w:rPr>
          <w:rFonts w:ascii="Arial" w:cs="Arial" w:eastAsia="Arial" w:hAnsi="Arial"/>
          <w:sz w:val="10"/>
          <w:szCs w:val="10"/>
          <w:color w:val="auto"/>
        </w:rPr>
        <w:t>. Except as disclosed in the Registration Statement and the Disclosure Documents, the Company has not made any direct or indirect payments (in cash, securities or otherwise) to:</w:t>
      </w:r>
    </w:p>
    <w:p>
      <w:pPr>
        <w:spacing w:after="0" w:line="37" w:lineRule="exact"/>
        <w:rPr>
          <w:rFonts w:ascii="Arial" w:cs="Arial" w:eastAsia="Arial" w:hAnsi="Arial"/>
          <w:sz w:val="10"/>
          <w:szCs w:val="10"/>
          <w:color w:val="auto"/>
        </w:rPr>
      </w:pPr>
    </w:p>
    <w:p>
      <w:pPr>
        <w:jc w:val="both"/>
        <w:spacing w:after="0" w:line="255" w:lineRule="auto"/>
        <w:tabs>
          <w:tab w:leader="none" w:pos="154" w:val="left"/>
        </w:tabs>
        <w:numPr>
          <w:ilvl w:val="0"/>
          <w:numId w:val="94"/>
        </w:numPr>
        <w:rPr>
          <w:rFonts w:ascii="Arial" w:cs="Arial" w:eastAsia="Arial" w:hAnsi="Arial"/>
          <w:sz w:val="12"/>
          <w:szCs w:val="12"/>
          <w:color w:val="auto"/>
        </w:rPr>
      </w:pPr>
      <w:r>
        <w:rPr>
          <w:rFonts w:ascii="Arial" w:cs="Arial" w:eastAsia="Arial" w:hAnsi="Arial"/>
          <w:sz w:val="12"/>
          <w:szCs w:val="12"/>
          <w:color w:val="auto"/>
        </w:rPr>
        <w:t>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such Closing Date, other than the payment to the Placement Agent as provided hereunder in connection with the Offering.</w:t>
      </w:r>
    </w:p>
    <w:p>
      <w:pPr>
        <w:spacing w:after="0" w:line="145" w:lineRule="exact"/>
        <w:rPr>
          <w:rFonts w:ascii="Arial" w:cs="Arial" w:eastAsia="Arial" w:hAnsi="Arial"/>
          <w:sz w:val="12"/>
          <w:szCs w:val="12"/>
          <w:color w:val="auto"/>
        </w:rPr>
      </w:pPr>
    </w:p>
    <w:p>
      <w:pPr>
        <w:ind w:left="940" w:hanging="508"/>
        <w:spacing w:after="0"/>
        <w:tabs>
          <w:tab w:leader="none" w:pos="940" w:val="left"/>
        </w:tabs>
        <w:numPr>
          <w:ilvl w:val="1"/>
          <w:numId w:val="94"/>
        </w:numPr>
        <w:rPr>
          <w:rFonts w:ascii="Arial" w:cs="Arial" w:eastAsia="Arial" w:hAnsi="Arial"/>
          <w:sz w:val="12"/>
          <w:szCs w:val="12"/>
          <w:color w:val="auto"/>
        </w:rPr>
      </w:pPr>
      <w:r>
        <w:rPr>
          <w:rFonts w:ascii="Arial" w:cs="Arial" w:eastAsia="Arial" w:hAnsi="Arial"/>
          <w:sz w:val="12"/>
          <w:szCs w:val="12"/>
          <w:i w:val="1"/>
          <w:iCs w:val="1"/>
          <w:color w:val="auto"/>
        </w:rPr>
        <w:t>Exchange Act Requirements</w:t>
      </w:r>
      <w:r>
        <w:rPr>
          <w:rFonts w:ascii="Arial" w:cs="Arial" w:eastAsia="Arial" w:hAnsi="Arial"/>
          <w:sz w:val="12"/>
          <w:szCs w:val="12"/>
          <w:color w:val="auto"/>
        </w:rPr>
        <w:t>. The Company has filed all reports required to be filed pursuant to Sections 13(a), 13(e), 14 and 15(d) of the Exchange Act during the preceding 12 months.</w:t>
      </w:r>
    </w:p>
    <w:p>
      <w:pPr>
        <w:spacing w:after="0" w:line="168" w:lineRule="exact"/>
        <w:rPr>
          <w:rFonts w:ascii="Arial" w:cs="Arial" w:eastAsia="Arial" w:hAnsi="Arial"/>
          <w:sz w:val="12"/>
          <w:szCs w:val="12"/>
          <w:color w:val="auto"/>
        </w:rPr>
      </w:pPr>
    </w:p>
    <w:p>
      <w:pPr>
        <w:jc w:val="both"/>
        <w:ind w:firstLine="432"/>
        <w:spacing w:after="0" w:line="230" w:lineRule="auto"/>
        <w:tabs>
          <w:tab w:leader="none" w:pos="1022" w:val="left"/>
        </w:tabs>
        <w:numPr>
          <w:ilvl w:val="1"/>
          <w:numId w:val="94"/>
        </w:numPr>
        <w:rPr>
          <w:rFonts w:ascii="Arial" w:cs="Arial" w:eastAsia="Arial" w:hAnsi="Arial"/>
          <w:sz w:val="12"/>
          <w:szCs w:val="12"/>
          <w:color w:val="auto"/>
        </w:rPr>
      </w:pPr>
      <w:r>
        <w:rPr>
          <w:rFonts w:ascii="Arial" w:cs="Arial" w:eastAsia="Arial" w:hAnsi="Arial"/>
          <w:sz w:val="12"/>
          <w:szCs w:val="12"/>
          <w:i w:val="1"/>
          <w:iCs w:val="1"/>
          <w:color w:val="auto"/>
        </w:rPr>
        <w:t>FINRA Affiliations</w:t>
      </w:r>
      <w:r>
        <w:rPr>
          <w:rFonts w:ascii="Arial" w:cs="Arial" w:eastAsia="Arial" w:hAnsi="Arial"/>
          <w:sz w:val="12"/>
          <w:szCs w:val="12"/>
          <w:color w:val="auto"/>
        </w:rPr>
        <w:t>. To the Company’s knowledge, there are no affiliations or associations between (i) any member of FINRA and (ii) the Company or any of the Company’s officers, directors or 10% or greater</w:t>
      </w:r>
      <w:r>
        <w:rPr>
          <w:rFonts w:ascii="Arial" w:cs="Arial" w:eastAsia="Arial" w:hAnsi="Arial"/>
          <w:sz w:val="12"/>
          <w:szCs w:val="12"/>
          <w:i w:val="1"/>
          <w:iCs w:val="1"/>
          <w:color w:val="auto"/>
        </w:rPr>
        <w:t xml:space="preserve"> </w:t>
      </w:r>
      <w:r>
        <w:rPr>
          <w:rFonts w:ascii="Arial" w:cs="Arial" w:eastAsia="Arial" w:hAnsi="Arial"/>
          <w:sz w:val="12"/>
          <w:szCs w:val="12"/>
          <w:color w:val="auto"/>
        </w:rPr>
        <w:t>security holders or any beneficial owner of the Company’s unregistered equity securities that were acquired at any time on or after the one hundred eightieth (180</w:t>
      </w:r>
      <w:r>
        <w:rPr>
          <w:rFonts w:ascii="Arial" w:cs="Arial" w:eastAsia="Arial" w:hAnsi="Arial"/>
          <w:sz w:val="16"/>
          <w:szCs w:val="16"/>
          <w:color w:val="auto"/>
          <w:vertAlign w:val="superscript"/>
        </w:rPr>
        <w:t>th</w:t>
      </w:r>
      <w:r>
        <w:rPr>
          <w:rFonts w:ascii="Arial" w:cs="Arial" w:eastAsia="Arial" w:hAnsi="Arial"/>
          <w:sz w:val="12"/>
          <w:szCs w:val="12"/>
          <w:color w:val="auto"/>
        </w:rPr>
        <w:t>) day immediately preceding the date the Registration Statement was initially filed with the Commission.</w:t>
      </w:r>
    </w:p>
    <w:p>
      <w:pPr>
        <w:spacing w:after="0" w:line="153" w:lineRule="exact"/>
        <w:rPr>
          <w:rFonts w:ascii="Arial" w:cs="Arial" w:eastAsia="Arial" w:hAnsi="Arial"/>
          <w:sz w:val="12"/>
          <w:szCs w:val="12"/>
          <w:color w:val="auto"/>
        </w:rPr>
      </w:pPr>
    </w:p>
    <w:p>
      <w:pPr>
        <w:jc w:val="both"/>
        <w:ind w:firstLine="432"/>
        <w:spacing w:after="0" w:line="316" w:lineRule="auto"/>
        <w:tabs>
          <w:tab w:leader="none" w:pos="982" w:val="left"/>
        </w:tabs>
        <w:numPr>
          <w:ilvl w:val="1"/>
          <w:numId w:val="94"/>
        </w:numPr>
        <w:rPr>
          <w:rFonts w:ascii="Arial" w:cs="Arial" w:eastAsia="Arial" w:hAnsi="Arial"/>
          <w:sz w:val="10"/>
          <w:szCs w:val="10"/>
          <w:color w:val="auto"/>
        </w:rPr>
      </w:pPr>
      <w:r>
        <w:rPr>
          <w:rFonts w:ascii="Arial" w:cs="Arial" w:eastAsia="Arial" w:hAnsi="Arial"/>
          <w:sz w:val="10"/>
          <w:szCs w:val="10"/>
          <w:i w:val="1"/>
          <w:iCs w:val="1"/>
          <w:color w:val="auto"/>
        </w:rPr>
        <w:t>Compliance with Environmental Laws</w:t>
      </w:r>
      <w:r>
        <w:rPr>
          <w:rFonts w:ascii="Arial" w:cs="Arial" w:eastAsia="Arial" w:hAnsi="Arial"/>
          <w:sz w:val="10"/>
          <w:szCs w:val="10"/>
          <w:color w:val="auto"/>
        </w:rPr>
        <w:t>. The Company and the Subsidiaries (a) are in compliance with any and all applicable foreign, federal, state and local laws, orders, rules, regulations, directives, decrees and</w:t>
      </w:r>
      <w:r>
        <w:rPr>
          <w:rFonts w:ascii="Arial" w:cs="Arial" w:eastAsia="Arial" w:hAnsi="Arial"/>
          <w:sz w:val="10"/>
          <w:szCs w:val="10"/>
          <w:i w:val="1"/>
          <w:iCs w:val="1"/>
          <w:color w:val="auto"/>
        </w:rPr>
        <w:t xml:space="preserve"> </w:t>
      </w:r>
      <w:r>
        <w:rPr>
          <w:rFonts w:ascii="Arial" w:cs="Arial" w:eastAsia="Arial" w:hAnsi="Arial"/>
          <w:sz w:val="10"/>
          <w:szCs w:val="10"/>
          <w:color w:val="auto"/>
        </w:rPr>
        <w:t>judgments relating to the protection of human health and safety, the environment or hazardous or toxic substances or wastes, pollutants or contaminants (“</w:t>
      </w:r>
      <w:r>
        <w:rPr>
          <w:rFonts w:ascii="Arial" w:cs="Arial" w:eastAsia="Arial" w:hAnsi="Arial"/>
          <w:sz w:val="10"/>
          <w:szCs w:val="10"/>
          <w:i w:val="1"/>
          <w:iCs w:val="1"/>
          <w:color w:val="auto"/>
        </w:rPr>
        <w:t>Environmental Laws</w:t>
      </w:r>
      <w:r>
        <w:rPr>
          <w:rFonts w:ascii="Arial" w:cs="Arial" w:eastAsia="Arial" w:hAnsi="Arial"/>
          <w:sz w:val="10"/>
          <w:szCs w:val="10"/>
          <w:color w:val="auto"/>
        </w:rPr>
        <w:t>”), (b) have received all permits, licenses or other approvals required of them under applicable Environmental Laws to conduct their respective businesses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result in a Material Adverse Effect.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248920</wp:posOffset>
            </wp:positionV>
            <wp:extent cx="7299325" cy="18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320" w:top="392" w:right="199" w:bottom="1440" w:gutter="0" w:footer="0" w:header="0"/>
        </w:sectPr>
      </w:pPr>
    </w:p>
    <w:bookmarkStart w:id="190" w:name="page191"/>
    <w:bookmarkEnd w:id="190"/>
    <w:p>
      <w:pPr>
        <w:jc w:val="both"/>
        <w:ind w:left="-432" w:firstLine="432"/>
        <w:spacing w:after="0" w:line="263" w:lineRule="auto"/>
        <w:tabs>
          <w:tab w:leader="none" w:pos="473" w:val="left"/>
        </w:tabs>
        <w:numPr>
          <w:ilvl w:val="0"/>
          <w:numId w:val="95"/>
        </w:numPr>
        <w:rPr>
          <w:rFonts w:ascii="Arial" w:cs="Arial" w:eastAsia="Arial" w:hAnsi="Arial"/>
          <w:sz w:val="12"/>
          <w:szCs w:val="12"/>
          <w:color w:val="auto"/>
        </w:rPr>
      </w:pPr>
      <w:r>
        <w:rPr>
          <w:rFonts w:ascii="Arial" w:cs="Arial" w:eastAsia="Arial" w:hAnsi="Arial"/>
          <w:sz w:val="12"/>
          <w:szCs w:val="12"/>
          <w:i w:val="1"/>
          <w:iCs w:val="1"/>
          <w:color w:val="auto"/>
        </w:rPr>
        <w:t>No Labor Disputes</w:t>
      </w:r>
      <w:r>
        <w:rPr>
          <w:rFonts w:ascii="Arial" w:cs="Arial" w:eastAsia="Arial" w:hAnsi="Arial"/>
          <w:sz w:val="12"/>
          <w:szCs w:val="12"/>
          <w:color w:val="auto"/>
        </w:rPr>
        <w:t>. No labor dispute with the employees of the Company or its Subsidiaries exists or, to the knowledge of the Company, is imminent. The Company has at all times been, and is currently, in compliance</w:t>
      </w:r>
      <w:r>
        <w:rPr>
          <w:rFonts w:ascii="Arial" w:cs="Arial" w:eastAsia="Arial" w:hAnsi="Arial"/>
          <w:sz w:val="12"/>
          <w:szCs w:val="12"/>
          <w:i w:val="1"/>
          <w:iCs w:val="1"/>
          <w:color w:val="auto"/>
        </w:rPr>
        <w:t xml:space="preserve"> </w:t>
      </w:r>
      <w:r>
        <w:rPr>
          <w:rFonts w:ascii="Arial" w:cs="Arial" w:eastAsia="Arial" w:hAnsi="Arial"/>
          <w:sz w:val="12"/>
          <w:szCs w:val="12"/>
          <w:color w:val="auto"/>
        </w:rPr>
        <w:t>in all respects with all federal, state, local or foreign law relating to discrimination in the hiring, promotion or pay of employees or any applicable wage or hour laws concerning the employees of the Company or any Subsidiaries, except where the failure to be in such compliance would not, individually or in the aggregate, result in a Material Adverse Effect.</w:t>
      </w:r>
    </w:p>
    <w:p>
      <w:pPr>
        <w:spacing w:after="0" w:line="140" w:lineRule="exact"/>
        <w:rPr>
          <w:rFonts w:ascii="Arial" w:cs="Arial" w:eastAsia="Arial" w:hAnsi="Arial"/>
          <w:sz w:val="12"/>
          <w:szCs w:val="12"/>
          <w:color w:val="auto"/>
        </w:rPr>
      </w:pPr>
    </w:p>
    <w:p>
      <w:pPr>
        <w:jc w:val="both"/>
        <w:ind w:left="-432" w:firstLine="432"/>
        <w:spacing w:after="0" w:line="263" w:lineRule="auto"/>
        <w:tabs>
          <w:tab w:leader="none" w:pos="465" w:val="left"/>
        </w:tabs>
        <w:numPr>
          <w:ilvl w:val="0"/>
          <w:numId w:val="95"/>
        </w:numPr>
        <w:rPr>
          <w:rFonts w:ascii="Arial" w:cs="Arial" w:eastAsia="Arial" w:hAnsi="Arial"/>
          <w:sz w:val="12"/>
          <w:szCs w:val="12"/>
          <w:color w:val="auto"/>
        </w:rPr>
      </w:pPr>
      <w:r>
        <w:rPr>
          <w:rFonts w:ascii="Arial" w:cs="Arial" w:eastAsia="Arial" w:hAnsi="Arial"/>
          <w:sz w:val="12"/>
          <w:szCs w:val="12"/>
          <w:i w:val="1"/>
          <w:iCs w:val="1"/>
          <w:color w:val="auto"/>
        </w:rPr>
        <w:t>Exchange Act Registration</w:t>
      </w:r>
      <w:r>
        <w:rPr>
          <w:rFonts w:ascii="Arial" w:cs="Arial" w:eastAsia="Arial" w:hAnsi="Arial"/>
          <w:sz w:val="12"/>
          <w:szCs w:val="12"/>
          <w:color w:val="auto"/>
        </w:rPr>
        <w:t>. The shares of the Common Stock are registered pursuant to Section 12(g) of the Exchange Act, and the Company has taken no action designed to, or likely to have the effect of, terminating</w:t>
      </w:r>
      <w:r>
        <w:rPr>
          <w:rFonts w:ascii="Arial" w:cs="Arial" w:eastAsia="Arial" w:hAnsi="Arial"/>
          <w:sz w:val="12"/>
          <w:szCs w:val="12"/>
          <w:i w:val="1"/>
          <w:iCs w:val="1"/>
          <w:color w:val="auto"/>
        </w:rPr>
        <w:t xml:space="preserve"> </w:t>
      </w:r>
      <w:r>
        <w:rPr>
          <w:rFonts w:ascii="Arial" w:cs="Arial" w:eastAsia="Arial" w:hAnsi="Arial"/>
          <w:sz w:val="12"/>
          <w:szCs w:val="12"/>
          <w:color w:val="auto"/>
        </w:rPr>
        <w:t>the registration of the shares of Common Stock under the Exchange Act, nor has the Company received any notification that the Commission or FINRA is contemplating terminating such registration or listing except as otherwise disclosed in the Disclosure Documents.</w:t>
      </w:r>
    </w:p>
    <w:p>
      <w:pPr>
        <w:spacing w:after="0" w:line="140" w:lineRule="exact"/>
        <w:rPr>
          <w:rFonts w:ascii="Arial" w:cs="Arial" w:eastAsia="Arial" w:hAnsi="Arial"/>
          <w:sz w:val="12"/>
          <w:szCs w:val="12"/>
          <w:color w:val="auto"/>
        </w:rPr>
      </w:pPr>
    </w:p>
    <w:p>
      <w:pPr>
        <w:ind w:left="-432" w:right="20" w:firstLine="432"/>
        <w:spacing w:after="0" w:line="276" w:lineRule="auto"/>
        <w:tabs>
          <w:tab w:leader="none" w:pos="518" w:val="left"/>
        </w:tabs>
        <w:numPr>
          <w:ilvl w:val="0"/>
          <w:numId w:val="95"/>
        </w:numPr>
        <w:rPr>
          <w:rFonts w:ascii="Arial" w:cs="Arial" w:eastAsia="Arial" w:hAnsi="Arial"/>
          <w:sz w:val="12"/>
          <w:szCs w:val="12"/>
          <w:color w:val="auto"/>
        </w:rPr>
      </w:pPr>
      <w:r>
        <w:rPr>
          <w:rFonts w:ascii="Arial" w:cs="Arial" w:eastAsia="Arial" w:hAnsi="Arial"/>
          <w:sz w:val="12"/>
          <w:szCs w:val="12"/>
          <w:i w:val="1"/>
          <w:iCs w:val="1"/>
          <w:color w:val="auto"/>
        </w:rPr>
        <w:t>Statistical or Market-Related Data</w:t>
      </w:r>
      <w:r>
        <w:rPr>
          <w:rFonts w:ascii="Arial" w:cs="Arial" w:eastAsia="Arial" w:hAnsi="Arial"/>
          <w:sz w:val="12"/>
          <w:szCs w:val="12"/>
          <w:color w:val="auto"/>
        </w:rPr>
        <w:t>. Any statistical, industry-related and market-related data included or incorporated by reference in the Registration Statement and the Disclosure Documents, are based on or derived</w:t>
      </w:r>
      <w:r>
        <w:rPr>
          <w:rFonts w:ascii="Arial" w:cs="Arial" w:eastAsia="Arial" w:hAnsi="Arial"/>
          <w:sz w:val="12"/>
          <w:szCs w:val="12"/>
          <w:i w:val="1"/>
          <w:iCs w:val="1"/>
          <w:color w:val="auto"/>
        </w:rPr>
        <w:t xml:space="preserve"> </w:t>
      </w:r>
      <w:r>
        <w:rPr>
          <w:rFonts w:ascii="Arial" w:cs="Arial" w:eastAsia="Arial" w:hAnsi="Arial"/>
          <w:sz w:val="12"/>
          <w:szCs w:val="12"/>
          <w:color w:val="auto"/>
        </w:rPr>
        <w:t>from sources that the Company reasonably and in good faith believes to be reliable and accurate, and such data agree with the sources from which they are derived.</w:t>
      </w:r>
    </w:p>
    <w:p>
      <w:pPr>
        <w:spacing w:after="0" w:line="132" w:lineRule="exact"/>
        <w:rPr>
          <w:rFonts w:ascii="Arial" w:cs="Arial" w:eastAsia="Arial" w:hAnsi="Arial"/>
          <w:sz w:val="12"/>
          <w:szCs w:val="12"/>
          <w:color w:val="auto"/>
        </w:rPr>
      </w:pPr>
    </w:p>
    <w:p>
      <w:pPr>
        <w:ind w:left="-432" w:right="20" w:firstLine="432"/>
        <w:spacing w:after="0" w:line="276" w:lineRule="auto"/>
        <w:tabs>
          <w:tab w:leader="none" w:pos="500" w:val="left"/>
        </w:tabs>
        <w:numPr>
          <w:ilvl w:val="0"/>
          <w:numId w:val="95"/>
        </w:numPr>
        <w:rPr>
          <w:rFonts w:ascii="Arial" w:cs="Arial" w:eastAsia="Arial" w:hAnsi="Arial"/>
          <w:sz w:val="12"/>
          <w:szCs w:val="12"/>
          <w:color w:val="auto"/>
        </w:rPr>
      </w:pPr>
      <w:r>
        <w:rPr>
          <w:rFonts w:ascii="Arial" w:cs="Arial" w:eastAsia="Arial" w:hAnsi="Arial"/>
          <w:sz w:val="12"/>
          <w:szCs w:val="12"/>
          <w:i w:val="1"/>
          <w:iCs w:val="1"/>
          <w:color w:val="auto"/>
        </w:rPr>
        <w:t>Descriptions of Documents</w:t>
      </w:r>
      <w:r>
        <w:rPr>
          <w:rFonts w:ascii="Arial" w:cs="Arial" w:eastAsia="Arial" w:hAnsi="Arial"/>
          <w:sz w:val="12"/>
          <w:szCs w:val="12"/>
          <w:color w:val="auto"/>
        </w:rPr>
        <w:t>. The statements set forth in each of the Registration Statement and the Disclosure Documents describing the Securities and this Agreement, insofar as they purport to describe the provisions</w:t>
      </w:r>
      <w:r>
        <w:rPr>
          <w:rFonts w:ascii="Arial" w:cs="Arial" w:eastAsia="Arial" w:hAnsi="Arial"/>
          <w:sz w:val="12"/>
          <w:szCs w:val="12"/>
          <w:i w:val="1"/>
          <w:iCs w:val="1"/>
          <w:color w:val="auto"/>
        </w:rPr>
        <w:t xml:space="preserve"> </w:t>
      </w:r>
      <w:r>
        <w:rPr>
          <w:rFonts w:ascii="Arial" w:cs="Arial" w:eastAsia="Arial" w:hAnsi="Arial"/>
          <w:sz w:val="12"/>
          <w:szCs w:val="12"/>
          <w:color w:val="auto"/>
        </w:rPr>
        <w:t>of the laws and documents referred to therein, are accurate, complete and fair in all material respects.</w:t>
      </w:r>
    </w:p>
    <w:p>
      <w:pPr>
        <w:spacing w:after="0" w:line="132" w:lineRule="exact"/>
        <w:rPr>
          <w:rFonts w:ascii="Arial" w:cs="Arial" w:eastAsia="Arial" w:hAnsi="Arial"/>
          <w:sz w:val="12"/>
          <w:szCs w:val="12"/>
          <w:color w:val="auto"/>
        </w:rPr>
      </w:pPr>
    </w:p>
    <w:p>
      <w:pPr>
        <w:jc w:val="both"/>
        <w:ind w:left="-432" w:firstLine="432"/>
        <w:spacing w:after="0" w:line="259" w:lineRule="auto"/>
        <w:tabs>
          <w:tab w:leader="none" w:pos="607" w:val="left"/>
        </w:tabs>
        <w:numPr>
          <w:ilvl w:val="0"/>
          <w:numId w:val="95"/>
        </w:numPr>
        <w:rPr>
          <w:rFonts w:ascii="Arial" w:cs="Arial" w:eastAsia="Arial" w:hAnsi="Arial"/>
          <w:sz w:val="12"/>
          <w:szCs w:val="12"/>
          <w:color w:val="auto"/>
        </w:rPr>
      </w:pPr>
      <w:r>
        <w:rPr>
          <w:rFonts w:ascii="Arial" w:cs="Arial" w:eastAsia="Arial" w:hAnsi="Arial"/>
          <w:sz w:val="12"/>
          <w:szCs w:val="12"/>
          <w:i w:val="1"/>
          <w:iCs w:val="1"/>
          <w:color w:val="auto"/>
        </w:rPr>
        <w:t xml:space="preserve">Money Laundering Laws. </w:t>
      </w:r>
      <w:r>
        <w:rPr>
          <w:rFonts w:ascii="Arial" w:cs="Arial" w:eastAsia="Arial" w:hAnsi="Arial"/>
          <w:sz w:val="12"/>
          <w:szCs w:val="12"/>
          <w:color w:val="auto"/>
        </w:rPr>
        <w:t>The operations of the Company are and have been conducted at all times in compliance in all material respects with applicable financial recordkeeping and reporting requirements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2"/>
          <w:szCs w:val="12"/>
          <w:i w:val="1"/>
          <w:iCs w:val="1"/>
          <w:color w:val="auto"/>
        </w:rPr>
        <w:t>Money Laundering Laws</w:t>
      </w:r>
      <w:r>
        <w:rPr>
          <w:rFonts w:ascii="Arial" w:cs="Arial" w:eastAsia="Arial" w:hAnsi="Arial"/>
          <w:sz w:val="12"/>
          <w:szCs w:val="12"/>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42" w:lineRule="exact"/>
        <w:rPr>
          <w:rFonts w:ascii="Arial" w:cs="Arial" w:eastAsia="Arial" w:hAnsi="Arial"/>
          <w:sz w:val="12"/>
          <w:szCs w:val="12"/>
          <w:color w:val="auto"/>
        </w:rPr>
      </w:pPr>
    </w:p>
    <w:p>
      <w:pPr>
        <w:jc w:val="both"/>
        <w:ind w:left="-432" w:firstLine="432"/>
        <w:spacing w:after="0" w:line="259" w:lineRule="auto"/>
        <w:tabs>
          <w:tab w:leader="none" w:pos="545" w:val="left"/>
        </w:tabs>
        <w:numPr>
          <w:ilvl w:val="0"/>
          <w:numId w:val="95"/>
        </w:numPr>
        <w:rPr>
          <w:rFonts w:ascii="Arial" w:cs="Arial" w:eastAsia="Arial" w:hAnsi="Arial"/>
          <w:sz w:val="12"/>
          <w:szCs w:val="12"/>
          <w:color w:val="auto"/>
        </w:rPr>
      </w:pPr>
      <w:r>
        <w:rPr>
          <w:rFonts w:ascii="Arial" w:cs="Arial" w:eastAsia="Arial" w:hAnsi="Arial"/>
          <w:sz w:val="12"/>
          <w:szCs w:val="12"/>
          <w:i w:val="1"/>
          <w:iCs w:val="1"/>
          <w:color w:val="auto"/>
        </w:rPr>
        <w:t>OFAC</w:t>
      </w:r>
      <w:r>
        <w:rPr>
          <w:rFonts w:ascii="Arial" w:cs="Arial" w:eastAsia="Arial" w:hAnsi="Arial"/>
          <w:sz w:val="12"/>
          <w:szCs w:val="12"/>
          <w:color w:val="auto"/>
        </w:rPr>
        <w:t>. Neither of the Company or the Subsidiaries or, to the Company’s knowledge, any director, officer, agent, employee or affiliate of the Company or the Subsidiaries or any other person acting on behalf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or the Subsidiaries, is currently subject to any U.S. sanctions administered by the Office of Foreign Assets Control of the U.S. Department of the Treasury (“</w:t>
      </w:r>
      <w:r>
        <w:rPr>
          <w:rFonts w:ascii="Arial" w:cs="Arial" w:eastAsia="Arial" w:hAnsi="Arial"/>
          <w:sz w:val="12"/>
          <w:szCs w:val="12"/>
          <w:i w:val="1"/>
          <w:iCs w:val="1"/>
          <w:color w:val="auto"/>
        </w:rPr>
        <w:t>OFAC</w:t>
      </w:r>
      <w:r>
        <w:rPr>
          <w:rFonts w:ascii="Arial" w:cs="Arial" w:eastAsia="Arial" w:hAnsi="Arial"/>
          <w:sz w:val="12"/>
          <w:szCs w:val="12"/>
          <w:color w:val="auto"/>
        </w:rPr>
        <w:t>”), and the Company will not, directly or indirectly, use the proceeds of the Offering hereunder, or lend, contribute or otherwise make available such proceeds to any Subsidiaries, joint venture partner or other person or entity, for the purpose of financing the activities of any person currently subject to any U.S. sanctions administered by OFAC.</w:t>
      </w:r>
    </w:p>
    <w:p>
      <w:pPr>
        <w:spacing w:after="0" w:line="142" w:lineRule="exact"/>
        <w:rPr>
          <w:rFonts w:ascii="Arial" w:cs="Arial" w:eastAsia="Arial" w:hAnsi="Arial"/>
          <w:sz w:val="12"/>
          <w:szCs w:val="12"/>
          <w:color w:val="auto"/>
        </w:rPr>
      </w:pPr>
    </w:p>
    <w:p>
      <w:pPr>
        <w:ind w:left="528" w:hanging="528"/>
        <w:spacing w:after="0"/>
        <w:tabs>
          <w:tab w:leader="none" w:pos="528" w:val="left"/>
        </w:tabs>
        <w:numPr>
          <w:ilvl w:val="0"/>
          <w:numId w:val="95"/>
        </w:numPr>
        <w:rPr>
          <w:rFonts w:ascii="Arial" w:cs="Arial" w:eastAsia="Arial" w:hAnsi="Arial"/>
          <w:sz w:val="12"/>
          <w:szCs w:val="12"/>
          <w:color w:val="auto"/>
        </w:rPr>
      </w:pPr>
      <w:r>
        <w:rPr>
          <w:rFonts w:ascii="Arial" w:cs="Arial" w:eastAsia="Arial" w:hAnsi="Arial"/>
          <w:sz w:val="12"/>
          <w:szCs w:val="12"/>
          <w:i w:val="1"/>
          <w:iCs w:val="1"/>
          <w:color w:val="auto"/>
        </w:rPr>
        <w:t>Smaller Reporting Company</w:t>
      </w:r>
      <w:r>
        <w:rPr>
          <w:rFonts w:ascii="Arial" w:cs="Arial" w:eastAsia="Arial" w:hAnsi="Arial"/>
          <w:sz w:val="12"/>
          <w:szCs w:val="12"/>
          <w:color w:val="auto"/>
        </w:rPr>
        <w:t>. As of the time of filing of the Registration Statement, the Company was a “smaller reporting company,” as defined in Rule 12b-2 of the Exchange Act</w:t>
      </w:r>
    </w:p>
    <w:p>
      <w:pPr>
        <w:spacing w:after="0" w:line="168" w:lineRule="exact"/>
        <w:rPr>
          <w:rFonts w:ascii="Arial" w:cs="Arial" w:eastAsia="Arial" w:hAnsi="Arial"/>
          <w:sz w:val="12"/>
          <w:szCs w:val="12"/>
          <w:color w:val="auto"/>
        </w:rPr>
      </w:pPr>
    </w:p>
    <w:p>
      <w:pPr>
        <w:ind w:left="568" w:hanging="526"/>
        <w:spacing w:after="0"/>
        <w:tabs>
          <w:tab w:leader="none" w:pos="568" w:val="left"/>
        </w:tabs>
        <w:numPr>
          <w:ilvl w:val="1"/>
          <w:numId w:val="95"/>
        </w:numPr>
        <w:rPr>
          <w:rFonts w:ascii="Arial" w:cs="Arial" w:eastAsia="Arial" w:hAnsi="Arial"/>
          <w:sz w:val="12"/>
          <w:szCs w:val="12"/>
          <w:color w:val="auto"/>
        </w:rPr>
      </w:pPr>
      <w:r>
        <w:rPr>
          <w:rFonts w:ascii="Arial" w:cs="Arial" w:eastAsia="Arial" w:hAnsi="Arial"/>
          <w:sz w:val="12"/>
          <w:szCs w:val="12"/>
          <w:i w:val="1"/>
          <w:iCs w:val="1"/>
          <w:color w:val="auto"/>
        </w:rPr>
        <w:t>No Disqualification E</w:t>
      </w:r>
      <w:r>
        <w:rPr>
          <w:rFonts w:ascii="Arial" w:cs="Arial" w:eastAsia="Arial" w:hAnsi="Arial"/>
          <w:sz w:val="12"/>
          <w:szCs w:val="12"/>
          <w:color w:val="auto"/>
        </w:rPr>
        <w:t>vents</w:t>
      </w:r>
    </w:p>
    <w:p>
      <w:pPr>
        <w:spacing w:after="0" w:line="168" w:lineRule="exact"/>
        <w:rPr>
          <w:sz w:val="20"/>
          <w:szCs w:val="20"/>
          <w:color w:val="auto"/>
        </w:rPr>
      </w:pPr>
    </w:p>
    <w:p>
      <w:pPr>
        <w:jc w:val="both"/>
        <w:ind w:left="-432" w:firstLine="432"/>
        <w:spacing w:after="0" w:line="290" w:lineRule="auto"/>
        <w:tabs>
          <w:tab w:leader="none" w:pos="93" w:val="left"/>
        </w:tabs>
        <w:numPr>
          <w:ilvl w:val="0"/>
          <w:numId w:val="96"/>
        </w:numPr>
        <w:rPr>
          <w:rFonts w:ascii="Arial" w:cs="Arial" w:eastAsia="Arial" w:hAnsi="Arial"/>
          <w:sz w:val="11"/>
          <w:szCs w:val="11"/>
          <w:color w:val="auto"/>
        </w:rPr>
      </w:pPr>
      <w:r>
        <w:rPr>
          <w:rFonts w:ascii="Arial" w:cs="Arial" w:eastAsia="Arial" w:hAnsi="Arial"/>
          <w:sz w:val="11"/>
          <w:szCs w:val="11"/>
          <w:color w:val="auto"/>
        </w:rPr>
        <w:t>To the Company’s Knowledge,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1"/>
          <w:szCs w:val="11"/>
          <w:i w:val="1"/>
          <w:iCs w:val="1"/>
          <w:color w:val="auto"/>
        </w:rPr>
        <w:t>Issuer Covered Person</w:t>
      </w:r>
      <w:r>
        <w:rPr>
          <w:rFonts w:ascii="Arial" w:cs="Arial" w:eastAsia="Arial" w:hAnsi="Arial"/>
          <w:sz w:val="11"/>
          <w:szCs w:val="11"/>
          <w:color w:val="auto"/>
        </w:rPr>
        <w:t>”) is subject to any of the "Bad Actor" disqualifications described in Rule 506(d)(1)(i) to (viii) under the Securities Act (a “</w:t>
      </w:r>
      <w:r>
        <w:rPr>
          <w:rFonts w:ascii="Arial" w:cs="Arial" w:eastAsia="Arial" w:hAnsi="Arial"/>
          <w:sz w:val="11"/>
          <w:szCs w:val="11"/>
          <w:i w:val="1"/>
          <w:iCs w:val="1"/>
          <w:color w:val="auto"/>
        </w:rPr>
        <w:t>Disqualification Event</w:t>
      </w:r>
      <w:r>
        <w:rPr>
          <w:rFonts w:ascii="Arial" w:cs="Arial" w:eastAsia="Arial" w:hAnsi="Arial"/>
          <w:sz w:val="11"/>
          <w:szCs w:val="11"/>
          <w:color w:val="auto"/>
        </w:rPr>
        <w:t>”), except for a Disqualification Event covered by Rule 506(d)(2) or (d)(3). The Company has exercised reasonable care to determine whether any Issuer Covered Person is subject to a Disqualification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254635</wp:posOffset>
            </wp:positionV>
            <wp:extent cx="7299325" cy="18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392" w:right="199" w:bottom="1440" w:gutter="0" w:footer="0" w:header="0"/>
        </w:sectPr>
      </w:pPr>
    </w:p>
    <w:bookmarkStart w:id="191" w:name="page192"/>
    <w:bookmarkEnd w:id="191"/>
    <w:p>
      <w:pPr>
        <w:ind w:left="100" w:firstLine="432"/>
        <w:spacing w:after="0" w:line="276" w:lineRule="auto"/>
        <w:tabs>
          <w:tab w:leader="none" w:pos="1174" w:val="left"/>
        </w:tabs>
        <w:numPr>
          <w:ilvl w:val="1"/>
          <w:numId w:val="97"/>
        </w:numPr>
        <w:rPr>
          <w:rFonts w:ascii="Arial" w:cs="Arial" w:eastAsia="Arial" w:hAnsi="Arial"/>
          <w:sz w:val="12"/>
          <w:szCs w:val="12"/>
          <w:color w:val="auto"/>
        </w:rPr>
      </w:pPr>
      <w:r>
        <w:rPr>
          <w:rFonts w:ascii="Arial" w:cs="Arial" w:eastAsia="Arial" w:hAnsi="Arial"/>
          <w:sz w:val="12"/>
          <w:szCs w:val="12"/>
          <w:i w:val="1"/>
          <w:iCs w:val="1"/>
          <w:color w:val="auto"/>
        </w:rPr>
        <w:t>Reverse Stock Split</w:t>
      </w:r>
      <w:r>
        <w:rPr>
          <w:rFonts w:ascii="Arial" w:cs="Arial" w:eastAsia="Arial" w:hAnsi="Arial"/>
          <w:sz w:val="12"/>
          <w:szCs w:val="12"/>
          <w:color w:val="auto"/>
        </w:rPr>
        <w:t>. The Company consummated a reverse split of its authorized and issued and outstanding Common Stock on a one for twenty basis, effective as of [___], 2014 (the “</w:t>
      </w:r>
      <w:r>
        <w:rPr>
          <w:rFonts w:ascii="Arial" w:cs="Arial" w:eastAsia="Arial" w:hAnsi="Arial"/>
          <w:sz w:val="12"/>
          <w:szCs w:val="12"/>
          <w:i w:val="1"/>
          <w:iCs w:val="1"/>
          <w:color w:val="auto"/>
        </w:rPr>
        <w:t>Reverse Stock Split</w:t>
      </w:r>
      <w:r>
        <w:rPr>
          <w:rFonts w:ascii="Arial" w:cs="Arial" w:eastAsia="Arial" w:hAnsi="Arial"/>
          <w:sz w:val="12"/>
          <w:szCs w:val="12"/>
          <w:color w:val="auto"/>
        </w:rPr>
        <w:t>”). In</w:t>
      </w:r>
      <w:r>
        <w:rPr>
          <w:rFonts w:ascii="Arial" w:cs="Arial" w:eastAsia="Arial" w:hAnsi="Arial"/>
          <w:sz w:val="12"/>
          <w:szCs w:val="12"/>
          <w:i w:val="1"/>
          <w:iCs w:val="1"/>
          <w:color w:val="auto"/>
        </w:rPr>
        <w:t xml:space="preserve"> </w:t>
      </w:r>
      <w:r>
        <w:rPr>
          <w:rFonts w:ascii="Arial" w:cs="Arial" w:eastAsia="Arial" w:hAnsi="Arial"/>
          <w:sz w:val="12"/>
          <w:szCs w:val="12"/>
          <w:color w:val="auto"/>
        </w:rPr>
        <w:t>connection with the Reverse Stock Split, the Company obtained all requisite consents and approvals, including approval of its stockholders, if required.</w:t>
      </w:r>
    </w:p>
    <w:p>
      <w:pPr>
        <w:spacing w:after="0" w:line="132" w:lineRule="exact"/>
        <w:rPr>
          <w:rFonts w:ascii="Arial" w:cs="Arial" w:eastAsia="Arial" w:hAnsi="Arial"/>
          <w:sz w:val="12"/>
          <w:szCs w:val="12"/>
          <w:color w:val="auto"/>
        </w:rPr>
      </w:pPr>
    </w:p>
    <w:p>
      <w:pPr>
        <w:jc w:val="both"/>
        <w:ind w:left="100" w:firstLine="432"/>
        <w:spacing w:after="0" w:line="276" w:lineRule="auto"/>
        <w:tabs>
          <w:tab w:leader="none" w:pos="861" w:val="left"/>
        </w:tabs>
        <w:numPr>
          <w:ilvl w:val="1"/>
          <w:numId w:val="97"/>
        </w:numPr>
        <w:rPr>
          <w:rFonts w:ascii="Arial" w:cs="Arial" w:eastAsia="Arial" w:hAnsi="Arial"/>
          <w:sz w:val="11"/>
          <w:szCs w:val="11"/>
          <w:color w:val="auto"/>
        </w:rPr>
      </w:pPr>
      <w:r>
        <w:rPr>
          <w:rFonts w:ascii="Arial" w:cs="Arial" w:eastAsia="Arial" w:hAnsi="Arial"/>
          <w:sz w:val="11"/>
          <w:szCs w:val="11"/>
          <w:i w:val="1"/>
          <w:iCs w:val="1"/>
          <w:u w:val="single" w:color="auto"/>
          <w:color w:val="auto"/>
        </w:rPr>
        <w:t>FDA</w:t>
      </w:r>
      <w:r>
        <w:rPr>
          <w:rFonts w:ascii="Arial" w:cs="Arial" w:eastAsia="Arial" w:hAnsi="Arial"/>
          <w:sz w:val="11"/>
          <w:szCs w:val="11"/>
          <w:color w:val="auto"/>
        </w:rPr>
        <w:t>. As to each product subject to the jurisdiction of the U.S. Food and Drug Administration (“</w:t>
      </w:r>
      <w:r>
        <w:rPr>
          <w:rFonts w:ascii="Arial" w:cs="Arial" w:eastAsia="Arial" w:hAnsi="Arial"/>
          <w:sz w:val="11"/>
          <w:szCs w:val="11"/>
          <w:i w:val="1"/>
          <w:iCs w:val="1"/>
          <w:u w:val="single" w:color="auto"/>
          <w:color w:val="auto"/>
        </w:rPr>
        <w:t>FDA</w:t>
      </w:r>
      <w:r>
        <w:rPr>
          <w:rFonts w:ascii="Arial" w:cs="Arial" w:eastAsia="Arial" w:hAnsi="Arial"/>
          <w:sz w:val="11"/>
          <w:szCs w:val="11"/>
          <w:color w:val="auto"/>
        </w:rPr>
        <w:t>”) under the Federal Food, Drug and Cosmetic Act, as amended, and the regulations thereunder (“</w:t>
      </w:r>
      <w:r>
        <w:rPr>
          <w:rFonts w:ascii="Arial" w:cs="Arial" w:eastAsia="Arial" w:hAnsi="Arial"/>
          <w:sz w:val="11"/>
          <w:szCs w:val="11"/>
          <w:i w:val="1"/>
          <w:iCs w:val="1"/>
          <w:u w:val="single" w:color="auto"/>
          <w:color w:val="auto"/>
        </w:rPr>
        <w:t>FDCA</w:t>
      </w:r>
      <w:r>
        <w:rPr>
          <w:rFonts w:ascii="Arial" w:cs="Arial" w:eastAsia="Arial" w:hAnsi="Arial"/>
          <w:sz w:val="11"/>
          <w:szCs w:val="11"/>
          <w:color w:val="auto"/>
        </w:rPr>
        <w:t>”) that is</w:t>
      </w:r>
      <w:r>
        <w:rPr>
          <w:rFonts w:ascii="Arial" w:cs="Arial" w:eastAsia="Arial" w:hAnsi="Arial"/>
          <w:sz w:val="11"/>
          <w:szCs w:val="11"/>
          <w:i w:val="1"/>
          <w:iCs w:val="1"/>
          <w:color w:val="auto"/>
        </w:rPr>
        <w:t xml:space="preserve"> </w:t>
      </w:r>
      <w:r>
        <w:rPr>
          <w:rFonts w:ascii="Arial" w:cs="Arial" w:eastAsia="Arial" w:hAnsi="Arial"/>
          <w:sz w:val="11"/>
          <w:szCs w:val="11"/>
          <w:color w:val="auto"/>
        </w:rPr>
        <w:t>manufactured, packaged, labeled, tested, distributed, sold, and/or marketed by the Company or its Subsidiaries (each such product, a “</w:t>
      </w:r>
      <w:r>
        <w:rPr>
          <w:rFonts w:ascii="Arial" w:cs="Arial" w:eastAsia="Arial" w:hAnsi="Arial"/>
          <w:sz w:val="11"/>
          <w:szCs w:val="11"/>
          <w:i w:val="1"/>
          <w:iCs w:val="1"/>
          <w:u w:val="single" w:color="auto"/>
          <w:color w:val="auto"/>
        </w:rPr>
        <w:t>Product</w:t>
      </w:r>
      <w:r>
        <w:rPr>
          <w:rFonts w:ascii="Arial" w:cs="Arial" w:eastAsia="Arial" w:hAnsi="Arial"/>
          <w:sz w:val="11"/>
          <w:szCs w:val="11"/>
          <w:color w:val="auto"/>
        </w:rPr>
        <w:t>”), except as described in the Disclosure Documents, such Product is being manufactured, packaged, labeled, tested, distributed, sold and/or marketed by the Company in compliance with all applicable requirements under FDCA and similar laws, rules and regulations, to the extent applicable to the Company’s business as presently conducted, except where the failure to be in compliance would not reasonably be expected to have a Material Adverse Effect. None of the Company or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Product, (ii) withdraws its approval of, requests the recall, suspension, or seizure of, or withdraws or orders the withdrawal of advertising or sales promotional materials relating to, any Product,</w:t>
      </w:r>
    </w:p>
    <w:p>
      <w:pPr>
        <w:jc w:val="both"/>
        <w:ind w:left="100"/>
        <w:spacing w:after="0" w:line="253" w:lineRule="auto"/>
        <w:tabs>
          <w:tab w:leader="none" w:pos="315" w:val="left"/>
        </w:tabs>
        <w:numPr>
          <w:ilvl w:val="0"/>
          <w:numId w:val="98"/>
        </w:numPr>
        <w:rPr>
          <w:rFonts w:ascii="Arial" w:cs="Arial" w:eastAsia="Arial" w:hAnsi="Arial"/>
          <w:sz w:val="12"/>
          <w:szCs w:val="12"/>
          <w:color w:val="auto"/>
        </w:rPr>
      </w:pPr>
      <w:r>
        <w:rPr>
          <w:rFonts w:ascii="Arial" w:cs="Arial" w:eastAsia="Arial" w:hAnsi="Arial"/>
          <w:sz w:val="12"/>
          <w:szCs w:val="12"/>
          <w:color w:val="auto"/>
        </w:rPr>
        <w:t>imposes a clinical hold on any clinical investigation by the Company or its Subsidiaries, (iv) enjoins production at any facility of the Company or its Subsidiaries, (v) enters or proposes to enter into a consent decree of permanent injunction with the Company or its Subsidiaries, or (vi) otherwise alleges any violation of any laws, rules or regulations by the Company or its Subsidiaries, and which, either individually or in the aggregate, would reasonably be expected to have a Material Adverse Effect. The properties, business and operations of the Company have been and are being conducted in all material respects in accordance with all applicable laws, rules and regulations of the FDA. Except as described in the SEC Reports, the Company has not been informed by the FDA that the FDA will prohibit the marketing, sale, license or use in the United States of any product proposed to be developed, produced or marketed by the Company.</w:t>
      </w:r>
    </w:p>
    <w:p>
      <w:pPr>
        <w:spacing w:after="0" w:line="146" w:lineRule="exact"/>
        <w:rPr>
          <w:rFonts w:ascii="Arial" w:cs="Arial" w:eastAsia="Arial" w:hAnsi="Arial"/>
          <w:sz w:val="12"/>
          <w:szCs w:val="12"/>
          <w:color w:val="auto"/>
        </w:rPr>
      </w:pPr>
    </w:p>
    <w:p>
      <w:pPr>
        <w:jc w:val="both"/>
        <w:ind w:left="100" w:right="20" w:firstLine="432"/>
        <w:spacing w:after="0" w:line="263" w:lineRule="auto"/>
        <w:tabs>
          <w:tab w:leader="none" w:pos="1147" w:val="left"/>
        </w:tabs>
        <w:numPr>
          <w:ilvl w:val="1"/>
          <w:numId w:val="98"/>
        </w:numPr>
        <w:rPr>
          <w:rFonts w:ascii="Arial" w:cs="Arial" w:eastAsia="Arial" w:hAnsi="Arial"/>
          <w:sz w:val="12"/>
          <w:szCs w:val="12"/>
          <w:color w:val="auto"/>
        </w:rPr>
      </w:pPr>
      <w:r>
        <w:rPr>
          <w:rFonts w:ascii="Arial" w:cs="Arial" w:eastAsia="Arial" w:hAnsi="Arial"/>
          <w:sz w:val="12"/>
          <w:szCs w:val="12"/>
          <w:i w:val="1"/>
          <w:iCs w:val="1"/>
          <w:u w:val="single" w:color="auto"/>
          <w:color w:val="auto"/>
        </w:rPr>
        <w:t>Integration</w:t>
      </w:r>
      <w:r>
        <w:rPr>
          <w:rFonts w:ascii="Arial" w:cs="Arial" w:eastAsia="Arial" w:hAnsi="Arial"/>
          <w:sz w:val="12"/>
          <w:szCs w:val="12"/>
          <w:color w:val="auto"/>
        </w:rPr>
        <w:t>. , Neither the Company, nor any of its Affiliates, nor any Person acting on its behalf has, directly or indirectly, made any offers or sales of any security or solicited any offers to buy any security, under</w:t>
      </w:r>
      <w:r>
        <w:rPr>
          <w:rFonts w:ascii="Arial" w:cs="Arial" w:eastAsia="Arial" w:hAnsi="Arial"/>
          <w:sz w:val="12"/>
          <w:szCs w:val="12"/>
          <w:i w:val="1"/>
          <w:iCs w:val="1"/>
          <w:color w:val="auto"/>
        </w:rPr>
        <w:t xml:space="preserve"> </w:t>
      </w:r>
      <w:r>
        <w:rPr>
          <w:rFonts w:ascii="Arial" w:cs="Arial" w:eastAsia="Arial" w:hAnsi="Arial"/>
          <w:sz w:val="12"/>
          <w:szCs w:val="12"/>
          <w:color w:val="auto"/>
        </w:rPr>
        <w:t>circumstances that would cause this offering of the Common Stock and Warrants to be integrated with prior offerings by the Company for purposes of the Securities Act, which would require the registration of any such securities under the Securities Act.</w:t>
      </w:r>
    </w:p>
    <w:p>
      <w:pPr>
        <w:spacing w:after="0" w:line="1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Any certificate signed by any officer of the Company or a Subsidiaries and delivered to the Placement Agent or to counsel for the Placement Agent in connection with the offering of the Securities shall be deemed a representation and warranty by the Company (and not such officer in an individual capacity) to the Placement Agent and the Investors as to the matters covered thereby.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3. Covenants</w:t>
      </w:r>
      <w:r>
        <w:rPr>
          <w:rFonts w:ascii="Arial" w:cs="Arial" w:eastAsia="Arial" w:hAnsi="Arial"/>
          <w:sz w:val="12"/>
          <w:szCs w:val="12"/>
          <w:i w:val="1"/>
          <w:iCs w:val="1"/>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covenants and agrees with the Placement Agent as follows:</w:t>
      </w:r>
    </w:p>
    <w:p>
      <w:pPr>
        <w:spacing w:after="0" w:line="168" w:lineRule="exact"/>
        <w:rPr>
          <w:sz w:val="20"/>
          <w:szCs w:val="20"/>
          <w:color w:val="auto"/>
        </w:rPr>
      </w:pPr>
    </w:p>
    <w:p>
      <w:pPr>
        <w:jc w:val="both"/>
        <w:ind w:left="100" w:firstLine="432"/>
        <w:spacing w:after="0" w:line="255" w:lineRule="auto"/>
        <w:tabs>
          <w:tab w:leader="none" w:pos="1056" w:val="left"/>
        </w:tabs>
        <w:numPr>
          <w:ilvl w:val="0"/>
          <w:numId w:val="99"/>
        </w:numPr>
        <w:rPr>
          <w:rFonts w:ascii="Arial" w:cs="Arial" w:eastAsia="Arial" w:hAnsi="Arial"/>
          <w:sz w:val="12"/>
          <w:szCs w:val="12"/>
          <w:color w:val="auto"/>
        </w:rPr>
      </w:pPr>
      <w:r>
        <w:rPr>
          <w:rFonts w:ascii="Arial" w:cs="Arial" w:eastAsia="Arial" w:hAnsi="Arial"/>
          <w:sz w:val="12"/>
          <w:szCs w:val="12"/>
          <w:i w:val="1"/>
          <w:iCs w:val="1"/>
          <w:color w:val="auto"/>
        </w:rPr>
        <w:t>Reporting Obligations; Exchange Act Compliance</w:t>
      </w:r>
      <w:r>
        <w:rPr>
          <w:rFonts w:ascii="Arial" w:cs="Arial" w:eastAsia="Arial" w:hAnsi="Arial"/>
          <w:sz w:val="12"/>
          <w:szCs w:val="12"/>
          <w:color w:val="auto"/>
        </w:rPr>
        <w:t>. The Company will (i) file the Preliminary Prospectus (in form and substance satisfactory to the Placement Agent) with the Commission within the time periods</w:t>
      </w:r>
      <w:r>
        <w:rPr>
          <w:rFonts w:ascii="Arial" w:cs="Arial" w:eastAsia="Arial" w:hAnsi="Arial"/>
          <w:sz w:val="12"/>
          <w:szCs w:val="12"/>
          <w:i w:val="1"/>
          <w:iCs w:val="1"/>
          <w:color w:val="auto"/>
        </w:rPr>
        <w:t xml:space="preserve"> </w:t>
      </w:r>
      <w:r>
        <w:rPr>
          <w:rFonts w:ascii="Arial" w:cs="Arial" w:eastAsia="Arial" w:hAnsi="Arial"/>
          <w:sz w:val="12"/>
          <w:szCs w:val="12"/>
          <w:color w:val="auto"/>
        </w:rPr>
        <w:t>specified by Rule 424 under the Securities Act, (ii) file any Free Writing Prospectus to the extent required by Rule 433 under the Securities Act, if applicable, (iii) file promptly all reports required to be filed by the Company with the Commission pursuant to Section 13(a), 13(c) or 15(d) of the Exchange Act subsequent to the date of the Prospectus and during such period as the Prospectus would be required by law to be delivered (whether physically or through compliance with Rule 172 under the Securities Act or any similar rule) (the “</w:t>
      </w:r>
      <w:r>
        <w:rPr>
          <w:rFonts w:ascii="Arial" w:cs="Arial" w:eastAsia="Arial" w:hAnsi="Arial"/>
          <w:sz w:val="12"/>
          <w:szCs w:val="12"/>
          <w:i w:val="1"/>
          <w:iCs w:val="1"/>
          <w:color w:val="auto"/>
        </w:rPr>
        <w:t>Prospectus Delivery Period</w:t>
      </w:r>
      <w:r>
        <w:rPr>
          <w:rFonts w:ascii="Arial" w:cs="Arial" w:eastAsia="Arial" w:hAnsi="Arial"/>
          <w:sz w:val="12"/>
          <w:szCs w:val="12"/>
          <w:color w:val="auto"/>
        </w:rPr>
        <w:t>”), and (iv) furnish copies of each Free Writing Prospectus, if any, (to the extent not previously delivered) to the Placement Agent prior to 11:00 a.m. Eastern time, on the second business day next succeeding the date of this Agreement in such quantities as the Placement Agent shall reasonably request. Company agrees to maintain effectiveness of the Registration Statement during all periods in which Warrants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370205</wp:posOffset>
            </wp:positionV>
            <wp:extent cx="7299325" cy="18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2" w:name="page193"/>
    <w:bookmarkEnd w:id="192"/>
    <w:p>
      <w:pPr>
        <w:jc w:val="both"/>
        <w:ind w:left="-432" w:firstLine="432"/>
        <w:spacing w:after="0" w:line="263" w:lineRule="auto"/>
        <w:tabs>
          <w:tab w:leader="none" w:pos="449" w:val="left"/>
        </w:tabs>
        <w:numPr>
          <w:ilvl w:val="0"/>
          <w:numId w:val="100"/>
        </w:numPr>
        <w:rPr>
          <w:rFonts w:ascii="Arial" w:cs="Arial" w:eastAsia="Arial" w:hAnsi="Arial"/>
          <w:sz w:val="12"/>
          <w:szCs w:val="12"/>
          <w:color w:val="auto"/>
        </w:rPr>
      </w:pPr>
      <w:r>
        <w:rPr>
          <w:rFonts w:ascii="Arial" w:cs="Arial" w:eastAsia="Arial" w:hAnsi="Arial"/>
          <w:sz w:val="12"/>
          <w:szCs w:val="12"/>
          <w:i w:val="1"/>
          <w:iCs w:val="1"/>
          <w:color w:val="auto"/>
        </w:rPr>
        <w:t>Abbreviated Registration Statement</w:t>
      </w:r>
      <w:r>
        <w:rPr>
          <w:rFonts w:ascii="Arial" w:cs="Arial" w:eastAsia="Arial" w:hAnsi="Arial"/>
          <w:sz w:val="12"/>
          <w:szCs w:val="12"/>
          <w:color w:val="auto"/>
        </w:rPr>
        <w:t>. If the Company elects to rely upon Rule 462(b) under the Securities Act, the Company shall file a registration statement under Rule 462(b) with the Commission in compliance with</w:t>
      </w:r>
      <w:r>
        <w:rPr>
          <w:rFonts w:ascii="Arial" w:cs="Arial" w:eastAsia="Arial" w:hAnsi="Arial"/>
          <w:sz w:val="12"/>
          <w:szCs w:val="12"/>
          <w:i w:val="1"/>
          <w:iCs w:val="1"/>
          <w:color w:val="auto"/>
        </w:rPr>
        <w:t xml:space="preserve"> </w:t>
      </w:r>
      <w:r>
        <w:rPr>
          <w:rFonts w:ascii="Arial" w:cs="Arial" w:eastAsia="Arial" w:hAnsi="Arial"/>
          <w:sz w:val="12"/>
          <w:szCs w:val="12"/>
          <w:color w:val="auto"/>
        </w:rPr>
        <w:t>Rule 462(b) by 8:00 a.m., Eastern time, on the business day next succeeding the date of this Agreement, and the Company shall at the time of filing either pay to the Commission the filing fee for such Rule 462(b) registration statement or give irrevocable instructions for the payment of such fee pursuant to the Rules and Regulations.</w:t>
      </w:r>
    </w:p>
    <w:p>
      <w:pPr>
        <w:spacing w:after="0" w:line="140" w:lineRule="exact"/>
        <w:rPr>
          <w:rFonts w:ascii="Arial" w:cs="Arial" w:eastAsia="Arial" w:hAnsi="Arial"/>
          <w:sz w:val="12"/>
          <w:szCs w:val="12"/>
          <w:color w:val="auto"/>
        </w:rPr>
      </w:pPr>
    </w:p>
    <w:p>
      <w:pPr>
        <w:jc w:val="both"/>
        <w:ind w:left="-432" w:firstLine="432"/>
        <w:spacing w:after="0" w:line="263" w:lineRule="auto"/>
        <w:tabs>
          <w:tab w:leader="none" w:pos="505" w:val="left"/>
        </w:tabs>
        <w:numPr>
          <w:ilvl w:val="0"/>
          <w:numId w:val="100"/>
        </w:numPr>
        <w:rPr>
          <w:rFonts w:ascii="Arial" w:cs="Arial" w:eastAsia="Arial" w:hAnsi="Arial"/>
          <w:sz w:val="12"/>
          <w:szCs w:val="12"/>
          <w:color w:val="auto"/>
        </w:rPr>
      </w:pPr>
      <w:r>
        <w:rPr>
          <w:rFonts w:ascii="Arial" w:cs="Arial" w:eastAsia="Arial" w:hAnsi="Arial"/>
          <w:sz w:val="12"/>
          <w:szCs w:val="12"/>
          <w:i w:val="1"/>
          <w:iCs w:val="1"/>
          <w:color w:val="auto"/>
        </w:rPr>
        <w:t>Amendments or Supplements</w:t>
      </w:r>
      <w:r>
        <w:rPr>
          <w:rFonts w:ascii="Arial" w:cs="Arial" w:eastAsia="Arial" w:hAnsi="Arial"/>
          <w:sz w:val="12"/>
          <w:szCs w:val="12"/>
          <w:color w:val="auto"/>
        </w:rPr>
        <w:t>. The Company will not, during the Prospectus Delivery Period in connection with the Offering contemplated by this Agreement, file any amendment or supplement to the Registration</w:t>
      </w:r>
      <w:r>
        <w:rPr>
          <w:rFonts w:ascii="Arial" w:cs="Arial" w:eastAsia="Arial" w:hAnsi="Arial"/>
          <w:sz w:val="12"/>
          <w:szCs w:val="12"/>
          <w:i w:val="1"/>
          <w:iCs w:val="1"/>
          <w:color w:val="auto"/>
        </w:rPr>
        <w:t xml:space="preserve"> </w:t>
      </w:r>
      <w:r>
        <w:rPr>
          <w:rFonts w:ascii="Arial" w:cs="Arial" w:eastAsia="Arial" w:hAnsi="Arial"/>
          <w:sz w:val="12"/>
          <w:szCs w:val="12"/>
          <w:color w:val="auto"/>
        </w:rPr>
        <w:t>Statement or the Prospectus unless a copy thereof shall first have been submitted to the Placement Agent within a reasonable period of time prior to the filing thereof and the Placement Agent shall not have reasonably objected thereto in good faith.</w:t>
      </w:r>
    </w:p>
    <w:p>
      <w:pPr>
        <w:spacing w:after="0" w:line="140" w:lineRule="exact"/>
        <w:rPr>
          <w:rFonts w:ascii="Arial" w:cs="Arial" w:eastAsia="Arial" w:hAnsi="Arial"/>
          <w:sz w:val="12"/>
          <w:szCs w:val="12"/>
          <w:color w:val="auto"/>
        </w:rPr>
      </w:pPr>
    </w:p>
    <w:p>
      <w:pPr>
        <w:jc w:val="both"/>
        <w:ind w:left="-432" w:firstLine="432"/>
        <w:spacing w:after="0" w:line="254" w:lineRule="auto"/>
        <w:tabs>
          <w:tab w:leader="none" w:pos="449" w:val="left"/>
        </w:tabs>
        <w:numPr>
          <w:ilvl w:val="0"/>
          <w:numId w:val="100"/>
        </w:numPr>
        <w:rPr>
          <w:rFonts w:ascii="Arial" w:cs="Arial" w:eastAsia="Arial" w:hAnsi="Arial"/>
          <w:sz w:val="12"/>
          <w:szCs w:val="12"/>
          <w:color w:val="auto"/>
        </w:rPr>
      </w:pPr>
      <w:r>
        <w:rPr>
          <w:rFonts w:ascii="Arial" w:cs="Arial" w:eastAsia="Arial" w:hAnsi="Arial"/>
          <w:sz w:val="12"/>
          <w:szCs w:val="12"/>
          <w:i w:val="1"/>
          <w:iCs w:val="1"/>
          <w:color w:val="auto"/>
        </w:rPr>
        <w:t>Notice to Placement Agent</w:t>
      </w:r>
      <w:r>
        <w:rPr>
          <w:rFonts w:ascii="Arial" w:cs="Arial" w:eastAsia="Arial" w:hAnsi="Arial"/>
          <w:sz w:val="12"/>
          <w:szCs w:val="12"/>
          <w:color w:val="auto"/>
        </w:rPr>
        <w:t>. The Company will notify the Placement Agent promptly, and will, if requested, confirm such notification in writing: (i) the receipt of any comments of, or requests for additional information</w:t>
      </w:r>
      <w:r>
        <w:rPr>
          <w:rFonts w:ascii="Arial" w:cs="Arial" w:eastAsia="Arial" w:hAnsi="Arial"/>
          <w:sz w:val="12"/>
          <w:szCs w:val="12"/>
          <w:i w:val="1"/>
          <w:iCs w:val="1"/>
          <w:color w:val="auto"/>
        </w:rPr>
        <w:t xml:space="preserve"> </w:t>
      </w:r>
      <w:r>
        <w:rPr>
          <w:rFonts w:ascii="Arial" w:cs="Arial" w:eastAsia="Arial" w:hAnsi="Arial"/>
          <w:sz w:val="12"/>
          <w:szCs w:val="12"/>
          <w:color w:val="auto"/>
        </w:rPr>
        <w:t>from, the Commission; (ii) the time and date of any filing of any post-effective amendment to the Registration Statement or any amendment or supplement to the Disclosure Documents, (iii) the time and date when any post-effective amendment to the Registration Statement becomes effective; (iv) of the issuance by the Commission of any stop order suspending the effectiveness of the Registration Statement, or any post-effective amendment thereto or any order preventing or suspending the use of any Disclosure Documents, or the initiation of any proceedings for that purpose or the threat thereof; (v) of receipt by the Company of any notification with respect to any suspension or the approval of the Securities (including any shares of Common Stock underlying the Securities) from any securities exchange upon which it is listed for trading or included or designated for quotation, or the initiation or threatening of any proceeding for such purpose. The Company will use its reasonable best efforts to prevent the issuance or invocation of any such stop order or suspension by the Commission and, if any such stop order or suspension is so issued or invoked, to obtain as soon as possible the withdrawal or removal thereof.</w:t>
      </w:r>
    </w:p>
    <w:p>
      <w:pPr>
        <w:spacing w:after="0" w:line="148" w:lineRule="exact"/>
        <w:rPr>
          <w:rFonts w:ascii="Arial" w:cs="Arial" w:eastAsia="Arial" w:hAnsi="Arial"/>
          <w:sz w:val="12"/>
          <w:szCs w:val="12"/>
          <w:color w:val="auto"/>
        </w:rPr>
      </w:pPr>
    </w:p>
    <w:p>
      <w:pPr>
        <w:jc w:val="both"/>
        <w:ind w:left="-432" w:firstLine="432"/>
        <w:spacing w:after="0" w:line="309" w:lineRule="auto"/>
        <w:tabs>
          <w:tab w:leader="none" w:pos="451" w:val="left"/>
        </w:tabs>
        <w:numPr>
          <w:ilvl w:val="0"/>
          <w:numId w:val="100"/>
        </w:numPr>
        <w:rPr>
          <w:rFonts w:ascii="Arial" w:cs="Arial" w:eastAsia="Arial" w:hAnsi="Arial"/>
          <w:sz w:val="10"/>
          <w:szCs w:val="10"/>
          <w:color w:val="auto"/>
        </w:rPr>
      </w:pPr>
      <w:r>
        <w:rPr>
          <w:rFonts w:ascii="Arial" w:cs="Arial" w:eastAsia="Arial" w:hAnsi="Arial"/>
          <w:sz w:val="10"/>
          <w:szCs w:val="10"/>
          <w:i w:val="1"/>
          <w:iCs w:val="1"/>
          <w:color w:val="auto"/>
        </w:rPr>
        <w:t>Filing of Amendments or Supplements</w:t>
      </w:r>
      <w:r>
        <w:rPr>
          <w:rFonts w:ascii="Arial" w:cs="Arial" w:eastAsia="Arial" w:hAnsi="Arial"/>
          <w:sz w:val="10"/>
          <w:szCs w:val="10"/>
          <w:color w:val="auto"/>
        </w:rPr>
        <w:t>. If, during the Prospectus Delivery Period, any event shall occur or condition exist as a result of which it is necessary to amend or supplement the Prospectus (or, if the Prospectus</w:t>
      </w:r>
      <w:r>
        <w:rPr>
          <w:rFonts w:ascii="Arial" w:cs="Arial" w:eastAsia="Arial" w:hAnsi="Arial"/>
          <w:sz w:val="10"/>
          <w:szCs w:val="10"/>
          <w:i w:val="1"/>
          <w:iCs w:val="1"/>
          <w:color w:val="auto"/>
        </w:rPr>
        <w:t xml:space="preserve"> </w:t>
      </w:r>
      <w:r>
        <w:rPr>
          <w:rFonts w:ascii="Arial" w:cs="Arial" w:eastAsia="Arial" w:hAnsi="Arial"/>
          <w:sz w:val="10"/>
          <w:szCs w:val="10"/>
          <w:color w:val="auto"/>
        </w:rPr>
        <w:t>is not yet available to prospective purchasers, the Disclosure Documents) in order to make the statements therein, in the light of the circumstances when the Prospectus (or, if the Prospectus is not yet available to prospective purchasers, the Disclosure Documents) is delivered to an Investor, not misleading, or if, in the opinion of counsel for the Placement Agent, it is necessary to amend or supplement the Prospectus (or, if the Prospectus is not yet available to prospective purchasers, the Disclosure Documents) to comply with applicable law, forthwith to prepare, file with the Commission and furnish, at its own expense, to the Placement Agent, either amendments or supplements to the Prospectus (or, if the Prospectus is not yet available to prospective purchasers, the Disclosure Documents) so that the statements in the Prospectus (or, if the Prospectus is not yet available to prospective purchasers, the Disclosure Documents) as so amended or supplemented will not, in the light of the circumstances when the Prospectus (or, if the Prospectus is not yet available to prospective purchasers, the Disclosure Documents) is delivered to an Investor, be misleading or so that the Prospectus (or, if the Prospectus is not yet available to prospective purchasers, the Disclosure Documents), as amended or supplemented, will comply with law. If at any time following issuance of an Free Writing Prospectus there occurred or occurs an event or development as a result of which such Free Writing Prospectus conflicted or would conflict with the information contained in the Registration Statement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the Company promptly will notify the Placement Agent and will promptly amend or supplement, at its own expense, such Free Writing Prospectus to eliminate or correct such conflict, untrue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354330</wp:posOffset>
            </wp:positionV>
            <wp:extent cx="7299325" cy="18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193" w:name="page194"/>
    <w:bookmarkEnd w:id="193"/>
    <w:p>
      <w:pPr>
        <w:jc w:val="both"/>
        <w:ind w:left="-432" w:firstLine="432"/>
        <w:spacing w:after="0" w:line="290" w:lineRule="auto"/>
        <w:tabs>
          <w:tab w:leader="none" w:pos="465" w:val="left"/>
        </w:tabs>
        <w:numPr>
          <w:ilvl w:val="0"/>
          <w:numId w:val="101"/>
        </w:numPr>
        <w:rPr>
          <w:rFonts w:ascii="Arial" w:cs="Arial" w:eastAsia="Arial" w:hAnsi="Arial"/>
          <w:sz w:val="11"/>
          <w:szCs w:val="11"/>
          <w:color w:val="auto"/>
        </w:rPr>
      </w:pPr>
      <w:r>
        <w:rPr>
          <w:rFonts w:ascii="Arial" w:cs="Arial" w:eastAsia="Arial" w:hAnsi="Arial"/>
          <w:sz w:val="11"/>
          <w:szCs w:val="11"/>
          <w:i w:val="1"/>
          <w:iCs w:val="1"/>
          <w:color w:val="auto"/>
        </w:rPr>
        <w:t>Delivery of Copies</w:t>
      </w:r>
      <w:r>
        <w:rPr>
          <w:rFonts w:ascii="Arial" w:cs="Arial" w:eastAsia="Arial" w:hAnsi="Arial"/>
          <w:sz w:val="11"/>
          <w:szCs w:val="11"/>
          <w:color w:val="auto"/>
        </w:rPr>
        <w:t>. The Company will deliver promptly to the Placement Agent and its counsel such number of the following documents as the Placement Agent shall reasonably request: (i) conformed copies of the</w:t>
      </w:r>
      <w:r>
        <w:rPr>
          <w:rFonts w:ascii="Arial" w:cs="Arial" w:eastAsia="Arial" w:hAnsi="Arial"/>
          <w:sz w:val="11"/>
          <w:szCs w:val="11"/>
          <w:i w:val="1"/>
          <w:iCs w:val="1"/>
          <w:color w:val="auto"/>
        </w:rPr>
        <w:t xml:space="preserve"> </w:t>
      </w:r>
      <w:r>
        <w:rPr>
          <w:rFonts w:ascii="Arial" w:cs="Arial" w:eastAsia="Arial" w:hAnsi="Arial"/>
          <w:sz w:val="11"/>
          <w:szCs w:val="11"/>
          <w:color w:val="auto"/>
        </w:rPr>
        <w:t>Registration Statement as originally filed with the Commission and each amendment thereto (in each case excluding exhibits), (ii) copies of any Preliminary Prospectus or Free Writing Prospectus, (iii) during the Prospectus Delivery Period, copies of the Prospectus (or any amendments or supplements thereto); (iii) any document incorporated by reference in the Prospectus (other than any such document that is filed with the Commission electronically via EDGAR) and (iv) all correspondence to and from, and all documents issued to and by, the Commission in connection with the registration of the Securities under the Securities Act.</w:t>
      </w:r>
    </w:p>
    <w:p>
      <w:pPr>
        <w:spacing w:after="0" w:line="127" w:lineRule="exact"/>
        <w:rPr>
          <w:rFonts w:ascii="Arial" w:cs="Arial" w:eastAsia="Arial" w:hAnsi="Arial"/>
          <w:sz w:val="11"/>
          <w:szCs w:val="11"/>
          <w:color w:val="auto"/>
        </w:rPr>
      </w:pPr>
    </w:p>
    <w:p>
      <w:pPr>
        <w:ind w:left="-432" w:right="20" w:firstLine="432"/>
        <w:spacing w:after="0" w:line="276" w:lineRule="auto"/>
        <w:tabs>
          <w:tab w:leader="none" w:pos="485" w:val="left"/>
        </w:tabs>
        <w:numPr>
          <w:ilvl w:val="0"/>
          <w:numId w:val="101"/>
        </w:numPr>
        <w:rPr>
          <w:rFonts w:ascii="Arial" w:cs="Arial" w:eastAsia="Arial" w:hAnsi="Arial"/>
          <w:sz w:val="12"/>
          <w:szCs w:val="12"/>
          <w:color w:val="auto"/>
        </w:rPr>
      </w:pPr>
      <w:r>
        <w:rPr>
          <w:rFonts w:ascii="Arial" w:cs="Arial" w:eastAsia="Arial" w:hAnsi="Arial"/>
          <w:sz w:val="12"/>
          <w:szCs w:val="12"/>
          <w:i w:val="1"/>
          <w:iCs w:val="1"/>
          <w:color w:val="auto"/>
        </w:rPr>
        <w:t>Earnings Statement</w:t>
      </w:r>
      <w:r>
        <w:rPr>
          <w:rFonts w:ascii="Arial" w:cs="Arial" w:eastAsia="Arial" w:hAnsi="Arial"/>
          <w:sz w:val="12"/>
          <w:szCs w:val="12"/>
          <w:color w:val="auto"/>
        </w:rPr>
        <w:t>. As soon as practicable, but in any event not later than 15 months after the end of the Company’s current fiscal quarter, the Company will make generally available to holders of its securities and</w:t>
      </w:r>
      <w:r>
        <w:rPr>
          <w:rFonts w:ascii="Arial" w:cs="Arial" w:eastAsia="Arial" w:hAnsi="Arial"/>
          <w:sz w:val="12"/>
          <w:szCs w:val="12"/>
          <w:i w:val="1"/>
          <w:iCs w:val="1"/>
          <w:color w:val="auto"/>
        </w:rPr>
        <w:t xml:space="preserve"> </w:t>
      </w:r>
      <w:r>
        <w:rPr>
          <w:rFonts w:ascii="Arial" w:cs="Arial" w:eastAsia="Arial" w:hAnsi="Arial"/>
          <w:sz w:val="12"/>
          <w:szCs w:val="12"/>
          <w:color w:val="auto"/>
        </w:rPr>
        <w:t>deliver to the Placement Agent, an earnings statement of the Company (which need not be audited) that will satisfy the provisions of Section 11(a) and Rule 158 of the Securities Act.</w:t>
      </w:r>
    </w:p>
    <w:p>
      <w:pPr>
        <w:spacing w:after="0" w:line="132" w:lineRule="exact"/>
        <w:rPr>
          <w:rFonts w:ascii="Arial" w:cs="Arial" w:eastAsia="Arial" w:hAnsi="Arial"/>
          <w:sz w:val="12"/>
          <w:szCs w:val="12"/>
          <w:color w:val="auto"/>
        </w:rPr>
      </w:pPr>
    </w:p>
    <w:p>
      <w:pPr>
        <w:ind w:left="-432" w:firstLine="432"/>
        <w:spacing w:after="0" w:line="276" w:lineRule="auto"/>
        <w:tabs>
          <w:tab w:leader="none" w:pos="467" w:val="left"/>
        </w:tabs>
        <w:numPr>
          <w:ilvl w:val="0"/>
          <w:numId w:val="101"/>
        </w:numPr>
        <w:rPr>
          <w:rFonts w:ascii="Arial" w:cs="Arial" w:eastAsia="Arial" w:hAnsi="Arial"/>
          <w:sz w:val="12"/>
          <w:szCs w:val="12"/>
          <w:color w:val="auto"/>
        </w:rPr>
      </w:pPr>
      <w:r>
        <w:rPr>
          <w:rFonts w:ascii="Arial" w:cs="Arial" w:eastAsia="Arial" w:hAnsi="Arial"/>
          <w:sz w:val="12"/>
          <w:szCs w:val="12"/>
          <w:i w:val="1"/>
          <w:iCs w:val="1"/>
          <w:color w:val="auto"/>
        </w:rPr>
        <w:t>Use of Proceeds</w:t>
      </w:r>
      <w:r>
        <w:rPr>
          <w:rFonts w:ascii="Arial" w:cs="Arial" w:eastAsia="Arial" w:hAnsi="Arial"/>
          <w:sz w:val="12"/>
          <w:szCs w:val="12"/>
          <w:color w:val="auto"/>
        </w:rPr>
        <w:t>. The Company will apply the net proceeds from the sale of the Securities in all material respects in the manner set forth in the Registration Statement and the Disclosure Documents under the heading</w:t>
      </w:r>
      <w:r>
        <w:rPr>
          <w:rFonts w:ascii="Arial" w:cs="Arial" w:eastAsia="Arial" w:hAnsi="Arial"/>
          <w:sz w:val="12"/>
          <w:szCs w:val="12"/>
          <w:i w:val="1"/>
          <w:iCs w:val="1"/>
          <w:color w:val="auto"/>
        </w:rPr>
        <w:t xml:space="preserve"> </w:t>
      </w:r>
      <w:r>
        <w:rPr>
          <w:rFonts w:ascii="Arial" w:cs="Arial" w:eastAsia="Arial" w:hAnsi="Arial"/>
          <w:sz w:val="12"/>
          <w:szCs w:val="12"/>
          <w:color w:val="auto"/>
        </w:rPr>
        <w:t>“Use of Proceeds”.</w:t>
      </w:r>
    </w:p>
    <w:p>
      <w:pPr>
        <w:spacing w:after="0" w:line="132" w:lineRule="exact"/>
        <w:rPr>
          <w:rFonts w:ascii="Arial" w:cs="Arial" w:eastAsia="Arial" w:hAnsi="Arial"/>
          <w:sz w:val="12"/>
          <w:szCs w:val="12"/>
          <w:color w:val="auto"/>
        </w:rPr>
      </w:pPr>
    </w:p>
    <w:p>
      <w:pPr>
        <w:jc w:val="both"/>
        <w:ind w:left="-432" w:firstLine="432"/>
        <w:spacing w:after="0" w:line="279" w:lineRule="auto"/>
        <w:tabs>
          <w:tab w:leader="none" w:pos="413" w:val="left"/>
        </w:tabs>
        <w:numPr>
          <w:ilvl w:val="0"/>
          <w:numId w:val="101"/>
        </w:numPr>
        <w:rPr>
          <w:rFonts w:ascii="Arial" w:cs="Arial" w:eastAsia="Arial" w:hAnsi="Arial"/>
          <w:sz w:val="11"/>
          <w:szCs w:val="11"/>
          <w:color w:val="auto"/>
        </w:rPr>
      </w:pPr>
      <w:r>
        <w:rPr>
          <w:rFonts w:ascii="Arial" w:cs="Arial" w:eastAsia="Arial" w:hAnsi="Arial"/>
          <w:sz w:val="11"/>
          <w:szCs w:val="11"/>
          <w:i w:val="1"/>
          <w:iCs w:val="1"/>
          <w:color w:val="auto"/>
        </w:rPr>
        <w:t>Public Communications</w:t>
      </w:r>
      <w:r>
        <w:rPr>
          <w:rFonts w:ascii="Arial" w:cs="Arial" w:eastAsia="Arial" w:hAnsi="Arial"/>
          <w:sz w:val="11"/>
          <w:szCs w:val="11"/>
          <w:color w:val="auto"/>
        </w:rPr>
        <w:t>. Prior to the termination of the Offering, the Company will not issue any press release or other communication directly or indirectly or hold any press conference with respect to the Company, its</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condition, financial or otherwise, or the earnings, business, operations or prospects of any of them, or the offering of the Securities, without the prior written consent of the Placement Agent, unless in the reasonable judgment of the Company and its counsel, and after notification to the Placement Agent, such press release or communication is required by law, in which case the Company shall use its reasonable best efforts to allow the Placement Agent reasonable time to comment on such release or other communication in advance of such issuance. Upon consummation of the Offering, the Company agrees that any reference to “Geller Biopharm” in any press release or other communications issued by the Company to the public relating to the Offering will refer to “Geller Biopharm” as “Geller Biopharm, a healthcare investment banking division of Financial West Group, a member of FINRA/SIPC”. Furthermore, if requested by the Placement Agent, the Company agrees to include a mutually acceptable reference to “Geller Biopharm” in any such press release or other public announcement made by the Company regarding the Offering. Additionally, the Company acknowledges that the Placement Agent may, at its option and expense (and only after the first public disclosure or announcement of the Offering by the Company) place announcements and advertisements or otherwise publicize Geller Biopharm’s role in facilitating the Offering (which may include the reproduction of the Company’s logo), stating that Geller Biopharm acted as placement agent in connection with such transaction;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the Placement Agent shall first submit a copy of any such announcement or advertisement to the Company for its approval, which approval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363220</wp:posOffset>
            </wp:positionV>
            <wp:extent cx="7299325" cy="18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194" w:name="page195"/>
    <w:bookmarkEnd w:id="194"/>
    <w:p>
      <w:pPr>
        <w:jc w:val="both"/>
        <w:ind w:left="-432" w:firstLine="432"/>
        <w:spacing w:after="0" w:line="278" w:lineRule="auto"/>
        <w:tabs>
          <w:tab w:leader="none" w:pos="440" w:val="left"/>
        </w:tabs>
        <w:numPr>
          <w:ilvl w:val="0"/>
          <w:numId w:val="102"/>
        </w:numPr>
        <w:rPr>
          <w:rFonts w:ascii="Arial" w:cs="Arial" w:eastAsia="Arial" w:hAnsi="Arial"/>
          <w:sz w:val="11"/>
          <w:szCs w:val="11"/>
          <w:color w:val="auto"/>
        </w:rPr>
      </w:pPr>
      <w:r>
        <w:rPr>
          <w:rFonts w:ascii="Arial" w:cs="Arial" w:eastAsia="Arial" w:hAnsi="Arial"/>
          <w:sz w:val="11"/>
          <w:szCs w:val="11"/>
          <w:i w:val="1"/>
          <w:iCs w:val="1"/>
          <w:color w:val="auto"/>
        </w:rPr>
        <w:t>Lock-Up Period</w:t>
      </w:r>
      <w:r>
        <w:rPr>
          <w:rFonts w:ascii="Arial" w:cs="Arial" w:eastAsia="Arial" w:hAnsi="Arial"/>
          <w:sz w:val="11"/>
          <w:szCs w:val="11"/>
          <w:color w:val="auto"/>
        </w:rPr>
        <w:t>. Except as described in the Disclosure Documents, the Company, on behalf of itself and any successor entity, has agreed that, without the prior written consent of the Placement Agent, it will not, for a</w:t>
      </w:r>
      <w:r>
        <w:rPr>
          <w:rFonts w:ascii="Arial" w:cs="Arial" w:eastAsia="Arial" w:hAnsi="Arial"/>
          <w:sz w:val="11"/>
          <w:szCs w:val="11"/>
          <w:i w:val="1"/>
          <w:iCs w:val="1"/>
          <w:color w:val="auto"/>
        </w:rPr>
        <w:t xml:space="preserve"> </w:t>
      </w:r>
      <w:r>
        <w:rPr>
          <w:rFonts w:ascii="Arial" w:cs="Arial" w:eastAsia="Arial" w:hAnsi="Arial"/>
          <w:sz w:val="11"/>
          <w:szCs w:val="11"/>
          <w:color w:val="auto"/>
        </w:rPr>
        <w:t>period of One Hundred and Eighty (180) days after the date of this Agreement (the “</w:t>
      </w:r>
      <w:r>
        <w:rPr>
          <w:rFonts w:ascii="Arial" w:cs="Arial" w:eastAsia="Arial" w:hAnsi="Arial"/>
          <w:sz w:val="11"/>
          <w:szCs w:val="11"/>
          <w:i w:val="1"/>
          <w:iCs w:val="1"/>
          <w:color w:val="auto"/>
        </w:rPr>
        <w:t>Lock-Up Period</w:t>
      </w:r>
      <w:r>
        <w:rPr>
          <w:rFonts w:ascii="Arial" w:cs="Arial" w:eastAsia="Arial" w:hAnsi="Arial"/>
          <w:sz w:val="11"/>
          <w:szCs w:val="11"/>
          <w:color w:val="auto"/>
        </w:rPr>
        <w:t>”),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(ii) file or cause to be filed any registration statement with the Commission relating to the offering of any shares of capital stock of the Company or any securities convertible into or exercisable or exchangeable for shares of capital stock of the Company; or (iii) enter into any swap or other arrangement that transfers to another, in whole or in part, any of the economic consequences of ownership of capital stock of the Company, whether any such transaction described in clause (i), (ii) or (iii) above is to be settled by delivery of shares of capital stock of the Company or such other securities, in cash or otherwise. The restrictions contained in this Section 3(k) shall not apply to (1) the Securities and the shares of Common Stock issuable upon exercise thereof, (2) the issuance by the Company of shares of Common Stock upon the exercise of a stock option or warrant or the conversion of a security outstanding on the date hereof, of which the Placement Agent has been advised in writing; (3) the issuance by the Company of stock options or shares of capital stock of the Company under any equity compensation plan of the Company; or (4) the filing of a registration statement on Form S-8 with the Commission. Notwithstanding the foregoing, if (A) during the last 17 days of the Lock-Up Period, the Company issues an earnings release or material news or a material event relating to the Company occurs, or (B) prior to the expiration of the Lock-Up Period, the Company announces that it will release earnings results or becomes aware that material news or a material event will occur during the 16-day period beginning on the last day of the Lock-Up Period, the restrictions imposed by the foregoing Section 3(k) shall continue to apply until the expiration of the 18-day period beginning on the issuance of the earnings release or the occurrence of such material news or material event, as applicable, unless the Placement Agent waives, in writing, such extension.</w:t>
      </w:r>
    </w:p>
    <w:p>
      <w:pPr>
        <w:spacing w:after="0" w:line="133" w:lineRule="exact"/>
        <w:rPr>
          <w:rFonts w:ascii="Arial" w:cs="Arial" w:eastAsia="Arial" w:hAnsi="Arial"/>
          <w:sz w:val="11"/>
          <w:szCs w:val="11"/>
          <w:color w:val="auto"/>
        </w:rPr>
      </w:pPr>
    </w:p>
    <w:p>
      <w:pPr>
        <w:ind w:left="-432" w:firstLine="432"/>
        <w:spacing w:after="0" w:line="276" w:lineRule="auto"/>
        <w:tabs>
          <w:tab w:leader="none" w:pos="503"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Stabilization</w:t>
      </w:r>
      <w:r>
        <w:rPr>
          <w:rFonts w:ascii="Arial" w:cs="Arial" w:eastAsia="Arial" w:hAnsi="Arial"/>
          <w:sz w:val="12"/>
          <w:szCs w:val="12"/>
          <w:color w:val="auto"/>
        </w:rPr>
        <w:t>. The Company will not take directly or indirectly any action designed, or that might reasonably be expected to cause or result in, or that will constitute, stabilization or manipulation of the price of any</w:t>
      </w:r>
      <w:r>
        <w:rPr>
          <w:rFonts w:ascii="Arial" w:cs="Arial" w:eastAsia="Arial" w:hAnsi="Arial"/>
          <w:sz w:val="12"/>
          <w:szCs w:val="12"/>
          <w:i w:val="1"/>
          <w:iCs w:val="1"/>
          <w:color w:val="auto"/>
        </w:rPr>
        <w:t xml:space="preserve"> </w:t>
      </w:r>
      <w:r>
        <w:rPr>
          <w:rFonts w:ascii="Arial" w:cs="Arial" w:eastAsia="Arial" w:hAnsi="Arial"/>
          <w:sz w:val="12"/>
          <w:szCs w:val="12"/>
          <w:color w:val="auto"/>
        </w:rPr>
        <w:t>security of the Company to facilitate the sale or resale of any of the Securities.</w:t>
      </w:r>
    </w:p>
    <w:p>
      <w:pPr>
        <w:spacing w:after="0" w:line="132" w:lineRule="exact"/>
        <w:rPr>
          <w:rFonts w:ascii="Arial" w:cs="Arial" w:eastAsia="Arial" w:hAnsi="Arial"/>
          <w:sz w:val="12"/>
          <w:szCs w:val="12"/>
          <w:color w:val="auto"/>
        </w:rPr>
      </w:pPr>
    </w:p>
    <w:p>
      <w:pPr>
        <w:ind w:left="408" w:hanging="408"/>
        <w:spacing w:after="0"/>
        <w:tabs>
          <w:tab w:leader="none" w:pos="408"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Transfer Agent</w:t>
      </w:r>
      <w:r>
        <w:rPr>
          <w:rFonts w:ascii="Arial" w:cs="Arial" w:eastAsia="Arial" w:hAnsi="Arial"/>
          <w:sz w:val="12"/>
          <w:szCs w:val="12"/>
          <w:color w:val="auto"/>
        </w:rPr>
        <w:t>. The Company shall engage and maintain, at its expense, a transfer agent and, if necessary under the jurisdiction of incorporation of the Company, a registrar for the Common Stock.</w:t>
      </w:r>
    </w:p>
    <w:p>
      <w:pPr>
        <w:spacing w:after="0" w:line="168" w:lineRule="exact"/>
        <w:rPr>
          <w:rFonts w:ascii="Arial" w:cs="Arial" w:eastAsia="Arial" w:hAnsi="Arial"/>
          <w:sz w:val="12"/>
          <w:szCs w:val="12"/>
          <w:color w:val="auto"/>
        </w:rPr>
      </w:pPr>
    </w:p>
    <w:p>
      <w:pPr>
        <w:ind w:left="-432" w:right="20" w:firstLine="432"/>
        <w:spacing w:after="0" w:line="276" w:lineRule="auto"/>
        <w:tabs>
          <w:tab w:leader="none" w:pos="572"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Investment Company Act</w:t>
      </w:r>
      <w:r>
        <w:rPr>
          <w:rFonts w:ascii="Arial" w:cs="Arial" w:eastAsia="Arial" w:hAnsi="Arial"/>
          <w:sz w:val="12"/>
          <w:szCs w:val="12"/>
          <w:color w:val="auto"/>
        </w:rPr>
        <w:t>. The Company shall not invest, or otherwise use the proceeds received by the Company from its sale of the Securities in such a manner as would require the Company to register as an</w:t>
      </w:r>
      <w:r>
        <w:rPr>
          <w:rFonts w:ascii="Arial" w:cs="Arial" w:eastAsia="Arial" w:hAnsi="Arial"/>
          <w:sz w:val="12"/>
          <w:szCs w:val="12"/>
          <w:i w:val="1"/>
          <w:iCs w:val="1"/>
          <w:color w:val="auto"/>
        </w:rPr>
        <w:t xml:space="preserve"> </w:t>
      </w:r>
      <w:r>
        <w:rPr>
          <w:rFonts w:ascii="Arial" w:cs="Arial" w:eastAsia="Arial" w:hAnsi="Arial"/>
          <w:sz w:val="12"/>
          <w:szCs w:val="12"/>
          <w:color w:val="auto"/>
        </w:rPr>
        <w:t>investment company under the Investment Company Act.</w:t>
      </w:r>
    </w:p>
    <w:p>
      <w:pPr>
        <w:spacing w:after="0" w:line="132" w:lineRule="exact"/>
        <w:rPr>
          <w:rFonts w:ascii="Arial" w:cs="Arial" w:eastAsia="Arial" w:hAnsi="Arial"/>
          <w:sz w:val="12"/>
          <w:szCs w:val="12"/>
          <w:color w:val="auto"/>
        </w:rPr>
      </w:pPr>
    </w:p>
    <w:p>
      <w:pPr>
        <w:ind w:left="448" w:hanging="448"/>
        <w:spacing w:after="0"/>
        <w:tabs>
          <w:tab w:leader="none" w:pos="448"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Sarbanes-Oxley Act</w:t>
      </w:r>
      <w:r>
        <w:rPr>
          <w:rFonts w:ascii="Arial" w:cs="Arial" w:eastAsia="Arial" w:hAnsi="Arial"/>
          <w:sz w:val="12"/>
          <w:szCs w:val="12"/>
          <w:color w:val="auto"/>
        </w:rPr>
        <w:t>. The Company will comply in all material respects with all effective applicable provisions of the Sarbanes Oxley Act.</w:t>
      </w:r>
    </w:p>
    <w:p>
      <w:pPr>
        <w:spacing w:after="0" w:line="168" w:lineRule="exact"/>
        <w:rPr>
          <w:rFonts w:ascii="Arial" w:cs="Arial" w:eastAsia="Arial" w:hAnsi="Arial"/>
          <w:sz w:val="12"/>
          <w:szCs w:val="12"/>
          <w:color w:val="auto"/>
        </w:rPr>
      </w:pPr>
    </w:p>
    <w:p>
      <w:pPr>
        <w:ind w:left="448" w:hanging="448"/>
        <w:spacing w:after="0"/>
        <w:tabs>
          <w:tab w:leader="none" w:pos="448" w:val="left"/>
        </w:tabs>
        <w:numPr>
          <w:ilvl w:val="0"/>
          <w:numId w:val="102"/>
        </w:numPr>
        <w:rPr>
          <w:rFonts w:ascii="Arial" w:cs="Arial" w:eastAsia="Arial" w:hAnsi="Arial"/>
          <w:sz w:val="11"/>
          <w:szCs w:val="11"/>
          <w:color w:val="auto"/>
        </w:rPr>
      </w:pPr>
      <w:r>
        <w:rPr>
          <w:rFonts w:ascii="Arial" w:cs="Arial" w:eastAsia="Arial" w:hAnsi="Arial"/>
          <w:sz w:val="11"/>
          <w:szCs w:val="11"/>
          <w:i w:val="1"/>
          <w:iCs w:val="1"/>
          <w:color w:val="auto"/>
        </w:rPr>
        <w:t xml:space="preserve">Periodic Reports. </w:t>
      </w:r>
      <w:r>
        <w:rPr>
          <w:rFonts w:ascii="Arial" w:cs="Arial" w:eastAsia="Arial" w:hAnsi="Arial"/>
          <w:sz w:val="11"/>
          <w:szCs w:val="11"/>
          <w:color w:val="auto"/>
        </w:rPr>
        <w:t>For two years after such Closing, the Company will use its commercially reasonable best efforts to file with the Commission such periodic and special reports as required by the Exchange Act.</w:t>
      </w:r>
    </w:p>
    <w:p>
      <w:pPr>
        <w:spacing w:after="0" w:line="179" w:lineRule="exact"/>
        <w:rPr>
          <w:rFonts w:ascii="Arial" w:cs="Arial" w:eastAsia="Arial" w:hAnsi="Arial"/>
          <w:sz w:val="11"/>
          <w:szCs w:val="11"/>
          <w:color w:val="auto"/>
        </w:rPr>
      </w:pPr>
    </w:p>
    <w:p>
      <w:pPr>
        <w:ind w:left="448" w:hanging="448"/>
        <w:spacing w:after="0"/>
        <w:tabs>
          <w:tab w:leader="none" w:pos="448"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Reservation of Common Stock</w:t>
      </w:r>
      <w:r>
        <w:rPr>
          <w:rFonts w:ascii="Arial" w:cs="Arial" w:eastAsia="Arial" w:hAnsi="Arial"/>
          <w:sz w:val="12"/>
          <w:szCs w:val="12"/>
          <w:color w:val="auto"/>
        </w:rPr>
        <w:t>. The Company shall reserve from its authorized Common Stock a sufficient number of shares to provide for exercise of all Warrants.</w:t>
      </w:r>
    </w:p>
    <w:p>
      <w:pPr>
        <w:spacing w:after="0" w:line="168" w:lineRule="exact"/>
        <w:rPr>
          <w:rFonts w:ascii="Arial" w:cs="Arial" w:eastAsia="Arial" w:hAnsi="Arial"/>
          <w:sz w:val="12"/>
          <w:szCs w:val="12"/>
          <w:color w:val="auto"/>
        </w:rPr>
      </w:pPr>
    </w:p>
    <w:p>
      <w:pPr>
        <w:ind w:left="448" w:hanging="448"/>
        <w:spacing w:after="0"/>
        <w:tabs>
          <w:tab w:leader="none" w:pos="448" w:val="left"/>
        </w:tabs>
        <w:numPr>
          <w:ilvl w:val="0"/>
          <w:numId w:val="102"/>
        </w:numPr>
        <w:rPr>
          <w:rFonts w:ascii="Arial" w:cs="Arial" w:eastAsia="Arial" w:hAnsi="Arial"/>
          <w:sz w:val="11"/>
          <w:szCs w:val="11"/>
          <w:color w:val="auto"/>
        </w:rPr>
      </w:pPr>
      <w:r>
        <w:rPr>
          <w:rFonts w:ascii="Arial" w:cs="Arial" w:eastAsia="Arial" w:hAnsi="Arial"/>
          <w:sz w:val="11"/>
          <w:szCs w:val="11"/>
          <w:i w:val="1"/>
          <w:iCs w:val="1"/>
          <w:color w:val="auto"/>
        </w:rPr>
        <w:t>Blue Sky Filings</w:t>
      </w:r>
      <w:r>
        <w:rPr>
          <w:rFonts w:ascii="Arial" w:cs="Arial" w:eastAsia="Arial" w:hAnsi="Arial"/>
          <w:sz w:val="11"/>
          <w:szCs w:val="11"/>
          <w:color w:val="auto"/>
        </w:rPr>
        <w:t>. The Company shall make any required state securities filings in connection with the issuance and sale of the Securities (including the Shares of Common Stock issuable upon exercise thereof).</w:t>
      </w:r>
    </w:p>
    <w:p>
      <w:pPr>
        <w:spacing w:after="0" w:line="179" w:lineRule="exact"/>
        <w:rPr>
          <w:rFonts w:ascii="Arial" w:cs="Arial" w:eastAsia="Arial" w:hAnsi="Arial"/>
          <w:sz w:val="11"/>
          <w:szCs w:val="11"/>
          <w:color w:val="auto"/>
        </w:rPr>
      </w:pPr>
    </w:p>
    <w:p>
      <w:pPr>
        <w:ind w:left="-432" w:right="20" w:firstLine="432"/>
        <w:spacing w:after="0" w:line="276" w:lineRule="auto"/>
        <w:tabs>
          <w:tab w:leader="none" w:pos="420"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DTC</w:t>
      </w:r>
      <w:r>
        <w:rPr>
          <w:rFonts w:ascii="Arial" w:cs="Arial" w:eastAsia="Arial" w:hAnsi="Arial"/>
          <w:sz w:val="12"/>
          <w:szCs w:val="12"/>
          <w:color w:val="auto"/>
        </w:rPr>
        <w:t>. For a period of two years from the Closing, the Company will employ as the transfer agent for the Common Stock a participant in the Depository Trust Company Automated Securities Transfer Program and cause</w:t>
      </w:r>
      <w:r>
        <w:rPr>
          <w:rFonts w:ascii="Arial" w:cs="Arial" w:eastAsia="Arial" w:hAnsi="Arial"/>
          <w:sz w:val="12"/>
          <w:szCs w:val="12"/>
          <w:i w:val="1"/>
          <w:iCs w:val="1"/>
          <w:color w:val="auto"/>
        </w:rPr>
        <w:t xml:space="preserve"> </w:t>
      </w:r>
      <w:r>
        <w:rPr>
          <w:rFonts w:ascii="Arial" w:cs="Arial" w:eastAsia="Arial" w:hAnsi="Arial"/>
          <w:sz w:val="12"/>
          <w:szCs w:val="12"/>
          <w:color w:val="auto"/>
        </w:rPr>
        <w:t>the Common Stock to be transferable pursuant to such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361315</wp:posOffset>
            </wp:positionV>
            <wp:extent cx="7299325" cy="18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195" w:name="page196"/>
    <w:bookmarkEnd w:id="195"/>
    <w:p>
      <w:pPr>
        <w:jc w:val="both"/>
        <w:ind w:left="108" w:firstLine="432"/>
        <w:spacing w:after="0" w:line="298" w:lineRule="auto"/>
        <w:tabs>
          <w:tab w:leader="none" w:pos="967" w:val="left"/>
        </w:tabs>
        <w:numPr>
          <w:ilvl w:val="0"/>
          <w:numId w:val="103"/>
        </w:numPr>
        <w:rPr>
          <w:rFonts w:ascii="Arial" w:cs="Arial" w:eastAsia="Arial" w:hAnsi="Arial"/>
          <w:sz w:val="11"/>
          <w:szCs w:val="11"/>
          <w:color w:val="auto"/>
        </w:rPr>
      </w:pPr>
      <w:r>
        <w:rPr>
          <w:rFonts w:ascii="Arial" w:cs="Arial" w:eastAsia="Arial" w:hAnsi="Arial"/>
          <w:sz w:val="11"/>
          <w:szCs w:val="11"/>
          <w:i w:val="1"/>
          <w:iCs w:val="1"/>
          <w:color w:val="auto"/>
        </w:rPr>
        <w:t>Release of D&amp;O Lock-up Period</w:t>
      </w:r>
      <w:r>
        <w:rPr>
          <w:rFonts w:ascii="Arial" w:cs="Arial" w:eastAsia="Arial" w:hAnsi="Arial"/>
          <w:sz w:val="11"/>
          <w:szCs w:val="11"/>
          <w:color w:val="auto"/>
        </w:rPr>
        <w:t>. If the Placement Agent, in its sole discretion, agrees to release or waive the restrictions set forth in the Lock-Up Agreement described in Section 2(gg) hereof for an officer or director of</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the Company and provide the Company with notice of the impending release or waiver at least three (3) business days before the effective date of the release or waiver, the Company agrees to announce the impending release or waiver by a press release substantially in the form of </w:t>
      </w:r>
      <w:r>
        <w:rPr>
          <w:rFonts w:ascii="Arial" w:cs="Arial" w:eastAsia="Arial" w:hAnsi="Arial"/>
          <w:sz w:val="11"/>
          <w:szCs w:val="11"/>
          <w:u w:val="single" w:color="auto"/>
          <w:color w:val="auto"/>
        </w:rPr>
        <w:t>Exhibit G</w:t>
      </w:r>
      <w:r>
        <w:rPr>
          <w:rFonts w:ascii="Arial" w:cs="Arial" w:eastAsia="Arial" w:hAnsi="Arial"/>
          <w:sz w:val="11"/>
          <w:szCs w:val="11"/>
          <w:color w:val="auto"/>
        </w:rPr>
        <w:t xml:space="preserve"> hereto through a major news service at least two (2) business days before the effective date of the release or waiver.</w:t>
      </w:r>
    </w:p>
    <w:p>
      <w:pPr>
        <w:spacing w:after="0" w:line="123" w:lineRule="exact"/>
        <w:rPr>
          <w:rFonts w:ascii="Arial" w:cs="Arial" w:eastAsia="Arial" w:hAnsi="Arial"/>
          <w:sz w:val="11"/>
          <w:szCs w:val="11"/>
          <w:color w:val="auto"/>
        </w:rPr>
      </w:pPr>
    </w:p>
    <w:p>
      <w:pPr>
        <w:ind w:left="988" w:hanging="436"/>
        <w:spacing w:after="0"/>
        <w:tabs>
          <w:tab w:leader="none" w:pos="988" w:val="left"/>
        </w:tabs>
        <w:numPr>
          <w:ilvl w:val="0"/>
          <w:numId w:val="103"/>
        </w:numPr>
        <w:rPr>
          <w:rFonts w:ascii="Arial" w:cs="Arial" w:eastAsia="Arial" w:hAnsi="Arial"/>
          <w:sz w:val="12"/>
          <w:szCs w:val="12"/>
          <w:color w:val="auto"/>
        </w:rPr>
      </w:pPr>
      <w:r>
        <w:rPr>
          <w:rFonts w:ascii="Arial" w:cs="Arial" w:eastAsia="Arial" w:hAnsi="Arial"/>
          <w:sz w:val="12"/>
          <w:szCs w:val="12"/>
          <w:i w:val="1"/>
          <w:iCs w:val="1"/>
          <w:color w:val="auto"/>
        </w:rPr>
        <w:t>Intentionally Omitted</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jc w:val="both"/>
        <w:ind w:left="108" w:firstLine="432"/>
        <w:spacing w:after="0" w:line="283" w:lineRule="auto"/>
        <w:tabs>
          <w:tab w:leader="none" w:pos="1043" w:val="left"/>
        </w:tabs>
        <w:numPr>
          <w:ilvl w:val="1"/>
          <w:numId w:val="103"/>
        </w:numPr>
        <w:rPr>
          <w:rFonts w:ascii="Arial" w:cs="Arial" w:eastAsia="Arial" w:hAnsi="Arial"/>
          <w:sz w:val="11"/>
          <w:szCs w:val="11"/>
          <w:color w:val="auto"/>
        </w:rPr>
      </w:pPr>
      <w:r>
        <w:rPr>
          <w:rFonts w:ascii="Arial" w:cs="Arial" w:eastAsia="Arial" w:hAnsi="Arial"/>
          <w:sz w:val="11"/>
          <w:szCs w:val="11"/>
          <w:i w:val="1"/>
          <w:iCs w:val="1"/>
          <w:color w:val="auto"/>
        </w:rPr>
        <w:t>Autillion Transaction</w:t>
      </w:r>
      <w:r>
        <w:rPr>
          <w:rFonts w:ascii="Arial" w:cs="Arial" w:eastAsia="Arial" w:hAnsi="Arial"/>
          <w:sz w:val="11"/>
          <w:szCs w:val="11"/>
          <w:color w:val="auto"/>
        </w:rPr>
        <w:t>. In the event the Offering terminates without any closing and the Company consummates a transaction with Autillion AG (“</w:t>
      </w:r>
      <w:r>
        <w:rPr>
          <w:rFonts w:ascii="Arial" w:cs="Arial" w:eastAsia="Arial" w:hAnsi="Arial"/>
          <w:sz w:val="11"/>
          <w:szCs w:val="11"/>
          <w:i w:val="1"/>
          <w:iCs w:val="1"/>
          <w:color w:val="auto"/>
        </w:rPr>
        <w:t>Autillion</w:t>
      </w:r>
      <w:r>
        <w:rPr>
          <w:rFonts w:ascii="Arial" w:cs="Arial" w:eastAsia="Arial" w:hAnsi="Arial"/>
          <w:sz w:val="11"/>
          <w:szCs w:val="11"/>
          <w:color w:val="auto"/>
        </w:rPr>
        <w:t>”) on or before December 31, 2014 pursuant to that certain</w:t>
      </w:r>
      <w:r>
        <w:rPr>
          <w:rFonts w:ascii="Arial" w:cs="Arial" w:eastAsia="Arial" w:hAnsi="Arial"/>
          <w:sz w:val="11"/>
          <w:szCs w:val="11"/>
          <w:i w:val="1"/>
          <w:iCs w:val="1"/>
          <w:color w:val="auto"/>
        </w:rPr>
        <w:t xml:space="preserve"> </w:t>
      </w:r>
      <w:r>
        <w:rPr>
          <w:rFonts w:ascii="Arial" w:cs="Arial" w:eastAsia="Arial" w:hAnsi="Arial"/>
          <w:sz w:val="11"/>
          <w:szCs w:val="11"/>
          <w:color w:val="auto"/>
        </w:rPr>
        <w:t>Securities Purchase Agreement dated as of April 8, 2013 between the Company and Autillion, the Company shall pay the Placement Agent Five Hundred Thousand Dollars ($500,000) in consideration for advisory services previously rendered by the Placement Agent. In connection with the Autilion transaction, the Placement Agent previously assisted the Company in preparation of its presentations and advised the Company regarding its financial position and capitalization. The Placement Agent and the Company acknowledge that the Placement Agent has not received any securities of the Company or payments in connection with its advisory role and will not receive any such payment unless the Company does not consummate the offering and the Autilion transaction actually closes on or before December 31, 2014. The Company and the Placement Agent represent and undertake that any and all advisory payments that may become payable to the Placement Agent pursuant to this paragraph shall comply with FINRA Rule 5110 (f)(2)(D)(ii).</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Section 4. Costs and Expenses</w:t>
      </w:r>
      <w:r>
        <w:rPr>
          <w:rFonts w:ascii="Arial" w:cs="Arial" w:eastAsia="Arial" w:hAnsi="Arial"/>
          <w:sz w:val="12"/>
          <w:szCs w:val="12"/>
          <w:color w:val="auto"/>
        </w:rPr>
        <w:t>.</w:t>
      </w:r>
    </w:p>
    <w:p>
      <w:pPr>
        <w:spacing w:after="0" w:line="172" w:lineRule="exact"/>
        <w:rPr>
          <w:sz w:val="20"/>
          <w:szCs w:val="20"/>
          <w:color w:val="auto"/>
        </w:rPr>
      </w:pPr>
    </w:p>
    <w:p>
      <w:pPr>
        <w:jc w:val="both"/>
        <w:ind w:left="8"/>
        <w:spacing w:after="0" w:line="307" w:lineRule="auto"/>
        <w:rPr>
          <w:sz w:val="20"/>
          <w:szCs w:val="20"/>
          <w:color w:val="auto"/>
        </w:rPr>
      </w:pPr>
      <w:r>
        <w:rPr>
          <w:rFonts w:ascii="Arial" w:cs="Arial" w:eastAsia="Arial" w:hAnsi="Arial"/>
          <w:sz w:val="10"/>
          <w:szCs w:val="10"/>
          <w:color w:val="auto"/>
        </w:rPr>
        <w:t>The Company, whether or not the transactions contemplated hereunder are consummated or this Agreement is terminated, will pay (or reimburse if paid by the Placement Agent), all actual reasonable out of pocket costs and expenses incident to the performance of the obligations of the Company under this Agreement and in connection with the transactions contemplated hereby, including without limitation, (i) all filing fees and communication expenses relating to the registration of the Securities to be sold in the Offering with the Commission; (ii) all Public Filing System filing fees; (iii) all fees, expenses and disbursements relating to the registration or qualification of such Securities under the “blue sky” securities laws of such states and other jurisdictions as the Placement Agent may reasonably designate (including, without limitation, all filing and registration fees, and the reasonable fees and disbursements of “blue sky” counsel not including any filing and registration fees); (iv) all fees, expenses and disbursements relating to the registration, qualification or exemption of such Securities under the securities laws of such foreign jurisdictions as the Placement Agent may reasonably designate; (v) the costs of all mailing, printing and distribution of the placement agent documents (including, without limitation, this Agreement, any Blue Sky Surveys and, if appropriate, any Agreement Among Placement Agents, Selected Dealers’ Agreement, Placement Agent’s Questionnaire and Power of Attorney), Registration Statements, Prospectuses and all amendments, supplements and exhibits thereto and as many preliminary and final Prospectuses as the Placement Agent may reasonably deem necessary; (vi) the costs and expenses of a public relations firm; (vii) the costs of preparing, printing and delivering certificates representing the Securities; (viii) fees and expenses of the transfer agent for the Common Stock; (ix) stock transfer and/or stamp taxes, if any, payable upon the transfer of securities from the Company to the Placement Agent; (x) the costs associated with computer diskettes or other digital compilations of the public offering materials as well as commemorative mementos and lucite tombstones, each of which the Company or its designee will provide within a reasonable time after such Closing in such quantities as the Placement Agent may reasonably request, which such costs, for the avoidance of doubt, shall be included and subject to the $20,000 accountable expense reimbursement cap discussed in Section 4 (xvi) herein; (xi) the fees and expenses of the Company’s accountants; (xii) the fees and expenses of the Company’s legal counsel and other agents and representatives; (xiii) the cost of listing the Securities on any exchange or automated quotation system on which the Company’s Common Stock is then traded or quoted, as the case may be (xiv) fees, disbursements and other charges of Placement Agent’s legal counsel not to exceed $80,000 in the aggregate; (xv) all travel expenses of the Placement Agent incurred in connection with the transactions contemplated by this Agreement, which such costs, for the avoidance of doubt, shall be included and subject to the $20,000 accountable expense reimbursement cap discussed in Section 4 (xvi) herein; and</w:t>
      </w:r>
    </w:p>
    <w:p>
      <w:pPr>
        <w:spacing w:after="0" w:line="114" w:lineRule="exact"/>
        <w:rPr>
          <w:sz w:val="20"/>
          <w:szCs w:val="20"/>
          <w:color w:val="auto"/>
        </w:rPr>
      </w:pPr>
    </w:p>
    <w:p>
      <w:pPr>
        <w:ind w:left="8" w:right="20" w:hanging="8"/>
        <w:spacing w:after="0" w:line="306" w:lineRule="auto"/>
        <w:tabs>
          <w:tab w:leader="none" w:pos="274" w:val="left"/>
        </w:tabs>
        <w:numPr>
          <w:ilvl w:val="0"/>
          <w:numId w:val="104"/>
        </w:numPr>
        <w:rPr>
          <w:rFonts w:ascii="Arial" w:cs="Arial" w:eastAsia="Arial" w:hAnsi="Arial"/>
          <w:sz w:val="11"/>
          <w:szCs w:val="11"/>
          <w:color w:val="auto"/>
        </w:rPr>
      </w:pPr>
      <w:r>
        <w:rPr>
          <w:rFonts w:ascii="Arial" w:cs="Arial" w:eastAsia="Arial" w:hAnsi="Arial"/>
          <w:sz w:val="11"/>
          <w:szCs w:val="11"/>
          <w:color w:val="auto"/>
        </w:rPr>
        <w:t>up to $20,000 of the Placement Agent’s actual accountable expenses for the Offering which, if the Offering is consummated, such accountable expense reimbursement shall offset an equal amount of the 1% non-accountable expense reimbursement and of which the Company has advanced $10,000 to the Placement Agent, which shall be refundable to the Company to the extent not actually incurred in the event the Offering is not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238125</wp:posOffset>
            </wp:positionV>
            <wp:extent cx="7299325"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54" w:right="199" w:bottom="1440" w:gutter="0" w:footer="0" w:header="0"/>
        </w:sectPr>
      </w:pPr>
    </w:p>
    <w:bookmarkStart w:id="196" w:name="page197"/>
    <w:bookmarkEnd w:id="196"/>
    <w:p>
      <w:pPr>
        <w:spacing w:after="0"/>
        <w:rPr>
          <w:sz w:val="20"/>
          <w:szCs w:val="20"/>
          <w:color w:val="auto"/>
        </w:rPr>
      </w:pPr>
      <w:r>
        <w:rPr>
          <w:rFonts w:ascii="Arial" w:cs="Arial" w:eastAsia="Arial" w:hAnsi="Arial"/>
          <w:sz w:val="12"/>
          <w:szCs w:val="12"/>
          <w:b w:val="1"/>
          <w:bCs w:val="1"/>
          <w:color w:val="auto"/>
        </w:rPr>
        <w:t>Section 5. Conditions of Placement Agent’s Obligations</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obligations of the Placement Agent hereunder are subject to the following conditions:</w:t>
      </w:r>
    </w:p>
    <w:p>
      <w:pPr>
        <w:spacing w:after="0" w:line="168" w:lineRule="exact"/>
        <w:rPr>
          <w:sz w:val="20"/>
          <w:szCs w:val="20"/>
          <w:color w:val="auto"/>
        </w:rPr>
      </w:pPr>
    </w:p>
    <w:p>
      <w:pPr>
        <w:jc w:val="both"/>
        <w:ind w:left="100" w:firstLine="432"/>
        <w:spacing w:after="0" w:line="283" w:lineRule="auto"/>
        <w:tabs>
          <w:tab w:leader="none" w:pos="975" w:val="left"/>
        </w:tabs>
        <w:numPr>
          <w:ilvl w:val="0"/>
          <w:numId w:val="105"/>
        </w:numPr>
        <w:rPr>
          <w:rFonts w:ascii="Arial" w:cs="Arial" w:eastAsia="Arial" w:hAnsi="Arial"/>
          <w:sz w:val="11"/>
          <w:szCs w:val="11"/>
          <w:color w:val="auto"/>
        </w:rPr>
      </w:pPr>
      <w:r>
        <w:rPr>
          <w:rFonts w:ascii="Arial" w:cs="Arial" w:eastAsia="Arial" w:hAnsi="Arial"/>
          <w:sz w:val="11"/>
          <w:szCs w:val="11"/>
          <w:i w:val="1"/>
          <w:iCs w:val="1"/>
          <w:color w:val="auto"/>
        </w:rPr>
        <w:t xml:space="preserve">Effectiveness of Registration Statement; Rule 430A Information. </w:t>
      </w:r>
      <w:r>
        <w:rPr>
          <w:rFonts w:ascii="Arial" w:cs="Arial" w:eastAsia="Arial" w:hAnsi="Arial"/>
          <w:sz w:val="11"/>
          <w:szCs w:val="11"/>
          <w:color w:val="auto"/>
        </w:rPr>
        <w:t>The Registration Statement has become effective not later than 5:00 p.m., Eastern time, on the date of this Agreement or such later date and time as shall</w:t>
      </w:r>
      <w:r>
        <w:rPr>
          <w:rFonts w:ascii="Arial" w:cs="Arial" w:eastAsia="Arial" w:hAnsi="Arial"/>
          <w:sz w:val="11"/>
          <w:szCs w:val="11"/>
          <w:i w:val="1"/>
          <w:iCs w:val="1"/>
          <w:color w:val="auto"/>
        </w:rPr>
        <w:t xml:space="preserve"> </w:t>
      </w:r>
      <w:r>
        <w:rPr>
          <w:rFonts w:ascii="Arial" w:cs="Arial" w:eastAsia="Arial" w:hAnsi="Arial"/>
          <w:sz w:val="11"/>
          <w:szCs w:val="11"/>
          <w:color w:val="auto"/>
        </w:rPr>
        <w:t>be consented to in writing by you, and, at such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A prospectus containing the information permitted to be omitted from the Registration Statement by Rule 430A (“</w:t>
      </w:r>
      <w:r>
        <w:rPr>
          <w:rFonts w:ascii="Arial" w:cs="Arial" w:eastAsia="Arial" w:hAnsi="Arial"/>
          <w:sz w:val="11"/>
          <w:szCs w:val="11"/>
          <w:i w:val="1"/>
          <w:iCs w:val="1"/>
          <w:color w:val="auto"/>
        </w:rPr>
        <w:t>Rule 430A</w:t>
      </w:r>
      <w:r>
        <w:rPr>
          <w:rFonts w:ascii="Arial" w:cs="Arial" w:eastAsia="Arial" w:hAnsi="Arial"/>
          <w:sz w:val="11"/>
          <w:szCs w:val="11"/>
          <w:color w:val="auto"/>
        </w:rPr>
        <w:t xml:space="preserve"> </w:t>
      </w:r>
      <w:r>
        <w:rPr>
          <w:rFonts w:ascii="Arial" w:cs="Arial" w:eastAsia="Arial" w:hAnsi="Arial"/>
          <w:sz w:val="11"/>
          <w:szCs w:val="11"/>
          <w:i w:val="1"/>
          <w:iCs w:val="1"/>
          <w:color w:val="auto"/>
        </w:rPr>
        <w:t>Information</w:t>
      </w:r>
      <w:r>
        <w:rPr>
          <w:rFonts w:ascii="Arial" w:cs="Arial" w:eastAsia="Arial" w:hAnsi="Arial"/>
          <w:sz w:val="11"/>
          <w:szCs w:val="11"/>
          <w:color w:val="auto"/>
        </w:rPr>
        <w:t>”) shall have been filed with the Commission in the manner and within the time frame required by Rule 424(b) under the Regulations (without reliance on Rule 424(b)(8)) or a post-effective amendment providing such</w:t>
      </w:r>
      <w:r>
        <w:rPr>
          <w:rFonts w:ascii="Arial" w:cs="Arial" w:eastAsia="Arial" w:hAnsi="Arial"/>
          <w:sz w:val="11"/>
          <w:szCs w:val="11"/>
          <w:i w:val="1"/>
          <w:iCs w:val="1"/>
          <w:color w:val="auto"/>
        </w:rPr>
        <w:t xml:space="preserve"> </w:t>
      </w:r>
      <w:r>
        <w:rPr>
          <w:rFonts w:ascii="Arial" w:cs="Arial" w:eastAsia="Arial" w:hAnsi="Arial"/>
          <w:sz w:val="11"/>
          <w:szCs w:val="11"/>
          <w:color w:val="auto"/>
        </w:rPr>
        <w:t>information shall have been filed with, and declared effective by, the Commission in accordance with the requirements of Rule 430A under the Regulations.</w:t>
      </w:r>
      <w:r>
        <w:rPr>
          <w:rFonts w:ascii="Arial" w:cs="Arial" w:eastAsia="Arial" w:hAnsi="Arial"/>
          <w:sz w:val="11"/>
          <w:szCs w:val="11"/>
          <w:i w:val="1"/>
          <w:iCs w:val="1"/>
          <w:color w:val="auto"/>
        </w:rPr>
        <w:t>.</w:t>
      </w:r>
    </w:p>
    <w:p>
      <w:pPr>
        <w:spacing w:after="0" w:line="131" w:lineRule="exact"/>
        <w:rPr>
          <w:rFonts w:ascii="Arial" w:cs="Arial" w:eastAsia="Arial" w:hAnsi="Arial"/>
          <w:sz w:val="11"/>
          <w:szCs w:val="11"/>
          <w:color w:val="auto"/>
        </w:rPr>
      </w:pPr>
    </w:p>
    <w:p>
      <w:pPr>
        <w:ind w:left="100" w:right="20" w:firstLine="432"/>
        <w:spacing w:after="0" w:line="276" w:lineRule="auto"/>
        <w:tabs>
          <w:tab w:leader="none" w:pos="1008" w:val="left"/>
        </w:tabs>
        <w:numPr>
          <w:ilvl w:val="0"/>
          <w:numId w:val="105"/>
        </w:numPr>
        <w:rPr>
          <w:rFonts w:ascii="Arial" w:cs="Arial" w:eastAsia="Arial" w:hAnsi="Arial"/>
          <w:sz w:val="12"/>
          <w:szCs w:val="12"/>
          <w:color w:val="auto"/>
        </w:rPr>
      </w:pPr>
      <w:r>
        <w:rPr>
          <w:rFonts w:ascii="Arial" w:cs="Arial" w:eastAsia="Arial" w:hAnsi="Arial"/>
          <w:sz w:val="12"/>
          <w:szCs w:val="12"/>
          <w:i w:val="1"/>
          <w:iCs w:val="1"/>
          <w:color w:val="auto"/>
        </w:rPr>
        <w:t>Abbreviated Registration Statement</w:t>
      </w:r>
      <w:r>
        <w:rPr>
          <w:rFonts w:ascii="Arial" w:cs="Arial" w:eastAsia="Arial" w:hAnsi="Arial"/>
          <w:sz w:val="12"/>
          <w:szCs w:val="12"/>
          <w:color w:val="auto"/>
        </w:rPr>
        <w:t>. If the Company has elected to rely upon Rule 462(b), the registration statement filed under Rule 462(b) shall have become effective under the Securities Act by 8:00 a.m., Eastern</w:t>
      </w:r>
      <w:r>
        <w:rPr>
          <w:rFonts w:ascii="Arial" w:cs="Arial" w:eastAsia="Arial" w:hAnsi="Arial"/>
          <w:sz w:val="12"/>
          <w:szCs w:val="12"/>
          <w:i w:val="1"/>
          <w:iCs w:val="1"/>
          <w:color w:val="auto"/>
        </w:rPr>
        <w:t xml:space="preserve"> </w:t>
      </w:r>
      <w:r>
        <w:rPr>
          <w:rFonts w:ascii="Arial" w:cs="Arial" w:eastAsia="Arial" w:hAnsi="Arial"/>
          <w:sz w:val="12"/>
          <w:szCs w:val="12"/>
          <w:color w:val="auto"/>
        </w:rPr>
        <w:t>time, on the business day next succeeding the date of this Agreement.</w:t>
      </w:r>
    </w:p>
    <w:p>
      <w:pPr>
        <w:spacing w:after="0" w:line="132" w:lineRule="exact"/>
        <w:rPr>
          <w:rFonts w:ascii="Arial" w:cs="Arial" w:eastAsia="Arial" w:hAnsi="Arial"/>
          <w:sz w:val="12"/>
          <w:szCs w:val="12"/>
          <w:color w:val="auto"/>
        </w:rPr>
      </w:pPr>
    </w:p>
    <w:p>
      <w:pPr>
        <w:jc w:val="both"/>
        <w:ind w:left="100" w:firstLine="432"/>
        <w:spacing w:after="0" w:line="263" w:lineRule="auto"/>
        <w:tabs>
          <w:tab w:leader="none" w:pos="1011" w:val="left"/>
        </w:tabs>
        <w:numPr>
          <w:ilvl w:val="0"/>
          <w:numId w:val="105"/>
        </w:numPr>
        <w:rPr>
          <w:rFonts w:ascii="Arial" w:cs="Arial" w:eastAsia="Arial" w:hAnsi="Arial"/>
          <w:sz w:val="12"/>
          <w:szCs w:val="12"/>
          <w:color w:val="auto"/>
        </w:rPr>
      </w:pPr>
      <w:r>
        <w:rPr>
          <w:rFonts w:ascii="Arial" w:cs="Arial" w:eastAsia="Arial" w:hAnsi="Arial"/>
          <w:sz w:val="12"/>
          <w:szCs w:val="12"/>
          <w:i w:val="1"/>
          <w:iCs w:val="1"/>
          <w:color w:val="auto"/>
        </w:rPr>
        <w:t>Action Preventing Issuance</w:t>
      </w:r>
      <w:r>
        <w:rPr>
          <w:rFonts w:ascii="Arial" w:cs="Arial" w:eastAsia="Arial" w:hAnsi="Arial"/>
          <w:sz w:val="12"/>
          <w:szCs w:val="12"/>
          <w:color w:val="auto"/>
        </w:rPr>
        <w:t>. No action shall have been taken and no statute, rule, regulation or order shall have been enacted, adopted or issued by any governmental agency or body which would, as of such Closing</w:t>
      </w:r>
      <w:r>
        <w:rPr>
          <w:rFonts w:ascii="Arial" w:cs="Arial" w:eastAsia="Arial" w:hAnsi="Arial"/>
          <w:sz w:val="12"/>
          <w:szCs w:val="12"/>
          <w:i w:val="1"/>
          <w:iCs w:val="1"/>
          <w:color w:val="auto"/>
        </w:rPr>
        <w:t xml:space="preserve"> </w:t>
      </w:r>
      <w:r>
        <w:rPr>
          <w:rFonts w:ascii="Arial" w:cs="Arial" w:eastAsia="Arial" w:hAnsi="Arial"/>
          <w:sz w:val="12"/>
          <w:szCs w:val="12"/>
          <w:color w:val="auto"/>
        </w:rPr>
        <w:t>Date, prevent the issuance or sale of the Securities (or the issuance of securities upon the exercise thereof); and no injunction, restraining order or order of any other nature by any federal or state court of competent jurisdiction shall have been issued as of such Closing Date which would prevent the issuance or sale of the Securities.</w:t>
      </w:r>
    </w:p>
    <w:p>
      <w:pPr>
        <w:spacing w:after="0" w:line="140" w:lineRule="exact"/>
        <w:rPr>
          <w:rFonts w:ascii="Arial" w:cs="Arial" w:eastAsia="Arial" w:hAnsi="Arial"/>
          <w:sz w:val="12"/>
          <w:szCs w:val="12"/>
          <w:color w:val="auto"/>
        </w:rPr>
      </w:pPr>
    </w:p>
    <w:p>
      <w:pPr>
        <w:jc w:val="both"/>
        <w:ind w:left="100" w:firstLine="432"/>
        <w:spacing w:after="0" w:line="298" w:lineRule="auto"/>
        <w:tabs>
          <w:tab w:leader="none" w:pos="999" w:val="left"/>
        </w:tabs>
        <w:numPr>
          <w:ilvl w:val="0"/>
          <w:numId w:val="105"/>
        </w:numPr>
        <w:rPr>
          <w:rFonts w:ascii="Arial" w:cs="Arial" w:eastAsia="Arial" w:hAnsi="Arial"/>
          <w:sz w:val="11"/>
          <w:szCs w:val="11"/>
          <w:color w:val="auto"/>
        </w:rPr>
      </w:pPr>
      <w:r>
        <w:rPr>
          <w:rFonts w:ascii="Arial" w:cs="Arial" w:eastAsia="Arial" w:hAnsi="Arial"/>
          <w:sz w:val="11"/>
          <w:szCs w:val="11"/>
          <w:i w:val="1"/>
          <w:iCs w:val="1"/>
          <w:color w:val="auto"/>
        </w:rPr>
        <w:t>Objection of Placement Agent</w:t>
      </w:r>
      <w:r>
        <w:rPr>
          <w:rFonts w:ascii="Arial" w:cs="Arial" w:eastAsia="Arial" w:hAnsi="Arial"/>
          <w:sz w:val="11"/>
          <w:szCs w:val="11"/>
          <w:color w:val="auto"/>
        </w:rPr>
        <w:t>. No Prospectus or amendment or supplement to the Registration Statement shall have been filed to which the Placement Agent shall have objected in writing. The Placement Agent shall</w:t>
      </w:r>
      <w:r>
        <w:rPr>
          <w:rFonts w:ascii="Arial" w:cs="Arial" w:eastAsia="Arial" w:hAnsi="Arial"/>
          <w:sz w:val="11"/>
          <w:szCs w:val="11"/>
          <w:i w:val="1"/>
          <w:iCs w:val="1"/>
          <w:color w:val="auto"/>
        </w:rPr>
        <w:t xml:space="preserve"> </w:t>
      </w:r>
      <w:r>
        <w:rPr>
          <w:rFonts w:ascii="Arial" w:cs="Arial" w:eastAsia="Arial" w:hAnsi="Arial"/>
          <w:sz w:val="11"/>
          <w:szCs w:val="11"/>
          <w:color w:val="auto"/>
        </w:rPr>
        <w:t>not have advised the Company that the Registration Statement or the Disclosure Documents, or any amendment thereof or supplement thereto, or any Free Writing Prospectus contains an untrue statement of fact which, in its opinion, is material, or omits to state a fact which, in its opinion, is material and is required to be stated therein or necessary to make the statements therein, in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354965</wp:posOffset>
            </wp:positionV>
            <wp:extent cx="7299325" cy="18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197" w:name="page198"/>
    <w:bookmarkEnd w:id="197"/>
    <w:p>
      <w:pPr>
        <w:jc w:val="both"/>
        <w:ind w:left="-432" w:firstLine="432"/>
        <w:spacing w:after="0" w:line="279" w:lineRule="auto"/>
        <w:tabs>
          <w:tab w:leader="none" w:pos="433" w:val="left"/>
        </w:tabs>
        <w:numPr>
          <w:ilvl w:val="0"/>
          <w:numId w:val="106"/>
        </w:numPr>
        <w:rPr>
          <w:rFonts w:ascii="Arial" w:cs="Arial" w:eastAsia="Arial" w:hAnsi="Arial"/>
          <w:sz w:val="11"/>
          <w:szCs w:val="11"/>
          <w:color w:val="auto"/>
        </w:rPr>
      </w:pPr>
      <w:r>
        <w:rPr>
          <w:rFonts w:ascii="Arial" w:cs="Arial" w:eastAsia="Arial" w:hAnsi="Arial"/>
          <w:sz w:val="11"/>
          <w:szCs w:val="11"/>
          <w:i w:val="1"/>
          <w:iCs w:val="1"/>
          <w:color w:val="auto"/>
        </w:rPr>
        <w:t>No Material Adverse Change</w:t>
      </w:r>
      <w:r>
        <w:rPr>
          <w:rFonts w:ascii="Arial" w:cs="Arial" w:eastAsia="Arial" w:hAnsi="Arial"/>
          <w:sz w:val="11"/>
          <w:szCs w:val="11"/>
          <w:color w:val="auto"/>
        </w:rPr>
        <w:t>. (i) Prior to such Closing, there shall not have occurred any change, or any development involving a prospective change, in the condition, financial or otherwise, or in the earnings, business,</w:t>
      </w:r>
      <w:r>
        <w:rPr>
          <w:rFonts w:ascii="Arial" w:cs="Arial" w:eastAsia="Arial" w:hAnsi="Arial"/>
          <w:sz w:val="11"/>
          <w:szCs w:val="11"/>
          <w:i w:val="1"/>
          <w:iCs w:val="1"/>
          <w:color w:val="auto"/>
        </w:rPr>
        <w:t xml:space="preserve"> </w:t>
      </w:r>
      <w:r>
        <w:rPr>
          <w:rFonts w:ascii="Arial" w:cs="Arial" w:eastAsia="Arial" w:hAnsi="Arial"/>
          <w:sz w:val="11"/>
          <w:szCs w:val="11"/>
          <w:color w:val="auto"/>
        </w:rPr>
        <w:t>prospects or operations of the Company from that set forth in the Disclosure Documents that, in the Placement Agent’s reasonable judgment, is material and adverse and that makes it, in the Placement Agent’s reasonable judgment, impracticable to market the Securities on the terms and in the manner contemplated in the Disclosure Documents. There shall not have occurred any of the following: (i) a suspension or material limitation in trading in securities generally on the New York Stock Exchange, the NASDAQ Stock Market, the NASDAQ Global Select Market, the NASDAQ Global Market, the NASDAQ Capital Market, US Alternext LLC or the over the counter market or the establishing on such exchanges or market by the SEC or by such exchanges or markets of minimum or maximum prices that are not in force and effect on the date hereof; (ii) a suspension or material limitation in trading in the Company’s securities on any exchange or market or the establishing on any such market or exchange by the SEC or by such market of minimum or maximum prices that are not in force and effect on the date hereof; (iii) a general moratorium on commercial banking activities declared by either federal or any state authorities; (iv) the outbreak or escalation of hostilities involving the United States or the declaration by the United States of a national emergency or war, which in the Placement Agent’s reasonable judgment makes it impracticable or inadvisable to proceed with the public offering or the delivery of the Securities in the manner contemplated in the Prospectus; or (v) any calamity or crisis, change in national, international or world affairs, act of God, change in the international or domestic markets, or change in the existing financial, political or economic conditions in the United States or elsewhere, that in the Placement Agent’s reasonable judgment makes it impracticable or inadvisable to proceed with the public offering or the delivery of the Securities in the manner contemplated in each of the Disclosure Documents.</w:t>
      </w:r>
    </w:p>
    <w:p>
      <w:pPr>
        <w:spacing w:after="0" w:line="132" w:lineRule="exact"/>
        <w:rPr>
          <w:rFonts w:ascii="Arial" w:cs="Arial" w:eastAsia="Arial" w:hAnsi="Arial"/>
          <w:sz w:val="11"/>
          <w:szCs w:val="11"/>
          <w:color w:val="auto"/>
        </w:rPr>
      </w:pPr>
    </w:p>
    <w:p>
      <w:pPr>
        <w:jc w:val="both"/>
        <w:ind w:left="-432" w:firstLine="432"/>
        <w:spacing w:after="0" w:line="263" w:lineRule="auto"/>
        <w:tabs>
          <w:tab w:leader="none" w:pos="456" w:val="left"/>
        </w:tabs>
        <w:numPr>
          <w:ilvl w:val="0"/>
          <w:numId w:val="106"/>
        </w:numPr>
        <w:rPr>
          <w:rFonts w:ascii="Arial" w:cs="Arial" w:eastAsia="Arial" w:hAnsi="Arial"/>
          <w:sz w:val="12"/>
          <w:szCs w:val="12"/>
          <w:color w:val="auto"/>
        </w:rPr>
      </w:pPr>
      <w:r>
        <w:rPr>
          <w:rFonts w:ascii="Arial" w:cs="Arial" w:eastAsia="Arial" w:hAnsi="Arial"/>
          <w:sz w:val="12"/>
          <w:szCs w:val="12"/>
          <w:i w:val="1"/>
          <w:iCs w:val="1"/>
          <w:color w:val="auto"/>
        </w:rPr>
        <w:t>Representations and Warranties</w:t>
      </w:r>
      <w:r>
        <w:rPr>
          <w:rFonts w:ascii="Arial" w:cs="Arial" w:eastAsia="Arial" w:hAnsi="Arial"/>
          <w:sz w:val="12"/>
          <w:szCs w:val="12"/>
          <w:color w:val="auto"/>
        </w:rPr>
        <w:t>. Each of the representations and warranties of the Company contained herein shall be true and correct when made and on and as of such Closing Date, as if made on such date (except</w:t>
      </w:r>
      <w:r>
        <w:rPr>
          <w:rFonts w:ascii="Arial" w:cs="Arial" w:eastAsia="Arial" w:hAnsi="Arial"/>
          <w:sz w:val="12"/>
          <w:szCs w:val="12"/>
          <w:i w:val="1"/>
          <w:iCs w:val="1"/>
          <w:color w:val="auto"/>
        </w:rPr>
        <w:t xml:space="preserve"> </w:t>
      </w:r>
      <w:r>
        <w:rPr>
          <w:rFonts w:ascii="Arial" w:cs="Arial" w:eastAsia="Arial" w:hAnsi="Arial"/>
          <w:sz w:val="12"/>
          <w:szCs w:val="12"/>
          <w:color w:val="auto"/>
        </w:rPr>
        <w:t>that those representations and warranties that address matters only as of a particular date shall remain true and correct as of such date), and all covenants and agreements herein contained to be performed on the part of the Company and all conditions herein contained to be fulfilled or complied with by the Company at or prior to such Closing Date shall have been duly performed, fulfilled or complied with.</w:t>
      </w:r>
    </w:p>
    <w:p>
      <w:pPr>
        <w:spacing w:after="0" w:line="140" w:lineRule="exact"/>
        <w:rPr>
          <w:rFonts w:ascii="Arial" w:cs="Arial" w:eastAsia="Arial" w:hAnsi="Arial"/>
          <w:sz w:val="12"/>
          <w:szCs w:val="12"/>
          <w:color w:val="auto"/>
        </w:rPr>
      </w:pPr>
    </w:p>
    <w:p>
      <w:pPr>
        <w:jc w:val="both"/>
        <w:ind w:left="-432" w:firstLine="432"/>
        <w:spacing w:after="0" w:line="257" w:lineRule="auto"/>
        <w:tabs>
          <w:tab w:leader="none" w:pos="539" w:val="left"/>
        </w:tabs>
        <w:numPr>
          <w:ilvl w:val="0"/>
          <w:numId w:val="106"/>
        </w:numPr>
        <w:rPr>
          <w:rFonts w:ascii="Arial" w:cs="Arial" w:eastAsia="Arial" w:hAnsi="Arial"/>
          <w:sz w:val="12"/>
          <w:szCs w:val="12"/>
          <w:color w:val="auto"/>
        </w:rPr>
      </w:pPr>
      <w:r>
        <w:rPr>
          <w:rFonts w:ascii="Arial" w:cs="Arial" w:eastAsia="Arial" w:hAnsi="Arial"/>
          <w:sz w:val="12"/>
          <w:szCs w:val="12"/>
          <w:i w:val="1"/>
          <w:iCs w:val="1"/>
          <w:color w:val="auto"/>
        </w:rPr>
        <w:t>Opinion of Counsel to the Company</w:t>
      </w:r>
      <w:r>
        <w:rPr>
          <w:rFonts w:ascii="Arial" w:cs="Arial" w:eastAsia="Arial" w:hAnsi="Arial"/>
          <w:sz w:val="12"/>
          <w:szCs w:val="12"/>
          <w:color w:val="auto"/>
        </w:rPr>
        <w:t>. The Placement Agent shall have received from (i) The Disclosure Law Group, such counsel’s written opinion, addressed to the Placement Agent and the Investors acquiring</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Securities from the Company on such Closing Date pursuant to a Subscription Agreement and dated such Closing Date, in substantially the form as is set forth on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attached hereto and (ii) Morrison &amp; Foerster LLP, intellectual property counsel to the Company, such counsel’s written opinion, addressed to the Placement Agent and the Investors acquiring Securities from the Company on such Closing Date pursuant to a Subscription Agreement and dated such Closing Date, in substantially the form as set forth in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attached hereto. The Disclosure Law Group shall also have furnished to the Placement Agent a written statement, addressed to the Placement Agent and dated such Closing Date, in substantially the form as is set forth on </w:t>
      </w:r>
      <w:r>
        <w:rPr>
          <w:rFonts w:ascii="Arial" w:cs="Arial" w:eastAsia="Arial" w:hAnsi="Arial"/>
          <w:sz w:val="12"/>
          <w:szCs w:val="12"/>
          <w:u w:val="single" w:color="auto"/>
          <w:color w:val="auto"/>
        </w:rPr>
        <w:t>Exhibit E</w:t>
      </w:r>
      <w:r>
        <w:rPr>
          <w:rFonts w:ascii="Arial" w:cs="Arial" w:eastAsia="Arial" w:hAnsi="Arial"/>
          <w:sz w:val="12"/>
          <w:szCs w:val="12"/>
          <w:color w:val="auto"/>
        </w:rPr>
        <w:t xml:space="preserve"> attached hereto.</w:t>
      </w:r>
    </w:p>
    <w:p>
      <w:pPr>
        <w:spacing w:after="0" w:line="143" w:lineRule="exact"/>
        <w:rPr>
          <w:rFonts w:ascii="Arial" w:cs="Arial" w:eastAsia="Arial" w:hAnsi="Arial"/>
          <w:sz w:val="12"/>
          <w:szCs w:val="12"/>
          <w:color w:val="auto"/>
        </w:rPr>
      </w:pPr>
    </w:p>
    <w:p>
      <w:pPr>
        <w:ind w:left="-432" w:right="20" w:firstLine="432"/>
        <w:spacing w:after="0" w:line="276" w:lineRule="auto"/>
        <w:tabs>
          <w:tab w:leader="none" w:pos="449" w:val="left"/>
        </w:tabs>
        <w:numPr>
          <w:ilvl w:val="0"/>
          <w:numId w:val="106"/>
        </w:numPr>
        <w:rPr>
          <w:rFonts w:ascii="Arial" w:cs="Arial" w:eastAsia="Arial" w:hAnsi="Arial"/>
          <w:sz w:val="12"/>
          <w:szCs w:val="12"/>
          <w:color w:val="auto"/>
        </w:rPr>
      </w:pPr>
      <w:r>
        <w:rPr>
          <w:rFonts w:ascii="Arial" w:cs="Arial" w:eastAsia="Arial" w:hAnsi="Arial"/>
          <w:sz w:val="12"/>
          <w:szCs w:val="12"/>
          <w:i w:val="1"/>
          <w:iCs w:val="1"/>
          <w:color w:val="auto"/>
        </w:rPr>
        <w:t>Officer’s Certificate</w:t>
      </w:r>
      <w:r>
        <w:rPr>
          <w:rFonts w:ascii="Arial" w:cs="Arial" w:eastAsia="Arial" w:hAnsi="Arial"/>
          <w:sz w:val="12"/>
          <w:szCs w:val="12"/>
          <w:color w:val="auto"/>
        </w:rPr>
        <w:t>. The Placement Agent shall have received on such Closing Date a certificate, addressed to the Placement Agent and dated such Closing Date, of the chief executive or chief operating officer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chief financial officer or chief accounting officer of the Company to the effect that:</w:t>
      </w:r>
    </w:p>
    <w:p>
      <w:pPr>
        <w:spacing w:after="0" w:line="132" w:lineRule="exact"/>
        <w:rPr>
          <w:rFonts w:ascii="Arial" w:cs="Arial" w:eastAsia="Arial" w:hAnsi="Arial"/>
          <w:sz w:val="12"/>
          <w:szCs w:val="12"/>
          <w:color w:val="auto"/>
        </w:rPr>
      </w:pPr>
    </w:p>
    <w:p>
      <w:pPr>
        <w:jc w:val="both"/>
        <w:ind w:left="-432" w:firstLine="432"/>
        <w:spacing w:after="0" w:line="298" w:lineRule="auto"/>
        <w:tabs>
          <w:tab w:leader="none" w:pos="158" w:val="left"/>
        </w:tabs>
        <w:numPr>
          <w:ilvl w:val="0"/>
          <w:numId w:val="106"/>
        </w:numPr>
        <w:rPr>
          <w:rFonts w:ascii="Arial" w:cs="Arial" w:eastAsia="Arial" w:hAnsi="Arial"/>
          <w:sz w:val="11"/>
          <w:szCs w:val="11"/>
          <w:color w:val="auto"/>
        </w:rPr>
      </w:pPr>
      <w:r>
        <w:rPr>
          <w:rFonts w:ascii="Arial" w:cs="Arial" w:eastAsia="Arial" w:hAnsi="Arial"/>
          <w:sz w:val="11"/>
          <w:szCs w:val="11"/>
          <w:color w:val="auto"/>
        </w:rPr>
        <w:t>each of the representations, warranties and agreements of the Company in this Agreement were true and correct when originally made and are true and correct as of the time of receipt and acceptance of an executed Subscription Agreement (“</w:t>
      </w:r>
      <w:r>
        <w:rPr>
          <w:rFonts w:ascii="Arial" w:cs="Arial" w:eastAsia="Arial" w:hAnsi="Arial"/>
          <w:sz w:val="11"/>
          <w:szCs w:val="11"/>
          <w:i w:val="1"/>
          <w:iCs w:val="1"/>
          <w:color w:val="auto"/>
        </w:rPr>
        <w:t>Time of Sale</w:t>
      </w:r>
      <w:r>
        <w:rPr>
          <w:rFonts w:ascii="Arial" w:cs="Arial" w:eastAsia="Arial" w:hAnsi="Arial"/>
          <w:sz w:val="11"/>
          <w:szCs w:val="11"/>
          <w:color w:val="auto"/>
        </w:rPr>
        <w:t>”) and such Closing Date (except that those representations and warranties that address matters only as of a particular date shall remain true and correct as of such date); and the Company has complied in all material respects with all agreements and satisfied all the conditions on its part required under this Agreement to be performed or satisfied at or prior to such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354965</wp:posOffset>
            </wp:positionV>
            <wp:extent cx="7299325" cy="18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198" w:name="page199"/>
    <w:bookmarkEnd w:id="198"/>
    <w:p>
      <w:pPr>
        <w:jc w:val="both"/>
        <w:ind w:left="-112" w:firstLine="437"/>
        <w:spacing w:after="0" w:line="281" w:lineRule="auto"/>
        <w:tabs>
          <w:tab w:leader="none" w:pos="499" w:val="left"/>
        </w:tabs>
        <w:numPr>
          <w:ilvl w:val="1"/>
          <w:numId w:val="107"/>
        </w:numPr>
        <w:rPr>
          <w:rFonts w:ascii="Arial" w:cs="Arial" w:eastAsia="Arial" w:hAnsi="Arial"/>
          <w:sz w:val="11"/>
          <w:szCs w:val="11"/>
          <w:color w:val="auto"/>
        </w:rPr>
      </w:pPr>
      <w:r>
        <w:rPr>
          <w:rFonts w:ascii="Arial" w:cs="Arial" w:eastAsia="Arial" w:hAnsi="Arial"/>
          <w:sz w:val="11"/>
          <w:szCs w:val="11"/>
          <w:color w:val="auto"/>
        </w:rPr>
        <w:t>subsequent to the respective dates as of which information is given in the Disclosure Documents, there has not been (A) a material adverse change or any development involving a prospective material adverse change in the general affairs, business, properties, management, prospects, financial condition or results of operations of the Company and the Subsidiaries taken as a whole, (B) any transaction that is material to the Company and the Subsidiaries taken as a whole, except transactions entered into in the ordinary course of business, (C) any obligation, direct or contingent, that is material to the Company and the Subsidiaries taken as a whole, incurred by the Company or the Subsidiaries, except obligations incurred in the ordinary course of business, (D) except as disclosed in the Disclosure Documents, any change in the capital stock (other than a change in the number of outstanding shares of Common Stock due to the issuance of shares upon the exercise of outstanding options or warrants) or any material change in the short term or long term indebtedness of the Company or any of the Subsidiaries taken as a whole, (E) any dividend or distribution of any kind declared, paid or made on the capital stock of the Company or the Subsidiaries or (F) any loss or damage (whether or not insured) to the property of the Company or its Subsidiaries which has been sustained or will have been sustained which has had or is reasonably likely to result in a Material Adverse Effect;</w:t>
      </w:r>
    </w:p>
    <w:p>
      <w:pPr>
        <w:spacing w:after="0" w:line="134" w:lineRule="exact"/>
        <w:rPr>
          <w:rFonts w:ascii="Arial" w:cs="Arial" w:eastAsia="Arial" w:hAnsi="Arial"/>
          <w:sz w:val="11"/>
          <w:szCs w:val="11"/>
          <w:color w:val="auto"/>
        </w:rPr>
      </w:pPr>
    </w:p>
    <w:p>
      <w:pPr>
        <w:ind w:left="-112" w:firstLine="437"/>
        <w:spacing w:after="0" w:line="323" w:lineRule="auto"/>
        <w:tabs>
          <w:tab w:leader="none" w:pos="532" w:val="left"/>
        </w:tabs>
        <w:numPr>
          <w:ilvl w:val="1"/>
          <w:numId w:val="107"/>
        </w:numPr>
        <w:rPr>
          <w:rFonts w:ascii="Arial" w:cs="Arial" w:eastAsia="Arial" w:hAnsi="Arial"/>
          <w:sz w:val="11"/>
          <w:szCs w:val="11"/>
          <w:color w:val="auto"/>
        </w:rPr>
      </w:pPr>
      <w:r>
        <w:rPr>
          <w:rFonts w:ascii="Arial" w:cs="Arial" w:eastAsia="Arial" w:hAnsi="Arial"/>
          <w:sz w:val="11"/>
          <w:szCs w:val="11"/>
          <w:color w:val="auto"/>
        </w:rPr>
        <w:t>no stop order suspending the effectiveness of the Registration Statement or any part thereof or any amendment thereof or the qualification of the Securities for offering or sale, nor suspending or preventing the use of the Disclosure Documents shall have been issued, and no proceedings for that purpose shall be pending or to their knowledge, threatened by the Commission or any state or regulatory body; and</w:t>
      </w:r>
    </w:p>
    <w:p>
      <w:pPr>
        <w:spacing w:after="0" w:line="109" w:lineRule="exact"/>
        <w:rPr>
          <w:rFonts w:ascii="Arial" w:cs="Arial" w:eastAsia="Arial" w:hAnsi="Arial"/>
          <w:sz w:val="11"/>
          <w:szCs w:val="11"/>
          <w:color w:val="auto"/>
        </w:rPr>
      </w:pPr>
    </w:p>
    <w:p>
      <w:pPr>
        <w:jc w:val="both"/>
        <w:ind w:left="-112" w:firstLine="437"/>
        <w:spacing w:after="0" w:line="280" w:lineRule="auto"/>
        <w:tabs>
          <w:tab w:leader="none" w:pos="533" w:val="left"/>
        </w:tabs>
        <w:numPr>
          <w:ilvl w:val="1"/>
          <w:numId w:val="107"/>
        </w:numPr>
        <w:rPr>
          <w:rFonts w:ascii="Arial" w:cs="Arial" w:eastAsia="Arial" w:hAnsi="Arial"/>
          <w:sz w:val="11"/>
          <w:szCs w:val="11"/>
          <w:color w:val="auto"/>
        </w:rPr>
      </w:pPr>
      <w:r>
        <w:rPr>
          <w:rFonts w:ascii="Arial" w:cs="Arial" w:eastAsia="Arial" w:hAnsi="Arial"/>
          <w:sz w:val="11"/>
          <w:szCs w:val="11"/>
          <w:color w:val="auto"/>
        </w:rPr>
        <w:t>the signers of said certificate have reviewed the Registration Statement and the Disclosure Documents, and any amendments thereof or supplements thereto (and any documents filed under the Exchange Act and deemed to be incorporated by reference into the Disclosure Documents), and (A) (i) each part of the Registration Statement and any amendment thereof do not and did not contain when the Registration Statement (or such amendment) became effective, any untrue statement of a material fact or omit to state, and did not omit to state when the Registration Statement (or such amendment) became effective, any material fact required to be stated therein or necessary to make the statements therein not misleading and (ii) as of the Time of Sale, the Disclosure Documents contained any untrue statement of material fact or omits to state any material fact necessary to make the statements therein, in light of the circumstances under which they were made, not misleading and (iii) the Prospectus, as amended or supplemented, does not and did not contain, as of its issue date and as of such Closing Date, any untrue statement of material fact or omit to state and did not omit to state as of such date, a material fact necessary to make the statements therein, in light of the circumstances under which they were made, not misleading, and (B) since the Time of Sale, there has occurred no event required to be set forth in an amendment or supplement to the Registration Statement or the Disclosure Documents which has not been so set forth and there has been no document required to be filed under the Exchange Act that upon such filing would be deemed to be incorporated by reference into the Disclosure Documents that has not been so filed.</w:t>
      </w:r>
    </w:p>
    <w:p>
      <w:pPr>
        <w:spacing w:after="0" w:line="134" w:lineRule="exact"/>
        <w:rPr>
          <w:rFonts w:ascii="Arial" w:cs="Arial" w:eastAsia="Arial" w:hAnsi="Arial"/>
          <w:sz w:val="11"/>
          <w:szCs w:val="11"/>
          <w:color w:val="auto"/>
        </w:rPr>
      </w:pPr>
    </w:p>
    <w:p>
      <w:pPr>
        <w:ind w:left="-432" w:firstLine="432"/>
        <w:spacing w:after="0" w:line="276" w:lineRule="auto"/>
        <w:tabs>
          <w:tab w:leader="none" w:pos="431" w:val="left"/>
        </w:tabs>
        <w:numPr>
          <w:ilvl w:val="0"/>
          <w:numId w:val="108"/>
        </w:numPr>
        <w:rPr>
          <w:rFonts w:ascii="Arial" w:cs="Arial" w:eastAsia="Arial" w:hAnsi="Arial"/>
          <w:sz w:val="12"/>
          <w:szCs w:val="12"/>
          <w:color w:val="auto"/>
        </w:rPr>
      </w:pPr>
      <w:r>
        <w:rPr>
          <w:rFonts w:ascii="Arial" w:cs="Arial" w:eastAsia="Arial" w:hAnsi="Arial"/>
          <w:sz w:val="12"/>
          <w:szCs w:val="12"/>
          <w:i w:val="1"/>
          <w:iCs w:val="1"/>
          <w:color w:val="auto"/>
        </w:rPr>
        <w:t>Other Filings with the Commission</w:t>
      </w:r>
      <w:r>
        <w:rPr>
          <w:rFonts w:ascii="Arial" w:cs="Arial" w:eastAsia="Arial" w:hAnsi="Arial"/>
          <w:sz w:val="12"/>
          <w:szCs w:val="12"/>
          <w:color w:val="auto"/>
        </w:rPr>
        <w:t>. The Company shall have prepared and filed with the Commission a Current Report on Form 8-K with respect to the transactions contemplated hereby, including as an exhibit thereto</w:t>
      </w:r>
      <w:r>
        <w:rPr>
          <w:rFonts w:ascii="Arial" w:cs="Arial" w:eastAsia="Arial" w:hAnsi="Arial"/>
          <w:sz w:val="12"/>
          <w:szCs w:val="12"/>
          <w:i w:val="1"/>
          <w:iCs w:val="1"/>
          <w:color w:val="auto"/>
        </w:rPr>
        <w:t xml:space="preserve"> </w:t>
      </w:r>
      <w:r>
        <w:rPr>
          <w:rFonts w:ascii="Arial" w:cs="Arial" w:eastAsia="Arial" w:hAnsi="Arial"/>
          <w:sz w:val="12"/>
          <w:szCs w:val="12"/>
          <w:color w:val="auto"/>
        </w:rPr>
        <w:t>this Agreement and any other documents relating thereto.</w:t>
      </w:r>
    </w:p>
    <w:p>
      <w:pPr>
        <w:spacing w:after="0" w:line="132" w:lineRule="exact"/>
        <w:rPr>
          <w:rFonts w:ascii="Arial" w:cs="Arial" w:eastAsia="Arial" w:hAnsi="Arial"/>
          <w:sz w:val="12"/>
          <w:szCs w:val="12"/>
          <w:color w:val="auto"/>
        </w:rPr>
      </w:pPr>
    </w:p>
    <w:p>
      <w:pPr>
        <w:jc w:val="both"/>
        <w:ind w:left="-432" w:firstLine="432"/>
        <w:spacing w:after="0" w:line="263" w:lineRule="auto"/>
        <w:tabs>
          <w:tab w:leader="none" w:pos="494" w:val="left"/>
        </w:tabs>
        <w:numPr>
          <w:ilvl w:val="0"/>
          <w:numId w:val="108"/>
        </w:numPr>
        <w:rPr>
          <w:rFonts w:ascii="Arial" w:cs="Arial" w:eastAsia="Arial" w:hAnsi="Arial"/>
          <w:sz w:val="12"/>
          <w:szCs w:val="12"/>
          <w:color w:val="auto"/>
        </w:rPr>
      </w:pPr>
      <w:r>
        <w:rPr>
          <w:rFonts w:ascii="Arial" w:cs="Arial" w:eastAsia="Arial" w:hAnsi="Arial"/>
          <w:sz w:val="12"/>
          <w:szCs w:val="12"/>
          <w:i w:val="1"/>
          <w:iCs w:val="1"/>
          <w:color w:val="auto"/>
        </w:rPr>
        <w:t>No FINRA Objection</w:t>
      </w:r>
      <w:r>
        <w:rPr>
          <w:rFonts w:ascii="Arial" w:cs="Arial" w:eastAsia="Arial" w:hAnsi="Arial"/>
          <w:sz w:val="12"/>
          <w:szCs w:val="12"/>
          <w:color w:val="auto"/>
        </w:rPr>
        <w:t>. FINRA shall not have raised any objection with respect to the fairness and reasonableness of the placement agency terms and arrangements relating to the issuance and sale of the Securities;</w:t>
      </w:r>
      <w:r>
        <w:rPr>
          <w:rFonts w:ascii="Arial" w:cs="Arial" w:eastAsia="Arial" w:hAnsi="Arial"/>
          <w:sz w:val="12"/>
          <w:szCs w:val="12"/>
          <w:i w:val="1"/>
          <w:iCs w:val="1"/>
          <w:color w:val="auto"/>
        </w:rPr>
        <w:t xml:space="preserve"> </w:t>
      </w:r>
      <w:r>
        <w:rPr>
          <w:rFonts w:ascii="Arial" w:cs="Arial" w:eastAsia="Arial" w:hAnsi="Arial"/>
          <w:sz w:val="12"/>
          <w:szCs w:val="12"/>
          <w:color w:val="auto"/>
        </w:rPr>
        <w:t>provided that if any such objection is raised, the Company and the Placement Agent shall negotiate promptly and in good faith appropriate modifications to such placement agency terms and arrangements in order to satisfy such objections.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366395</wp:posOffset>
            </wp:positionV>
            <wp:extent cx="7299325" cy="18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199" w:name="page200"/>
    <w:bookmarkEnd w:id="199"/>
    <w:p>
      <w:pPr>
        <w:jc w:val="both"/>
        <w:ind w:left="100" w:firstLine="432"/>
        <w:spacing w:after="0" w:line="263" w:lineRule="auto"/>
        <w:tabs>
          <w:tab w:leader="none" w:pos="972"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 xml:space="preserve">Cold Comfort Letter. </w:t>
      </w:r>
      <w:r>
        <w:rPr>
          <w:rFonts w:ascii="Arial" w:cs="Arial" w:eastAsia="Arial" w:hAnsi="Arial"/>
          <w:sz w:val="12"/>
          <w:szCs w:val="12"/>
          <w:color w:val="auto"/>
        </w:rPr>
        <w:t>At the time this Agreement is executed the Placement Agent shall have received a cold comfort letter containing statements and information of the type customarily included in accountants' comfort</w:t>
      </w:r>
      <w:r>
        <w:rPr>
          <w:rFonts w:ascii="Arial" w:cs="Arial" w:eastAsia="Arial" w:hAnsi="Arial"/>
          <w:sz w:val="12"/>
          <w:szCs w:val="12"/>
          <w:i w:val="1"/>
          <w:iCs w:val="1"/>
          <w:color w:val="auto"/>
        </w:rPr>
        <w:t xml:space="preserve"> </w:t>
      </w:r>
      <w:r>
        <w:rPr>
          <w:rFonts w:ascii="Arial" w:cs="Arial" w:eastAsia="Arial" w:hAnsi="Arial"/>
          <w:sz w:val="12"/>
          <w:szCs w:val="12"/>
          <w:color w:val="auto"/>
        </w:rPr>
        <w:t>letters with respect to the financial statements and certain financial information contained in the Registration Statement and the Disclosure Documents, addressed to the Placement Agent and in form and substance satisfactory in all respects to the Placement Agent and to the Auditor dated as of the date of this Agreement.</w:t>
      </w:r>
    </w:p>
    <w:p>
      <w:pPr>
        <w:spacing w:after="0" w:line="140" w:lineRule="exact"/>
        <w:rPr>
          <w:rFonts w:ascii="Arial" w:cs="Arial" w:eastAsia="Arial" w:hAnsi="Arial"/>
          <w:sz w:val="12"/>
          <w:szCs w:val="12"/>
          <w:color w:val="auto"/>
        </w:rPr>
      </w:pPr>
    </w:p>
    <w:p>
      <w:pPr>
        <w:ind w:left="100" w:firstLine="432"/>
        <w:spacing w:after="0" w:line="276" w:lineRule="auto"/>
        <w:tabs>
          <w:tab w:leader="none" w:pos="946"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Bring-down Comfort Letter</w:t>
      </w:r>
      <w:r>
        <w:rPr>
          <w:rFonts w:ascii="Arial" w:cs="Arial" w:eastAsia="Arial" w:hAnsi="Arial"/>
          <w:sz w:val="12"/>
          <w:szCs w:val="12"/>
          <w:color w:val="auto"/>
        </w:rPr>
        <w:t>. At each Closing, the Placement Agent shall have received from the Auditor a letter, dated as of such Closing, to the effect that the Auditor reaffirms the statements made in its letter furnished</w:t>
      </w:r>
      <w:r>
        <w:rPr>
          <w:rFonts w:ascii="Arial" w:cs="Arial" w:eastAsia="Arial" w:hAnsi="Arial"/>
          <w:sz w:val="12"/>
          <w:szCs w:val="12"/>
          <w:i w:val="1"/>
          <w:iCs w:val="1"/>
          <w:color w:val="auto"/>
        </w:rPr>
        <w:t xml:space="preserve"> </w:t>
      </w:r>
      <w:r>
        <w:rPr>
          <w:rFonts w:ascii="Arial" w:cs="Arial" w:eastAsia="Arial" w:hAnsi="Arial"/>
          <w:sz w:val="12"/>
          <w:szCs w:val="12"/>
          <w:color w:val="auto"/>
        </w:rPr>
        <w:t>pursuant to Section 5(k), except that the specified date referred to shall be a date not more than three (3) business days prior to such Closing.</w:t>
      </w:r>
    </w:p>
    <w:p>
      <w:pPr>
        <w:spacing w:after="0" w:line="132" w:lineRule="exact"/>
        <w:rPr>
          <w:rFonts w:ascii="Arial" w:cs="Arial" w:eastAsia="Arial" w:hAnsi="Arial"/>
          <w:sz w:val="12"/>
          <w:szCs w:val="12"/>
          <w:color w:val="auto"/>
        </w:rPr>
      </w:pPr>
    </w:p>
    <w:p>
      <w:pPr>
        <w:ind w:left="100" w:firstLine="432"/>
        <w:spacing w:after="0" w:line="276" w:lineRule="auto"/>
        <w:tabs>
          <w:tab w:leader="none" w:pos="1069"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 xml:space="preserve">Lock Up. </w:t>
      </w:r>
      <w:r>
        <w:rPr>
          <w:rFonts w:ascii="Arial" w:cs="Arial" w:eastAsia="Arial" w:hAnsi="Arial"/>
          <w:sz w:val="12"/>
          <w:szCs w:val="12"/>
          <w:color w:val="auto"/>
        </w:rPr>
        <w:t>The Company has caused the Company’s officers, directors and each owner of at least 10% of the Company’s outstanding shares of Common Stock (or securities convertible or exercisable into shares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Common Stock) to enter into a letter agreement, substantially in the form attached hereto as </w:t>
      </w:r>
      <w:r>
        <w:rPr>
          <w:rFonts w:ascii="Arial" w:cs="Arial" w:eastAsia="Arial" w:hAnsi="Arial"/>
          <w:sz w:val="12"/>
          <w:szCs w:val="12"/>
          <w:u w:val="single" w:color="auto"/>
          <w:color w:val="auto"/>
        </w:rPr>
        <w:t>Exhibit F</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ind w:left="980" w:hanging="448"/>
        <w:spacing w:after="0"/>
        <w:tabs>
          <w:tab w:leader="none" w:pos="980"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Reservation of Common Stock</w:t>
      </w:r>
      <w:r>
        <w:rPr>
          <w:rFonts w:ascii="Arial" w:cs="Arial" w:eastAsia="Arial" w:hAnsi="Arial"/>
          <w:sz w:val="12"/>
          <w:szCs w:val="12"/>
          <w:color w:val="auto"/>
        </w:rPr>
        <w:t>. The Company shall have reserved from its authorized Common Stock a sufficient number of shares to provide for exercise of all Warrants.</w:t>
      </w:r>
    </w:p>
    <w:p>
      <w:pPr>
        <w:spacing w:after="0" w:line="168" w:lineRule="exact"/>
        <w:rPr>
          <w:rFonts w:ascii="Arial" w:cs="Arial" w:eastAsia="Arial" w:hAnsi="Arial"/>
          <w:sz w:val="12"/>
          <w:szCs w:val="12"/>
          <w:color w:val="auto"/>
        </w:rPr>
      </w:pPr>
    </w:p>
    <w:p>
      <w:pPr>
        <w:ind w:left="980" w:hanging="448"/>
        <w:spacing w:after="0"/>
        <w:tabs>
          <w:tab w:leader="none" w:pos="980"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Blue Sky Filings</w:t>
      </w:r>
      <w:r>
        <w:rPr>
          <w:rFonts w:ascii="Arial" w:cs="Arial" w:eastAsia="Arial" w:hAnsi="Arial"/>
          <w:sz w:val="12"/>
          <w:szCs w:val="12"/>
          <w:color w:val="auto"/>
        </w:rPr>
        <w:t>. All state securities filings required to be made for the issuance and sale of the Securities (including the shares of Common Stock issuable upon exercise thereof) have been made.</w:t>
      </w:r>
    </w:p>
    <w:p>
      <w:pPr>
        <w:spacing w:after="0" w:line="168" w:lineRule="exact"/>
        <w:rPr>
          <w:rFonts w:ascii="Arial" w:cs="Arial" w:eastAsia="Arial" w:hAnsi="Arial"/>
          <w:sz w:val="12"/>
          <w:szCs w:val="12"/>
          <w:color w:val="auto"/>
        </w:rPr>
      </w:pPr>
    </w:p>
    <w:p>
      <w:pPr>
        <w:jc w:val="both"/>
        <w:ind w:left="100" w:firstLine="432"/>
        <w:spacing w:after="0" w:line="259" w:lineRule="auto"/>
        <w:tabs>
          <w:tab w:leader="none" w:pos="972"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Secretary’s Certificate</w:t>
      </w:r>
      <w:r>
        <w:rPr>
          <w:rFonts w:ascii="Arial" w:cs="Arial" w:eastAsia="Arial" w:hAnsi="Arial"/>
          <w:sz w:val="12"/>
          <w:szCs w:val="12"/>
          <w:color w:val="auto"/>
        </w:rPr>
        <w:t>. At each Closing, the Placement Agent shall have received a certificate of the Company signed by the Secretary of the Company, dated the Closing Date certifying: (i) that each of the Charter and</w:t>
      </w:r>
      <w:r>
        <w:rPr>
          <w:rFonts w:ascii="Arial" w:cs="Arial" w:eastAsia="Arial" w:hAnsi="Arial"/>
          <w:sz w:val="12"/>
          <w:szCs w:val="12"/>
          <w:i w:val="1"/>
          <w:iCs w:val="1"/>
          <w:color w:val="auto"/>
        </w:rPr>
        <w:t xml:space="preserve"> </w:t>
      </w:r>
      <w:r>
        <w:rPr>
          <w:rFonts w:ascii="Arial" w:cs="Arial" w:eastAsia="Arial" w:hAnsi="Arial"/>
          <w:sz w:val="12"/>
          <w:szCs w:val="12"/>
          <w:color w:val="auto"/>
        </w:rPr>
        <w:t>Bylaws is true and complete, has not been modified and is in full force and effect; (ii) that the resolutions of the Company’s Board of Directors relating to the Offering are in full force and effect and have not been modified; (iii) as to the accuracy and completeness of all correspondence between the Company or its counsel and the Commission; and (iv) as to the incumbency of the officers of the Company. The documents referred to in such certificate shall be attached to such certificate</w:t>
      </w:r>
    </w:p>
    <w:p>
      <w:pPr>
        <w:spacing w:after="0" w:line="142" w:lineRule="exact"/>
        <w:rPr>
          <w:rFonts w:ascii="Arial" w:cs="Arial" w:eastAsia="Arial" w:hAnsi="Arial"/>
          <w:sz w:val="12"/>
          <w:szCs w:val="12"/>
          <w:color w:val="auto"/>
        </w:rPr>
      </w:pPr>
    </w:p>
    <w:p>
      <w:pPr>
        <w:jc w:val="both"/>
        <w:ind w:left="100" w:firstLine="432"/>
        <w:spacing w:after="0" w:line="263" w:lineRule="auto"/>
        <w:tabs>
          <w:tab w:leader="none" w:pos="990"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Additional Documents</w:t>
      </w:r>
      <w:r>
        <w:rPr>
          <w:rFonts w:ascii="Arial" w:cs="Arial" w:eastAsia="Arial" w:hAnsi="Arial"/>
          <w:sz w:val="12"/>
          <w:szCs w:val="12"/>
          <w:color w:val="auto"/>
        </w:rPr>
        <w:t>. Prior to any Closing Date, the Company shall have furnished to the Placement Agent such further information, certificates or documents as the Placement Agent shall have reasonably requested</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purpose of enabling it to pass upon the issuance and sale of the Securities as contemplated herein, or in order to evidence the accuracy of any of the representations and warranties, or the satisfaction of any of the conditions or agreements, herein contained.</w:t>
      </w:r>
    </w:p>
    <w:p>
      <w:pPr>
        <w:spacing w:after="0" w:line="140" w:lineRule="exact"/>
        <w:rPr>
          <w:rFonts w:ascii="Arial" w:cs="Arial" w:eastAsia="Arial" w:hAnsi="Arial"/>
          <w:sz w:val="12"/>
          <w:szCs w:val="12"/>
          <w:color w:val="auto"/>
        </w:rPr>
      </w:pPr>
    </w:p>
    <w:p>
      <w:pPr>
        <w:ind w:left="100" w:firstLine="432"/>
        <w:spacing w:after="0" w:line="276" w:lineRule="auto"/>
        <w:tabs>
          <w:tab w:leader="none" w:pos="1033"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Reverse Stock Split</w:t>
      </w:r>
      <w:r>
        <w:rPr>
          <w:rFonts w:ascii="Arial" w:cs="Arial" w:eastAsia="Arial" w:hAnsi="Arial"/>
          <w:sz w:val="12"/>
          <w:szCs w:val="12"/>
          <w:color w:val="auto"/>
        </w:rPr>
        <w:t>. Prior to the Closing Date, the Company shall have received approval of from FINRA of the Reverse Stock Split of the Company’s Common Stock and reflected the Reverse Stock Split in the</w:t>
      </w:r>
      <w:r>
        <w:rPr>
          <w:rFonts w:ascii="Arial" w:cs="Arial" w:eastAsia="Arial" w:hAnsi="Arial"/>
          <w:sz w:val="12"/>
          <w:szCs w:val="12"/>
          <w:i w:val="1"/>
          <w:iCs w:val="1"/>
          <w:color w:val="auto"/>
        </w:rPr>
        <w:t xml:space="preserve"> </w:t>
      </w:r>
      <w:r>
        <w:rPr>
          <w:rFonts w:ascii="Arial" w:cs="Arial" w:eastAsia="Arial" w:hAnsi="Arial"/>
          <w:sz w:val="12"/>
          <w:szCs w:val="12"/>
          <w:color w:val="auto"/>
        </w:rPr>
        <w:t>Disclosure Documents.</w:t>
      </w:r>
    </w:p>
    <w:p>
      <w:pPr>
        <w:spacing w:after="0" w:line="132" w:lineRule="exact"/>
        <w:rPr>
          <w:rFonts w:ascii="Arial" w:cs="Arial" w:eastAsia="Arial" w:hAnsi="Arial"/>
          <w:sz w:val="12"/>
          <w:szCs w:val="12"/>
          <w:color w:val="auto"/>
        </w:rPr>
      </w:pPr>
    </w:p>
    <w:p>
      <w:pPr>
        <w:jc w:val="both"/>
        <w:ind w:firstLine="532"/>
        <w:spacing w:after="0" w:line="263" w:lineRule="auto"/>
        <w:tabs>
          <w:tab w:leader="none" w:pos="1075"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Stockholder Approval</w:t>
      </w:r>
      <w:r>
        <w:rPr>
          <w:rFonts w:ascii="Arial" w:cs="Arial" w:eastAsia="Arial" w:hAnsi="Arial"/>
          <w:sz w:val="12"/>
          <w:szCs w:val="12"/>
          <w:color w:val="auto"/>
        </w:rPr>
        <w:t>. Prior to the Closing Date, the Company shall have obtained the approval of its stockholders, if required by the Nevada Revised Statutes, FINRA, the Commission or any other regulatory</w:t>
      </w:r>
      <w:r>
        <w:rPr>
          <w:rFonts w:ascii="Arial" w:cs="Arial" w:eastAsia="Arial" w:hAnsi="Arial"/>
          <w:sz w:val="12"/>
          <w:szCs w:val="12"/>
          <w:i w:val="1"/>
          <w:iCs w:val="1"/>
          <w:color w:val="auto"/>
        </w:rPr>
        <w:t xml:space="preserve"> </w:t>
      </w:r>
      <w:r>
        <w:rPr>
          <w:rFonts w:ascii="Arial" w:cs="Arial" w:eastAsia="Arial" w:hAnsi="Arial"/>
          <w:sz w:val="12"/>
          <w:szCs w:val="12"/>
          <w:color w:val="auto"/>
        </w:rPr>
        <w:t>authority. All opinions, letters, evidence and certificates mentioned above or elsewhere in this Agreement shall be deemed to be in compliance with the provisions hereof only if they are in form and substance reasonably satisfactory to counsel for the Placement Agent.</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If any condition specified in this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is not satisfied when and as required to be satisfied, this Agreement may be terminated by the Placement Agent by notice to the Company at any time prior to such Closing Date, which termination shall be without liability on the part of any party to any other party, except that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shall at all times be effective and shall survive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361315</wp:posOffset>
            </wp:positionV>
            <wp:extent cx="7299325" cy="18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4" w:right="199" w:bottom="1440" w:gutter="0" w:footer="0" w:header="0"/>
        </w:sectPr>
      </w:pPr>
    </w:p>
    <w:bookmarkStart w:id="200" w:name="page201"/>
    <w:bookmarkEnd w:id="200"/>
    <w:p>
      <w:pPr>
        <w:spacing w:after="0"/>
        <w:rPr>
          <w:sz w:val="20"/>
          <w:szCs w:val="20"/>
          <w:color w:val="auto"/>
        </w:rPr>
      </w:pPr>
      <w:r>
        <w:rPr>
          <w:rFonts w:ascii="Arial" w:cs="Arial" w:eastAsia="Arial" w:hAnsi="Arial"/>
          <w:sz w:val="12"/>
          <w:szCs w:val="12"/>
          <w:b w:val="1"/>
          <w:bCs w:val="1"/>
          <w:color w:val="auto"/>
        </w:rPr>
        <w:t>Section 6. Indemnification and Contribution</w:t>
      </w:r>
      <w:r>
        <w:rPr>
          <w:rFonts w:ascii="Arial" w:cs="Arial" w:eastAsia="Arial" w:hAnsi="Arial"/>
          <w:sz w:val="12"/>
          <w:szCs w:val="12"/>
          <w:i w:val="1"/>
          <w:iCs w:val="1"/>
          <w:color w:val="auto"/>
        </w:rPr>
        <w:t>.</w:t>
      </w:r>
    </w:p>
    <w:p>
      <w:pPr>
        <w:spacing w:after="0" w:line="172" w:lineRule="exact"/>
        <w:rPr>
          <w:sz w:val="20"/>
          <w:szCs w:val="20"/>
          <w:color w:val="auto"/>
        </w:rPr>
      </w:pPr>
    </w:p>
    <w:p>
      <w:pPr>
        <w:jc w:val="both"/>
        <w:ind w:left="100" w:firstLine="432"/>
        <w:spacing w:after="0" w:line="275" w:lineRule="auto"/>
        <w:tabs>
          <w:tab w:leader="none" w:pos="704" w:val="left"/>
        </w:tabs>
        <w:numPr>
          <w:ilvl w:val="0"/>
          <w:numId w:val="110"/>
        </w:numPr>
        <w:rPr>
          <w:rFonts w:ascii="Arial" w:cs="Arial" w:eastAsia="Arial" w:hAnsi="Arial"/>
          <w:sz w:val="11"/>
          <w:szCs w:val="11"/>
          <w:color w:val="auto"/>
        </w:rPr>
      </w:pPr>
      <w:r>
        <w:rPr>
          <w:rFonts w:ascii="Arial" w:cs="Arial" w:eastAsia="Arial" w:hAnsi="Arial"/>
          <w:sz w:val="11"/>
          <w:szCs w:val="11"/>
          <w:i w:val="1"/>
          <w:iCs w:val="1"/>
          <w:color w:val="auto"/>
        </w:rPr>
        <w:t>Indemnification of the Placement Agent</w:t>
      </w:r>
      <w:r>
        <w:rPr>
          <w:rFonts w:ascii="Arial" w:cs="Arial" w:eastAsia="Arial" w:hAnsi="Arial"/>
          <w:sz w:val="11"/>
          <w:szCs w:val="11"/>
          <w:color w:val="auto"/>
        </w:rPr>
        <w:t>. The Company agrees to indemnify, defend and hold harmless, to the fullest extent permitted by law, the Placement Agent, its directors and officers, and each person, if any, who</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controls such Placement Agent within the meaning of either Section 15 of the Securities Act or Section 20 of the Exchange Act, and the successors and assigns of all of the foregoing persons, from and against any loss, damage, claim or liability (including, without limitation, any loss, damage, claim or liability arising from any suit, action, proceeding, investigation, inquiry, stockholder or derivative action or arbitration proceeding), which, jointly or severally, the Placement Agent or any such person may become subject under the Securities Act, the Exchange Act, or other federal or state statutory law or regulation, the common law or otherwise, (including in settlement of any litigation, if such settlement is effected with the written consent of the Company), insofar as such loss, damage, claim or liability (or actions in respect thereof as contemplated below) arises out of or is based upon: (i) any untrue statement or alleged untrue statement of a material fact contained in the Registration Statement, or any amendment thereto or the omission or alleged omission to state a material fact required to be stated therein or necessary to make the statements therein not misleading; (ii) any untrue statement or alleged untrue statement of a material fact contained in any Preliminary Prospectus, any Issuer Free Writing Prospectus or the Prospectus (or any amendment or supplement thereto), or the omission or alleged omission to state therein a material fact required to be stated therein or necessary to make the statements made therein, in light of the circumstances under which they were made, not misleading; (iii) any action arising out of or contemplated by the terms of this Agreement, including, without limitation, any related services and activities prior to the date of this Agreement; and, in the case of (i) - (iii) above, to reimburse the Placement Agent and each such controlling person for any and all expenses (including fees and disbursements of counsel and costs of any investigation or preparation) as such expenses are incurred by such Placement Agent or such controlling person in connection with investigating, defending, settling, compromising or paying any such loss, claim, damage, liability, expense or action;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the foregoing indemnity shall not apply to any loss, claim, damage, liability or expense to the extent, but only to the extent, it arises out of or is based upon any untrue statement or alleged untrue statement of a material fact contained in or omitted from, and in conformity with information concerning the Placement Agent furnished in writing by or on behalf of the Placement Agent to the Company expressly for use therein, which information the parties hereto agree is limited to the Placement Agent Information (as defined in </w:t>
      </w:r>
      <w:r>
        <w:rPr>
          <w:rFonts w:ascii="Arial" w:cs="Arial" w:eastAsia="Arial" w:hAnsi="Arial"/>
          <w:sz w:val="11"/>
          <w:szCs w:val="11"/>
          <w:u w:val="single" w:color="auto"/>
          <w:color w:val="auto"/>
        </w:rPr>
        <w:t>Section 7</w:t>
      </w:r>
      <w:r>
        <w:rPr>
          <w:rFonts w:ascii="Arial" w:cs="Arial" w:eastAsia="Arial" w:hAnsi="Arial"/>
          <w:sz w:val="11"/>
          <w:szCs w:val="11"/>
          <w:color w:val="auto"/>
        </w:rPr>
        <w:t xml:space="preserve">), (iii) any untrue statement or alleged untrue statement made by the Company in </w:t>
      </w:r>
      <w:r>
        <w:rPr>
          <w:rFonts w:ascii="Arial" w:cs="Arial" w:eastAsia="Arial" w:hAnsi="Arial"/>
          <w:sz w:val="11"/>
          <w:szCs w:val="11"/>
          <w:u w:val="single" w:color="auto"/>
          <w:color w:val="auto"/>
        </w:rPr>
        <w:t>Section 3</w:t>
      </w:r>
      <w:r>
        <w:rPr>
          <w:rFonts w:ascii="Arial" w:cs="Arial" w:eastAsia="Arial" w:hAnsi="Arial"/>
          <w:sz w:val="11"/>
          <w:szCs w:val="11"/>
          <w:color w:val="auto"/>
        </w:rPr>
        <w:t xml:space="preserve"> hereof or the failure by the Company to perform when and as required any agreement or covenant contained herein, or (iv) any untrue statement or alleged untrue statement of any material fact contained in any audio or visual materials (x) provided to Investors by or with the written approval of the Company or (y) based upon written information furnished by or on behalf of the Company with its approval and provided to Investors by or with the written approval of the Company including, without limitation, slides, videos, films or tape recordings used in any road show or investor presentations made to investors by the Company (whether in person or electronically) in connection with the marketing of the Securities. Notwithstanding anything to the contrary herein, for the avoidance of doubt, the Company agrees that the Placement Agent shall not have any liability to the Company or any person asserting claims on behalf of or in right of the Company in connection with or as a result of any matter referred to in this Agreement or the Placement Agent’s engagement by the Company generally, including, without limitation, related services and activities prior to the date hereof, exept to the extent that it shall be determined by a court of competent jurisdiction in a judgment that has become final in that it is no longer subject to appeal or other review, that any losses, claims, damages, liabilities or expenses incurred by the Company resulted primarily from the Placement Agent’s gross negligence or willful misconduct in performing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368935</wp:posOffset>
            </wp:positionV>
            <wp:extent cx="7299325" cy="18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01" w:name="page202"/>
    <w:bookmarkEnd w:id="201"/>
    <w:p>
      <w:pPr>
        <w:jc w:val="both"/>
        <w:ind w:left="-432" w:firstLine="432"/>
        <w:spacing w:after="0" w:line="276" w:lineRule="auto"/>
        <w:tabs>
          <w:tab w:leader="none" w:pos="170" w:val="left"/>
        </w:tabs>
        <w:numPr>
          <w:ilvl w:val="0"/>
          <w:numId w:val="111"/>
        </w:numPr>
        <w:rPr>
          <w:rFonts w:ascii="Arial" w:cs="Arial" w:eastAsia="Arial" w:hAnsi="Arial"/>
          <w:sz w:val="11"/>
          <w:szCs w:val="11"/>
          <w:color w:val="auto"/>
        </w:rPr>
      </w:pPr>
      <w:r>
        <w:rPr>
          <w:rFonts w:ascii="Arial" w:cs="Arial" w:eastAsia="Arial" w:hAnsi="Arial"/>
          <w:sz w:val="11"/>
          <w:szCs w:val="11"/>
          <w:i w:val="1"/>
          <w:iCs w:val="1"/>
          <w:color w:val="auto"/>
        </w:rPr>
        <w:t>Notice and Procedures</w:t>
      </w:r>
      <w:r>
        <w:rPr>
          <w:rFonts w:ascii="Arial" w:cs="Arial" w:eastAsia="Arial" w:hAnsi="Arial"/>
          <w:sz w:val="11"/>
          <w:szCs w:val="11"/>
          <w:color w:val="auto"/>
        </w:rPr>
        <w:t>. If any action, suit or proceeding (each, a “</w:t>
      </w:r>
      <w:r>
        <w:rPr>
          <w:rFonts w:ascii="Arial" w:cs="Arial" w:eastAsia="Arial" w:hAnsi="Arial"/>
          <w:sz w:val="11"/>
          <w:szCs w:val="11"/>
          <w:i w:val="1"/>
          <w:iCs w:val="1"/>
          <w:color w:val="auto"/>
        </w:rPr>
        <w:t>Proceeding</w:t>
      </w:r>
      <w:r>
        <w:rPr>
          <w:rFonts w:ascii="Arial" w:cs="Arial" w:eastAsia="Arial" w:hAnsi="Arial"/>
          <w:sz w:val="11"/>
          <w:szCs w:val="11"/>
          <w:color w:val="auto"/>
        </w:rPr>
        <w:t>”) is brought against a person (an “</w:t>
      </w:r>
      <w:r>
        <w:rPr>
          <w:rFonts w:ascii="Arial" w:cs="Arial" w:eastAsia="Arial" w:hAnsi="Arial"/>
          <w:sz w:val="11"/>
          <w:szCs w:val="11"/>
          <w:i w:val="1"/>
          <w:iCs w:val="1"/>
          <w:color w:val="auto"/>
        </w:rPr>
        <w:t>indemnified party</w:t>
      </w:r>
      <w:r>
        <w:rPr>
          <w:rFonts w:ascii="Arial" w:cs="Arial" w:eastAsia="Arial" w:hAnsi="Arial"/>
          <w:sz w:val="11"/>
          <w:szCs w:val="11"/>
          <w:color w:val="auto"/>
        </w:rPr>
        <w:t>”) in respect of which indemnity may be sought against the Company ( the “</w:t>
      </w:r>
      <w:r>
        <w:rPr>
          <w:rFonts w:ascii="Arial" w:cs="Arial" w:eastAsia="Arial" w:hAnsi="Arial"/>
          <w:sz w:val="11"/>
          <w:szCs w:val="11"/>
          <w:i w:val="1"/>
          <w:iCs w:val="1"/>
          <w:color w:val="auto"/>
        </w:rPr>
        <w:t>indemnifying party</w:t>
      </w:r>
      <w:r>
        <w:rPr>
          <w:rFonts w:ascii="Arial" w:cs="Arial" w:eastAsia="Arial" w:hAnsi="Arial"/>
          <w:sz w:val="11"/>
          <w:szCs w:val="11"/>
          <w:color w:val="auto"/>
        </w:rPr>
        <w:t>”) pursuant to</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subsection (a)</w:t>
      </w:r>
      <w:r>
        <w:rPr>
          <w:rFonts w:ascii="Arial" w:cs="Arial" w:eastAsia="Arial" w:hAnsi="Arial"/>
          <w:sz w:val="11"/>
          <w:szCs w:val="11"/>
          <w:i w:val="1"/>
          <w:iCs w:val="1"/>
          <w:color w:val="auto"/>
        </w:rPr>
        <w:t xml:space="preserve"> </w:t>
      </w:r>
      <w:r>
        <w:rPr>
          <w:rFonts w:ascii="Arial" w:cs="Arial" w:eastAsia="Arial" w:hAnsi="Arial"/>
          <w:sz w:val="11"/>
          <w:szCs w:val="11"/>
          <w:color w:val="auto"/>
        </w:rPr>
        <w:t>or</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subsection (b)</w:t>
      </w:r>
      <w:r>
        <w:rPr>
          <w:rFonts w:ascii="Arial" w:cs="Arial" w:eastAsia="Arial" w:hAnsi="Arial"/>
          <w:sz w:val="11"/>
          <w:szCs w:val="11"/>
          <w:i w:val="1"/>
          <w:iCs w:val="1"/>
          <w:color w:val="auto"/>
        </w:rPr>
        <w:t xml:space="preserve"> </w:t>
      </w:r>
      <w:r>
        <w:rPr>
          <w:rFonts w:ascii="Arial" w:cs="Arial" w:eastAsia="Arial" w:hAnsi="Arial"/>
          <w:sz w:val="11"/>
          <w:szCs w:val="11"/>
          <w:color w:val="auto"/>
        </w:rPr>
        <w:t>of this</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Section 6</w:t>
      </w:r>
      <w:r>
        <w:rPr>
          <w:rFonts w:ascii="Arial" w:cs="Arial" w:eastAsia="Arial" w:hAnsi="Arial"/>
          <w:sz w:val="11"/>
          <w:szCs w:val="11"/>
          <w:color w:val="auto"/>
        </w:rPr>
        <w:t>, such indemnified party shall promptly notify such indemnifying party in writing of the institution of such Proceeding and such indemnifying party shall assume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defense of such Proceeding, including the employment of counsel reasonably satisfactory to such indemnified party and payment of all fees and expenses;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the omission to so notify such indemnifying party shall not relieve such indemnifying party from any liability which such indemnifying party may have to any indemnified party or otherwise, except to the extent such failure results in the forfeiture by the indemnifying party of substantial rights or defenses. The indemnified party or parties shall have the right to employ its or their own counsel in any such case, but the fees and expenses of such counsel shall be at the expense of such indemnified party or parties unless (i) the employment of such counsel shall have been authorized in writing by the indemnifying party in connection with the defense of such Proceeding, (ii) the indemnifying party shall not have, within a reasonable period of time in light of the circumstances, employed counsel to defend such Proceeding or (iii) such indemnified party or parties shall have reasonably concluded that there may be defenses available to it or them which are different from, additional to or in conflict with those available to such indemnifying party, in any of which events such reasonable fees and expenses shall be borne by such indemnifying party and paid as incurred (it being understood, however, that such indemnifying party shall not be liable for the expenses of more than one separate counsel (in addition to any local counsel) in any one Proceeding or series of related Proceedings in the same jurisdiction representing the indemnified parties who are parties to such Proceeding). An indemnifying party shall not be liable for any settlement of any Proceeding (including by consent to the entry of any judgment) effected without its written consent but, if settled with its written consent or if there be a final judgment for the plaintiff, such indemnifying party agrees to indemnify and hold harmless the indemnified party or parties from and against any loss or liability by reason of such settlement or judgment. Notwithstanding the foregoing sentence, if at any time an indemnified party shall have requested an indemnifying party to reimburse the indemnified party for fees and expenses of counsel (which fees and expenses shall be reasonably documented) as contemplated by the second sentence of this </w:t>
      </w:r>
      <w:r>
        <w:rPr>
          <w:rFonts w:ascii="Arial" w:cs="Arial" w:eastAsia="Arial" w:hAnsi="Arial"/>
          <w:sz w:val="11"/>
          <w:szCs w:val="11"/>
          <w:u w:val="single" w:color="auto"/>
          <w:color w:val="auto"/>
        </w:rPr>
        <w:t>Section 6(b)</w:t>
      </w:r>
      <w:r>
        <w:rPr>
          <w:rFonts w:ascii="Arial" w:cs="Arial" w:eastAsia="Arial" w:hAnsi="Arial"/>
          <w:sz w:val="11"/>
          <w:szCs w:val="11"/>
          <w:color w:val="auto"/>
        </w:rPr>
        <w:t>, then the indemnifying party agrees that it shall be liable for any settlement of any Proceeding effected without its written consent if (i) such settlement is entered into more than 90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compromise or consent to the entry of judgment in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or culpability or a failure to act by or on behalf of such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364490</wp:posOffset>
            </wp:positionV>
            <wp:extent cx="7299325" cy="18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02" w:name="page203"/>
    <w:bookmarkEnd w:id="202"/>
    <w:p>
      <w:pPr>
        <w:jc w:val="both"/>
        <w:ind w:left="100" w:firstLine="432"/>
        <w:spacing w:after="0" w:line="306" w:lineRule="auto"/>
        <w:tabs>
          <w:tab w:leader="none" w:pos="695" w:val="left"/>
        </w:tabs>
        <w:numPr>
          <w:ilvl w:val="1"/>
          <w:numId w:val="112"/>
        </w:numPr>
        <w:rPr>
          <w:rFonts w:ascii="Arial" w:cs="Arial" w:eastAsia="Arial" w:hAnsi="Arial"/>
          <w:sz w:val="10"/>
          <w:szCs w:val="10"/>
          <w:color w:val="auto"/>
        </w:rPr>
      </w:pPr>
      <w:r>
        <w:rPr>
          <w:rFonts w:ascii="Arial" w:cs="Arial" w:eastAsia="Arial" w:hAnsi="Arial"/>
          <w:sz w:val="10"/>
          <w:szCs w:val="10"/>
          <w:i w:val="1"/>
          <w:iCs w:val="1"/>
          <w:color w:val="auto"/>
        </w:rPr>
        <w:t>Contribution</w:t>
      </w:r>
      <w:r>
        <w:rPr>
          <w:rFonts w:ascii="Arial" w:cs="Arial" w:eastAsia="Arial" w:hAnsi="Arial"/>
          <w:sz w:val="10"/>
          <w:szCs w:val="10"/>
          <w:color w:val="auto"/>
        </w:rPr>
        <w:t>. If the indemnification provided for in this</w:t>
      </w:r>
      <w:r>
        <w:rPr>
          <w:rFonts w:ascii="Arial" w:cs="Arial" w:eastAsia="Arial" w:hAnsi="Arial"/>
          <w:sz w:val="10"/>
          <w:szCs w:val="10"/>
          <w:i w:val="1"/>
          <w:iCs w:val="1"/>
          <w:color w:val="auto"/>
        </w:rPr>
        <w:t xml:space="preserve"> </w:t>
      </w:r>
      <w:r>
        <w:rPr>
          <w:rFonts w:ascii="Arial" w:cs="Arial" w:eastAsia="Arial" w:hAnsi="Arial"/>
          <w:sz w:val="10"/>
          <w:szCs w:val="10"/>
          <w:u w:val="single" w:color="auto"/>
          <w:color w:val="auto"/>
        </w:rPr>
        <w:t>Section 6</w:t>
      </w:r>
      <w:r>
        <w:rPr>
          <w:rFonts w:ascii="Arial" w:cs="Arial" w:eastAsia="Arial" w:hAnsi="Arial"/>
          <w:sz w:val="10"/>
          <w:szCs w:val="10"/>
          <w:i w:val="1"/>
          <w:iCs w:val="1"/>
          <w:color w:val="auto"/>
        </w:rPr>
        <w:t xml:space="preserve"> </w:t>
      </w:r>
      <w:r>
        <w:rPr>
          <w:rFonts w:ascii="Arial" w:cs="Arial" w:eastAsia="Arial" w:hAnsi="Arial"/>
          <w:sz w:val="10"/>
          <w:szCs w:val="10"/>
          <w:color w:val="auto"/>
        </w:rPr>
        <w:t>is unavailable to an indemnified party under</w:t>
      </w:r>
      <w:r>
        <w:rPr>
          <w:rFonts w:ascii="Arial" w:cs="Arial" w:eastAsia="Arial" w:hAnsi="Arial"/>
          <w:sz w:val="10"/>
          <w:szCs w:val="10"/>
          <w:i w:val="1"/>
          <w:iCs w:val="1"/>
          <w:color w:val="auto"/>
        </w:rPr>
        <w:t xml:space="preserve"> </w:t>
      </w:r>
      <w:r>
        <w:rPr>
          <w:rFonts w:ascii="Arial" w:cs="Arial" w:eastAsia="Arial" w:hAnsi="Arial"/>
          <w:sz w:val="10"/>
          <w:szCs w:val="10"/>
          <w:u w:val="single" w:color="auto"/>
          <w:color w:val="auto"/>
        </w:rPr>
        <w:t>subsection (a)</w:t>
      </w:r>
      <w:r>
        <w:rPr>
          <w:rFonts w:ascii="Arial" w:cs="Arial" w:eastAsia="Arial" w:hAnsi="Arial"/>
          <w:sz w:val="10"/>
          <w:szCs w:val="10"/>
          <w:i w:val="1"/>
          <w:iCs w:val="1"/>
          <w:color w:val="auto"/>
        </w:rPr>
        <w:t xml:space="preserve"> </w:t>
      </w:r>
      <w:r>
        <w:rPr>
          <w:rFonts w:ascii="Arial" w:cs="Arial" w:eastAsia="Arial" w:hAnsi="Arial"/>
          <w:sz w:val="10"/>
          <w:szCs w:val="10"/>
          <w:color w:val="auto"/>
        </w:rPr>
        <w:t>or</w:t>
      </w:r>
      <w:r>
        <w:rPr>
          <w:rFonts w:ascii="Arial" w:cs="Arial" w:eastAsia="Arial" w:hAnsi="Arial"/>
          <w:sz w:val="10"/>
          <w:szCs w:val="10"/>
          <w:i w:val="1"/>
          <w:iCs w:val="1"/>
          <w:color w:val="auto"/>
        </w:rPr>
        <w:t xml:space="preserve"> </w:t>
      </w:r>
      <w:r>
        <w:rPr>
          <w:rFonts w:ascii="Arial" w:cs="Arial" w:eastAsia="Arial" w:hAnsi="Arial"/>
          <w:sz w:val="10"/>
          <w:szCs w:val="10"/>
          <w:u w:val="single" w:color="auto"/>
          <w:color w:val="auto"/>
        </w:rPr>
        <w:t>subsection (b)</w:t>
      </w:r>
      <w:r>
        <w:rPr>
          <w:rFonts w:ascii="Arial" w:cs="Arial" w:eastAsia="Arial" w:hAnsi="Arial"/>
          <w:sz w:val="10"/>
          <w:szCs w:val="10"/>
          <w:i w:val="1"/>
          <w:iCs w:val="1"/>
          <w:color w:val="auto"/>
        </w:rPr>
        <w:t xml:space="preserve"> </w:t>
      </w:r>
      <w:r>
        <w:rPr>
          <w:rFonts w:ascii="Arial" w:cs="Arial" w:eastAsia="Arial" w:hAnsi="Arial"/>
          <w:sz w:val="10"/>
          <w:szCs w:val="10"/>
          <w:color w:val="auto"/>
        </w:rPr>
        <w:t>of this</w:t>
      </w:r>
      <w:r>
        <w:rPr>
          <w:rFonts w:ascii="Arial" w:cs="Arial" w:eastAsia="Arial" w:hAnsi="Arial"/>
          <w:sz w:val="10"/>
          <w:szCs w:val="10"/>
          <w:i w:val="1"/>
          <w:iCs w:val="1"/>
          <w:color w:val="auto"/>
        </w:rPr>
        <w:t xml:space="preserve"> </w:t>
      </w:r>
      <w:r>
        <w:rPr>
          <w:rFonts w:ascii="Arial" w:cs="Arial" w:eastAsia="Arial" w:hAnsi="Arial"/>
          <w:sz w:val="10"/>
          <w:szCs w:val="10"/>
          <w:u w:val="single" w:color="auto"/>
          <w:color w:val="auto"/>
        </w:rPr>
        <w:t>Section 6</w:t>
      </w:r>
      <w:r>
        <w:rPr>
          <w:rFonts w:ascii="Arial" w:cs="Arial" w:eastAsia="Arial" w:hAnsi="Arial"/>
          <w:sz w:val="10"/>
          <w:szCs w:val="10"/>
          <w:i w:val="1"/>
          <w:iCs w:val="1"/>
          <w:color w:val="auto"/>
        </w:rPr>
        <w:t xml:space="preserve"> </w:t>
      </w:r>
      <w:r>
        <w:rPr>
          <w:rFonts w:ascii="Arial" w:cs="Arial" w:eastAsia="Arial" w:hAnsi="Arial"/>
          <w:sz w:val="10"/>
          <w:szCs w:val="10"/>
          <w:color w:val="auto"/>
        </w:rPr>
        <w:t>or insufficient to hold an indemnified party harmless in respect</w:t>
      </w:r>
      <w:r>
        <w:rPr>
          <w:rFonts w:ascii="Arial" w:cs="Arial" w:eastAsia="Arial" w:hAnsi="Arial"/>
          <w:sz w:val="10"/>
          <w:szCs w:val="10"/>
          <w:i w:val="1"/>
          <w:iCs w:val="1"/>
          <w:color w:val="auto"/>
        </w:rPr>
        <w:t xml:space="preserve"> </w:t>
      </w:r>
      <w:r>
        <w:rPr>
          <w:rFonts w:ascii="Arial" w:cs="Arial" w:eastAsia="Arial" w:hAnsi="Arial"/>
          <w:sz w:val="10"/>
          <w:szCs w:val="10"/>
          <w:color w:val="auto"/>
        </w:rPr>
        <w:t>of any losses, claims, damages, liabilities or expenses referred to therein, then each applicable indemnifying party, in lieu of indemnifying such indemnified party, shall contribute to the amount paid or payable by such indemnified party as a result of the losses, claims, damages, liabilities or expenses referred to in s</w:t>
      </w:r>
      <w:r>
        <w:rPr>
          <w:rFonts w:ascii="Arial" w:cs="Arial" w:eastAsia="Arial" w:hAnsi="Arial"/>
          <w:sz w:val="10"/>
          <w:szCs w:val="10"/>
          <w:u w:val="single" w:color="auto"/>
          <w:color w:val="auto"/>
        </w:rPr>
        <w:t>ubsection (a)</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subsection (b)</w:t>
      </w:r>
      <w:r>
        <w:rPr>
          <w:rFonts w:ascii="Arial" w:cs="Arial" w:eastAsia="Arial" w:hAnsi="Arial"/>
          <w:sz w:val="10"/>
          <w:szCs w:val="10"/>
          <w:color w:val="auto"/>
        </w:rPr>
        <w:t xml:space="preserve"> above, (i) in such proportion as is appropriate to reflect the relative benefits received by the Company on the one hand and the Placement Agent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indemnifying party or parties on the one hand and the indemnified party or parties on the other hand in connection with the statements or omissions that resulted in such losses, claims, damages, liabilities or expenses, as well as any other relevant equitable considerations. The relative benefits received by the Company on the one hand and the Placement Agent on the other hand shall be deemed to be in the same respective proportions as the total net proceeds from the offering of the Securities (before deducting expenses) received by the Company and the total Placement Fee received by the Placement Agent, in each case as set forth on the cover of the Prospectus, bear to the aggregate public offering price of the Securities. The relative fault of the Company on the one hand and the Placement Agent on the other hand shall be determined by reference to, among other things, whether the untrue or alleged untrue statement of a material fact or the omission or alleged omission to state a material fact relates to information supplied by the Company, on the one hand, or by the Placement Agent, on the other hand, and the parties’ relevant intent, knowledge, access to information and opportunity to correct or prevent such untrue statement or omission. The Company and the Placement Agent agree that it would not be just and equitable if contribution pursuant to this </w:t>
      </w:r>
      <w:r>
        <w:rPr>
          <w:rFonts w:ascii="Arial" w:cs="Arial" w:eastAsia="Arial" w:hAnsi="Arial"/>
          <w:sz w:val="10"/>
          <w:szCs w:val="10"/>
          <w:u w:val="single" w:color="auto"/>
          <w:color w:val="auto"/>
        </w:rPr>
        <w:t>subsection (d)</w:t>
      </w:r>
      <w:r>
        <w:rPr>
          <w:rFonts w:ascii="Arial" w:cs="Arial" w:eastAsia="Arial" w:hAnsi="Arial"/>
          <w:sz w:val="10"/>
          <w:szCs w:val="10"/>
          <w:color w:val="auto"/>
        </w:rPr>
        <w:t xml:space="preserve"> were to be determined by pro rata allocation or by any other method of allocation which does not take account of the equitable considerations referred to in the first sentence of this </w:t>
      </w:r>
      <w:r>
        <w:rPr>
          <w:rFonts w:ascii="Arial" w:cs="Arial" w:eastAsia="Arial" w:hAnsi="Arial"/>
          <w:sz w:val="10"/>
          <w:szCs w:val="10"/>
          <w:u w:val="single" w:color="auto"/>
          <w:color w:val="auto"/>
        </w:rPr>
        <w:t>Section 6(c)</w:t>
      </w:r>
      <w:r>
        <w:rPr>
          <w:rFonts w:ascii="Arial" w:cs="Arial" w:eastAsia="Arial" w:hAnsi="Arial"/>
          <w:sz w:val="10"/>
          <w:szCs w:val="10"/>
          <w:color w:val="auto"/>
        </w:rPr>
        <w:t xml:space="preserve">. The amount paid or payable by an indemnified party as a result of the losses, claims, damages or liabilities referred to in the first sentence of this </w:t>
      </w:r>
      <w:r>
        <w:rPr>
          <w:rFonts w:ascii="Arial" w:cs="Arial" w:eastAsia="Arial" w:hAnsi="Arial"/>
          <w:sz w:val="10"/>
          <w:szCs w:val="10"/>
          <w:u w:val="single" w:color="auto"/>
          <w:color w:val="auto"/>
        </w:rPr>
        <w:t>Section 6(c)</w:t>
      </w:r>
      <w:r>
        <w:rPr>
          <w:rFonts w:ascii="Arial" w:cs="Arial" w:eastAsia="Arial" w:hAnsi="Arial"/>
          <w:sz w:val="10"/>
          <w:szCs w:val="10"/>
          <w:color w:val="auto"/>
        </w:rPr>
        <w:t xml:space="preserve"> shall be deemed to include any legal or other expenses reasonably incurred by such indemnified party in connection with investigating or defending against any action or claim which is the subject of this </w:t>
      </w:r>
      <w:r>
        <w:rPr>
          <w:rFonts w:ascii="Arial" w:cs="Arial" w:eastAsia="Arial" w:hAnsi="Arial"/>
          <w:sz w:val="10"/>
          <w:szCs w:val="10"/>
          <w:u w:val="single" w:color="auto"/>
          <w:color w:val="auto"/>
        </w:rPr>
        <w:t>Section 6(c)</w:t>
      </w:r>
      <w:r>
        <w:rPr>
          <w:rFonts w:ascii="Arial" w:cs="Arial" w:eastAsia="Arial" w:hAnsi="Arial"/>
          <w:sz w:val="10"/>
          <w:szCs w:val="10"/>
          <w:color w:val="auto"/>
        </w:rPr>
        <w:t>. No person guilty of fraudulent misrepresentation (within the meaning of Section 11(f) of the Securities Act) shall be entitled to contribution from any person who was not guilty of such fraudulent misrepresentation. Notwithstanding anything to the contrary herein, in no event shall the Company contribute less than the amount necessary to assure that the Placement Agent is not liable for losses, claims, damages, liabilities and expenses in excess of the amount of fees actually received by the Placement Agent under this Agreement.</w:t>
      </w:r>
    </w:p>
    <w:p>
      <w:pPr>
        <w:spacing w:after="0" w:line="271" w:lineRule="exact"/>
        <w:rPr>
          <w:rFonts w:ascii="Arial" w:cs="Arial" w:eastAsia="Arial" w:hAnsi="Arial"/>
          <w:sz w:val="10"/>
          <w:szCs w:val="10"/>
          <w:color w:val="auto"/>
        </w:rPr>
      </w:pPr>
    </w:p>
    <w:p>
      <w:pPr>
        <w:jc w:val="both"/>
        <w:ind w:left="100" w:firstLine="432"/>
        <w:spacing w:after="0" w:line="277" w:lineRule="auto"/>
        <w:tabs>
          <w:tab w:leader="none" w:pos="711" w:val="left"/>
        </w:tabs>
        <w:numPr>
          <w:ilvl w:val="1"/>
          <w:numId w:val="112"/>
        </w:numPr>
        <w:rPr>
          <w:rFonts w:ascii="Arial" w:cs="Arial" w:eastAsia="Arial" w:hAnsi="Arial"/>
          <w:sz w:val="11"/>
          <w:szCs w:val="11"/>
          <w:color w:val="auto"/>
        </w:rPr>
      </w:pPr>
      <w:r>
        <w:rPr>
          <w:rFonts w:ascii="Arial" w:cs="Arial" w:eastAsia="Arial" w:hAnsi="Arial"/>
          <w:sz w:val="11"/>
          <w:szCs w:val="11"/>
          <w:i w:val="1"/>
          <w:iCs w:val="1"/>
          <w:color w:val="auto"/>
        </w:rPr>
        <w:t>Representations and Agreements to Survive Delivery</w:t>
      </w:r>
      <w:r>
        <w:rPr>
          <w:rFonts w:ascii="Arial" w:cs="Arial" w:eastAsia="Arial" w:hAnsi="Arial"/>
          <w:sz w:val="11"/>
          <w:szCs w:val="11"/>
          <w:color w:val="auto"/>
        </w:rPr>
        <w:t>. The obligations of the Company under this</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Section 6</w:t>
      </w:r>
      <w:r>
        <w:rPr>
          <w:rFonts w:ascii="Arial" w:cs="Arial" w:eastAsia="Arial" w:hAnsi="Arial"/>
          <w:sz w:val="11"/>
          <w:szCs w:val="11"/>
          <w:i w:val="1"/>
          <w:iCs w:val="1"/>
          <w:color w:val="auto"/>
        </w:rPr>
        <w:t xml:space="preserve"> </w:t>
      </w:r>
      <w:r>
        <w:rPr>
          <w:rFonts w:ascii="Arial" w:cs="Arial" w:eastAsia="Arial" w:hAnsi="Arial"/>
          <w:sz w:val="11"/>
          <w:szCs w:val="11"/>
          <w:color w:val="auto"/>
        </w:rPr>
        <w:t>shall be in addition to any liability which the Company may otherwise have. The indemnity and contribution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agreements of the parties contained in this </w:t>
      </w:r>
      <w:r>
        <w:rPr>
          <w:rFonts w:ascii="Arial" w:cs="Arial" w:eastAsia="Arial" w:hAnsi="Arial"/>
          <w:sz w:val="11"/>
          <w:szCs w:val="11"/>
          <w:u w:val="single" w:color="auto"/>
          <w:color w:val="auto"/>
        </w:rPr>
        <w:t>Section 6</w:t>
      </w:r>
      <w:r>
        <w:rPr>
          <w:rFonts w:ascii="Arial" w:cs="Arial" w:eastAsia="Arial" w:hAnsi="Arial"/>
          <w:sz w:val="11"/>
          <w:szCs w:val="11"/>
          <w:color w:val="auto"/>
        </w:rPr>
        <w:t xml:space="preserve"> and the covenants, warranties and representations of the Company contained in this Agreement shall remain operative and in full force and effect regardless of (i) any termination of this Agreement, (ii) any investigation made by or on behalf of the Placement Agent, any person who controls the Placement Agent within the meaning of either Section 15 of the Securities Act or Section 20 of the Exchange Act or any affiliate of the Placement Agent, or by or on behalf of the Company, its directors or officers or any person who controls the Company within the meaning of either Section 15 of the Securities Act or Section 20 of the Exchange Act, and</w:t>
      </w:r>
    </w:p>
    <w:p>
      <w:pPr>
        <w:spacing w:after="0" w:line="1" w:lineRule="exact"/>
        <w:rPr>
          <w:rFonts w:ascii="Arial" w:cs="Arial" w:eastAsia="Arial" w:hAnsi="Arial"/>
          <w:sz w:val="11"/>
          <w:szCs w:val="11"/>
          <w:color w:val="auto"/>
        </w:rPr>
      </w:pPr>
    </w:p>
    <w:p>
      <w:pPr>
        <w:ind w:left="100"/>
        <w:spacing w:after="0" w:line="261" w:lineRule="auto"/>
        <w:tabs>
          <w:tab w:leader="none" w:pos="323"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issuance and delivery of the Securities. The Company and the Placement Agent agree promptly to notify each other of the commencement of any Proceeding against it and, in the case of the Company, against any of the Company’s officers or directors in connection with the issuance and sale of the Securities, or in connection with the Registration Statement, the Disclosure Package or the Prospectus.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7. Information Furnished by Placement Agent</w:t>
      </w:r>
    </w:p>
    <w:p>
      <w:pPr>
        <w:spacing w:after="0" w:line="172"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Company acknowledges that the statements set forth in the ninth paragraph under the heading “Plan of Distribution” in the Prospectus (the “</w:t>
      </w:r>
      <w:r>
        <w:rPr>
          <w:rFonts w:ascii="Arial" w:cs="Arial" w:eastAsia="Arial" w:hAnsi="Arial"/>
          <w:sz w:val="12"/>
          <w:szCs w:val="12"/>
          <w:i w:val="1"/>
          <w:iCs w:val="1"/>
          <w:color w:val="auto"/>
        </w:rPr>
        <w:t>Placement Agent Information</w:t>
      </w:r>
      <w:r>
        <w:rPr>
          <w:rFonts w:ascii="Arial" w:cs="Arial" w:eastAsia="Arial" w:hAnsi="Arial"/>
          <w:sz w:val="12"/>
          <w:szCs w:val="12"/>
          <w:color w:val="auto"/>
        </w:rPr>
        <w:t xml:space="preserve">”) constitute the only information relating to the Placement Agent furnished in writing to the Company by the Placement Agent as such information is referred to in </w:t>
      </w:r>
      <w:r>
        <w:rPr>
          <w:rFonts w:ascii="Arial" w:cs="Arial" w:eastAsia="Arial" w:hAnsi="Arial"/>
          <w:sz w:val="12"/>
          <w:szCs w:val="12"/>
          <w:u w:val="single" w:color="auto"/>
          <w:color w:val="auto"/>
        </w:rPr>
        <w:t>Sections 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6</w:t>
      </w:r>
      <w:r>
        <w:rPr>
          <w:rFonts w:ascii="Arial" w:cs="Arial" w:eastAsia="Arial" w:hAnsi="Arial"/>
          <w:sz w:val="12"/>
          <w:szCs w:val="12"/>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361315</wp:posOffset>
            </wp:positionV>
            <wp:extent cx="7299325" cy="18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4" w:right="199" w:bottom="1440" w:gutter="0" w:footer="0" w:header="0"/>
        </w:sectPr>
      </w:pPr>
    </w:p>
    <w:bookmarkStart w:id="203" w:name="page204"/>
    <w:bookmarkEnd w:id="203"/>
    <w:p>
      <w:pPr>
        <w:spacing w:after="0"/>
        <w:rPr>
          <w:sz w:val="20"/>
          <w:szCs w:val="20"/>
          <w:color w:val="auto"/>
        </w:rPr>
      </w:pPr>
      <w:r>
        <w:rPr>
          <w:rFonts w:ascii="Arial" w:cs="Arial" w:eastAsia="Arial" w:hAnsi="Arial"/>
          <w:sz w:val="12"/>
          <w:szCs w:val="12"/>
          <w:b w:val="1"/>
          <w:bCs w:val="1"/>
          <w:color w:val="auto"/>
        </w:rPr>
        <w:t>Section 8. Termination</w:t>
      </w:r>
      <w:r>
        <w:rPr>
          <w:rFonts w:ascii="Arial" w:cs="Arial" w:eastAsia="Arial" w:hAnsi="Arial"/>
          <w:sz w:val="12"/>
          <w:szCs w:val="12"/>
          <w:i w:val="1"/>
          <w:iCs w:val="1"/>
          <w:color w:val="auto"/>
        </w:rPr>
        <w:t>.</w:t>
      </w:r>
    </w:p>
    <w:p>
      <w:pPr>
        <w:spacing w:after="0" w:line="190" w:lineRule="exact"/>
        <w:rPr>
          <w:sz w:val="20"/>
          <w:szCs w:val="20"/>
          <w:color w:val="auto"/>
        </w:rPr>
      </w:pPr>
    </w:p>
    <w:p>
      <w:pPr>
        <w:ind w:firstLine="424"/>
        <w:spacing w:after="0" w:line="276" w:lineRule="auto"/>
        <w:tabs>
          <w:tab w:leader="none" w:pos="71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This Agreement shall remain in effect until [___], 2014, unless extended in writing by the Company and Placement Agent. A “Tail Period” shall extend for twelve (12) months from the earlier of the final closing of the Offering or termination of this Agreement. The provisions of this Agreement intended to survive the termination hereof shall survive the termination of this Agreement for any reason.</w:t>
      </w:r>
    </w:p>
    <w:p>
      <w:pPr>
        <w:spacing w:after="0" w:line="150" w:lineRule="exact"/>
        <w:rPr>
          <w:rFonts w:ascii="Arial" w:cs="Arial" w:eastAsia="Arial" w:hAnsi="Arial"/>
          <w:sz w:val="12"/>
          <w:szCs w:val="12"/>
          <w:color w:val="auto"/>
        </w:rPr>
      </w:pPr>
    </w:p>
    <w:p>
      <w:pPr>
        <w:jc w:val="both"/>
        <w:ind w:firstLine="424"/>
        <w:spacing w:after="0" w:line="279" w:lineRule="auto"/>
        <w:tabs>
          <w:tab w:leader="none" w:pos="725" w:val="left"/>
        </w:tabs>
        <w:numPr>
          <w:ilvl w:val="0"/>
          <w:numId w:val="114"/>
        </w:numPr>
        <w:rPr>
          <w:rFonts w:ascii="Arial" w:cs="Arial" w:eastAsia="Arial" w:hAnsi="Arial"/>
          <w:sz w:val="11"/>
          <w:szCs w:val="11"/>
          <w:color w:val="auto"/>
        </w:rPr>
      </w:pPr>
      <w:r>
        <w:rPr>
          <w:rFonts w:ascii="Arial" w:cs="Arial" w:eastAsia="Arial" w:hAnsi="Arial"/>
          <w:sz w:val="11"/>
          <w:szCs w:val="11"/>
          <w:color w:val="auto"/>
        </w:rPr>
        <w:t xml:space="preserve">The Placement Agent shall have the right to terminate this Agreement by giving notice as hereinafter specified at any time at or prior to the any Closing Date, without liability on the part of the Placement Agent to the Company, if (i) prior to delivery and payment for the Securities (A) trading in the shares of Common Stock shall have been suspended or materially limited on any exchange or in the over-the-counter market, (B) a general moratorium on commercial banking activities shall have been declared by federal or New York state authorities, (C) there shall have occurred any outbreak or material escalation of hostilities or acts of terrorism involving the United States or there shall have been a declaration by the United States of a national emergency or war, (D) there shall have occurred any other calamity or crisis or any material change in general economic, political or financial conditions in the United States or elsewhere, if the effect of any such event specified in clause (C) or (D), in the reasonable judgment of the Placement Agent, makes it impractical or inadvisable to proceed with the completion of the sale of and payment for the Securities on such Closing Date on the terms and in the manner contemplated by this Agreement and the Disclosure Documents, or (ii) since the time of execution of this Agreement or the earlier respective dates as of which information is given in the Disclosure Documents, there has been (A) any Material Adverse Effect or (B) the Company shall have sustained a loss by strike, fire, flood, earthquake, accident or other calamity of such character that in the reasonable judgment of the Placement Agent would, individually or in the aggregate, result in a Material Adverse Effect and which would, in the judgment of the Placement Agent, make it impracticable or inadvisable to proceed with the offering or the delivery of the Securities on the terms and in the manner contemplated in the Disclosure Documents. Any such termination shall be without liability of any party to any other party except that the provisions of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8(b)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11</w:t>
      </w:r>
      <w:r>
        <w:rPr>
          <w:rFonts w:ascii="Arial" w:cs="Arial" w:eastAsia="Arial" w:hAnsi="Arial"/>
          <w:sz w:val="11"/>
          <w:szCs w:val="11"/>
          <w:color w:val="auto"/>
        </w:rPr>
        <w:t xml:space="preserve"> hereof shall at all times be effective notwithstanding such termination.</w:t>
      </w:r>
    </w:p>
    <w:p>
      <w:pPr>
        <w:spacing w:after="0" w:line="132" w:lineRule="exact"/>
        <w:rPr>
          <w:rFonts w:ascii="Arial" w:cs="Arial" w:eastAsia="Arial" w:hAnsi="Arial"/>
          <w:sz w:val="11"/>
          <w:szCs w:val="11"/>
          <w:color w:val="auto"/>
        </w:rPr>
      </w:pPr>
    </w:p>
    <w:p>
      <w:pPr>
        <w:jc w:val="both"/>
        <w:ind w:right="20" w:firstLine="424"/>
        <w:spacing w:after="0" w:line="263" w:lineRule="auto"/>
        <w:tabs>
          <w:tab w:leader="none" w:pos="945" w:val="left"/>
        </w:tabs>
        <w:numPr>
          <w:ilvl w:val="0"/>
          <w:numId w:val="114"/>
        </w:numPr>
        <w:rPr>
          <w:rFonts w:ascii="Arial" w:cs="Arial" w:eastAsia="Arial" w:hAnsi="Arial"/>
          <w:sz w:val="12"/>
          <w:szCs w:val="12"/>
          <w:color w:val="auto"/>
        </w:rPr>
      </w:pPr>
      <w:r>
        <w:rPr>
          <w:rFonts w:ascii="Arial" w:cs="Arial" w:eastAsia="Arial" w:hAnsi="Arial"/>
          <w:sz w:val="12"/>
          <w:szCs w:val="12"/>
          <w:color w:val="auto"/>
        </w:rPr>
        <w:t xml:space="preserve">If (1) this Agreement shall be terminated by the Placement Agent pursuant to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8(a)(i)(B)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8(a)(ii)(A)</w:t>
      </w:r>
      <w:r>
        <w:rPr>
          <w:rFonts w:ascii="Arial" w:cs="Arial" w:eastAsia="Arial" w:hAnsi="Arial"/>
          <w:sz w:val="12"/>
          <w:szCs w:val="12"/>
          <w:color w:val="auto"/>
        </w:rPr>
        <w:t xml:space="preserve"> or (2) the sale of the Securities to Investors is not consummated because of any failure, refusal or inability on the part of the Company to comply with the terms or perform any agreement or obligation of this Agreement or any Subscription Agreement, other than by reason of a default by the Placement Agent or any Investor, the Company will pay the amounts described in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hereof.</w:t>
      </w:r>
    </w:p>
    <w:p>
      <w:pPr>
        <w:spacing w:after="0" w:line="140" w:lineRule="exact"/>
        <w:rPr>
          <w:rFonts w:ascii="Arial" w:cs="Arial" w:eastAsia="Arial" w:hAnsi="Arial"/>
          <w:sz w:val="12"/>
          <w:szCs w:val="12"/>
          <w:color w:val="auto"/>
        </w:rPr>
      </w:pPr>
    </w:p>
    <w:p>
      <w:pPr>
        <w:jc w:val="both"/>
        <w:ind w:firstLine="424"/>
        <w:spacing w:after="0" w:line="298" w:lineRule="auto"/>
        <w:tabs>
          <w:tab w:leader="none" w:pos="951" w:val="left"/>
        </w:tabs>
        <w:numPr>
          <w:ilvl w:val="0"/>
          <w:numId w:val="114"/>
        </w:numPr>
        <w:rPr>
          <w:rFonts w:ascii="Arial" w:cs="Arial" w:eastAsia="Arial" w:hAnsi="Arial"/>
          <w:sz w:val="11"/>
          <w:szCs w:val="11"/>
          <w:color w:val="auto"/>
        </w:rPr>
      </w:pPr>
      <w:r>
        <w:rPr>
          <w:rFonts w:ascii="Arial" w:cs="Arial" w:eastAsia="Arial" w:hAnsi="Arial"/>
          <w:sz w:val="11"/>
          <w:szCs w:val="11"/>
          <w:color w:val="auto"/>
        </w:rPr>
        <w:t xml:space="preserve">The Company may terminate this Agreement in the event all of the following occur: (i) a Closing has not occurred on or before September 30, 2014; (ii) all of the conditions to the Closing have been satisfied on such Closing Date, other than those conditions relating to actions to be taken at the Closing by Investors; and (iii) all of the conditions to the Placement Agent’s obligations contained in Section 5 hereof have been satisfied on such Closing Date. Any such termination shall be without liability of any party to any other party except that the provisions of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8(b)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11</w:t>
      </w:r>
      <w:r>
        <w:rPr>
          <w:rFonts w:ascii="Arial" w:cs="Arial" w:eastAsia="Arial" w:hAnsi="Arial"/>
          <w:sz w:val="11"/>
          <w:szCs w:val="11"/>
          <w:color w:val="auto"/>
        </w:rPr>
        <w:t xml:space="preserve"> hereof shall at all times be effective notwithstanding such termination.</w:t>
      </w:r>
    </w:p>
    <w:p>
      <w:pPr>
        <w:spacing w:after="0" w:line="123" w:lineRule="exact"/>
        <w:rPr>
          <w:rFonts w:ascii="Arial" w:cs="Arial" w:eastAsia="Arial" w:hAnsi="Arial"/>
          <w:sz w:val="11"/>
          <w:szCs w:val="11"/>
          <w:color w:val="auto"/>
        </w:rPr>
      </w:pPr>
    </w:p>
    <w:p>
      <w:pPr>
        <w:jc w:val="both"/>
        <w:ind w:firstLine="424"/>
        <w:spacing w:after="0" w:line="255" w:lineRule="auto"/>
        <w:tabs>
          <w:tab w:leader="none" w:pos="898" w:val="left"/>
        </w:tabs>
        <w:numPr>
          <w:ilvl w:val="0"/>
          <w:numId w:val="114"/>
        </w:numPr>
        <w:rPr>
          <w:rFonts w:ascii="Arial" w:cs="Arial" w:eastAsia="Arial" w:hAnsi="Arial"/>
          <w:sz w:val="12"/>
          <w:szCs w:val="12"/>
          <w:color w:val="auto"/>
        </w:rPr>
      </w:pPr>
      <w:r>
        <w:rPr>
          <w:rFonts w:ascii="Arial" w:cs="Arial" w:eastAsia="Arial" w:hAnsi="Arial"/>
          <w:sz w:val="12"/>
          <w:szCs w:val="12"/>
          <w:color w:val="auto"/>
        </w:rPr>
        <w:t>Notwithstanding any termination or expiration of this Agreement pursuant to the terms hereof or otherwise, if on or before the twelve (12) month anniversary of such termination or expiration the Company completes any private financing of equity, equity-linked or debt or other capital raising activity of the Company (other than the Autilion Transaction and exercise by any person or entity of any options, warrants or other convertible securities other than the Warrants issued pursuant to this Agreement) (i) with any of the Investors who were Introduced to the Company in connection with the financing contemplated hereby by the Placement Agent or (ii) as a result of the use by the Company of materials or other work product prepared by the Placement Agent in connection with the Offering, the Company shall pay to the Placement Agent, at the closing of any such offering or financing, the fees described in, and in accordance with the terms and provisions of, Section 1(a) above. For purposes of this Section 8(e), “Introduced” shall mean any e-mail correspondence, in-person meetings or any other form of direct contact involving both the Company and the Placement Agent, including telephonic communications with respect to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370205</wp:posOffset>
            </wp:positionV>
            <wp:extent cx="7299325" cy="18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04" w:name="page205"/>
    <w:bookmarkEnd w:id="204"/>
    <w:p>
      <w:pPr>
        <w:spacing w:after="0"/>
        <w:rPr>
          <w:sz w:val="20"/>
          <w:szCs w:val="20"/>
          <w:color w:val="auto"/>
        </w:rPr>
      </w:pPr>
      <w:r>
        <w:rPr>
          <w:rFonts w:ascii="Arial" w:cs="Arial" w:eastAsia="Arial" w:hAnsi="Arial"/>
          <w:sz w:val="12"/>
          <w:szCs w:val="12"/>
          <w:b w:val="1"/>
          <w:bCs w:val="1"/>
          <w:color w:val="auto"/>
        </w:rPr>
        <w:t xml:space="preserve">Section 9. </w:t>
      </w:r>
      <w:r>
        <w:rPr>
          <w:rFonts w:ascii="Arial" w:cs="Arial" w:eastAsia="Arial" w:hAnsi="Arial"/>
          <w:sz w:val="12"/>
          <w:szCs w:val="12"/>
          <w:color w:val="auto"/>
        </w:rPr>
        <w:t>Notices</w:t>
      </w:r>
      <w:r>
        <w:rPr>
          <w:rFonts w:ascii="Arial" w:cs="Arial" w:eastAsia="Arial" w:hAnsi="Arial"/>
          <w:sz w:val="12"/>
          <w:szCs w:val="12"/>
          <w:i w:val="1"/>
          <w:iCs w:val="1"/>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All statements, requests, notices and agreements hereunder shall be in writing or by facsimile, and:</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if to the Placement Agent, shall be delivered or sent by mail, telex or facsimile transmission to:</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Geller Biopharm</w:t>
      </w:r>
    </w:p>
    <w:p>
      <w:pPr>
        <w:ind w:left="420"/>
        <w:spacing w:after="0" w:line="209" w:lineRule="auto"/>
        <w:rPr>
          <w:sz w:val="20"/>
          <w:szCs w:val="20"/>
          <w:color w:val="auto"/>
        </w:rPr>
      </w:pPr>
      <w:r>
        <w:rPr>
          <w:rFonts w:ascii="Arial" w:cs="Arial" w:eastAsia="Arial" w:hAnsi="Arial"/>
          <w:sz w:val="12"/>
          <w:szCs w:val="12"/>
          <w:color w:val="auto"/>
        </w:rPr>
        <w:t>140 West 57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Street, Suite 14B</w:t>
      </w:r>
    </w:p>
    <w:p>
      <w:pPr>
        <w:ind w:left="420"/>
        <w:spacing w:after="0"/>
        <w:rPr>
          <w:sz w:val="20"/>
          <w:szCs w:val="20"/>
          <w:color w:val="auto"/>
        </w:rPr>
      </w:pPr>
      <w:r>
        <w:rPr>
          <w:rFonts w:ascii="Arial" w:cs="Arial" w:eastAsia="Arial" w:hAnsi="Arial"/>
          <w:sz w:val="12"/>
          <w:szCs w:val="12"/>
          <w:color w:val="auto"/>
        </w:rPr>
        <w:t>New York, NY 10019</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Attn: Matthew Geller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Fax No.:</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with a copy (which shall not constitute notice) to:</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Sichenzia Ross Friedman Ference LLP</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61 Broadway, 32nd Floor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New York, New York 10006</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Attn: Harvey J. Kesner, Esq.</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Fax No.: (212) 930-9725</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 if to the Company shall be delivered or sent by mail, telex or facsimile transmission to:</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VistaGen Therapeutics, Inc.</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343 Allerton Avenue</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South San Francisco, CA 94080</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Attention: Chief Executive Officer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Fax No: 888-482-2602</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with a copy (which shall not constitute notice) to:</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Disclosure Law Group</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One American Plaza, Ste. 700</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San Diego, CA 92101</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Attention: Daniel Rumsey, Esq.</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Fax No: 619-330-2101</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Any such notice shall be effective only upon receipt. Any party to this Agreement may change such address for notices by sending to the parties to this Agreement written notice of a new address for such purpose.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10. Persons Entitled to Benefit of Agreement</w:t>
      </w:r>
      <w:r>
        <w:rPr>
          <w:rFonts w:ascii="Arial" w:cs="Arial" w:eastAsia="Arial" w:hAnsi="Arial"/>
          <w:sz w:val="12"/>
          <w:szCs w:val="12"/>
          <w:color w:val="auto"/>
        </w:rPr>
        <w:t>.</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This Agreement shall inure to the benefit of and shall be binding upon the Placement Agent, the Company and their respective successors and assigns and the controlling persons, officers and directors referred to in </w:t>
      </w:r>
      <w:r>
        <w:rPr>
          <w:rFonts w:ascii="Arial" w:cs="Arial" w:eastAsia="Arial" w:hAnsi="Arial"/>
          <w:sz w:val="11"/>
          <w:szCs w:val="11"/>
          <w:u w:val="single" w:color="auto"/>
          <w:color w:val="auto"/>
        </w:rPr>
        <w:t>Section 6</w:t>
      </w:r>
      <w:r>
        <w:rPr>
          <w:rFonts w:ascii="Arial" w:cs="Arial" w:eastAsia="Arial" w:hAnsi="Arial"/>
          <w:sz w:val="11"/>
          <w:szCs w:val="11"/>
          <w:color w:val="auto"/>
        </w:rPr>
        <w:t>. Nothing in this Agreement is intended or shall be construed to give to any other person, firm or corporation, other than the persons, firms or corporations mentioned in the preceding sentence, any legal or equitable remedy or claim under or in respect of this Agreement, or any provision herein contained. The term “successors and assigns” as herein used shall not include any purchaser of the Securities by reason merely of such purchase.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11. Governing Law</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Agreement shall be governed by and construed in accordance with the laws of the State of New York without giving effect to the conflicts of laws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383540</wp:posOffset>
            </wp:positionV>
            <wp:extent cx="7299325" cy="18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05" w:name="page206"/>
    <w:bookmarkEnd w:id="205"/>
    <w:p>
      <w:pPr>
        <w:spacing w:after="0"/>
        <w:rPr>
          <w:sz w:val="20"/>
          <w:szCs w:val="20"/>
          <w:color w:val="auto"/>
        </w:rPr>
      </w:pPr>
      <w:r>
        <w:rPr>
          <w:rFonts w:ascii="Arial" w:cs="Arial" w:eastAsia="Arial" w:hAnsi="Arial"/>
          <w:sz w:val="12"/>
          <w:szCs w:val="12"/>
          <w:b w:val="1"/>
          <w:bCs w:val="1"/>
          <w:color w:val="auto"/>
        </w:rPr>
        <w:t>Section 12. No Fiduciary Relationship</w:t>
      </w:r>
      <w:r>
        <w:rPr>
          <w:rFonts w:ascii="Arial" w:cs="Arial" w:eastAsia="Arial" w:hAnsi="Arial"/>
          <w:sz w:val="12"/>
          <w:szCs w:val="12"/>
          <w:color w:val="auto"/>
        </w:rPr>
        <w:t>.</w:t>
      </w:r>
    </w:p>
    <w:p>
      <w:pPr>
        <w:spacing w:after="0" w:line="172"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The Company hereby acknowledges that the Placement Agent is acting solely as a placement agent in connection with the offering of the Company’s securities. The Company further acknowledges that the Placement Agent is acting pursuant to a contractual relationship created solely by this Agreement entered into on an arm’s length basis and in no event do the parties intend that the Placement Agent act or be responsible as a fiduciary to the Company, its management, stockholders, creditors or any other person in connection with any activity that the Placement Agent may undertake or have undertaken in furtherance of the offering of the Company’s securities, either before or after the date hereof. The Placement Agent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Placement Agent agree that they are each responsible for making their own independent judgments with respect to any such transactions, and that any opinions or views expressed by the Placement Agent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Placement Agent with respect to any breach or alleged breach of any fiduciary or similar duty to the Company in connection with the transactions contemplated by this Agreement or any matters leading up to such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13. Headings.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Section headings in this Agreement have been inserted as a matter of convenience of reference and are not a part of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14. Amendments and Waivers</w:t>
      </w:r>
      <w:r>
        <w:rPr>
          <w:rFonts w:ascii="Arial" w:cs="Arial" w:eastAsia="Arial" w:hAnsi="Arial"/>
          <w:sz w:val="12"/>
          <w:szCs w:val="12"/>
          <w:color w:val="auto"/>
        </w:rPr>
        <w:t>.</w:t>
      </w:r>
    </w:p>
    <w:p>
      <w:pPr>
        <w:spacing w:after="0" w:line="17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constitute a continuing waiver unless otherwise expressly provided.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15. Submission to Jurisdiction</w:t>
      </w:r>
      <w:r>
        <w:rPr>
          <w:rFonts w:ascii="Arial" w:cs="Arial" w:eastAsia="Arial" w:hAnsi="Arial"/>
          <w:sz w:val="12"/>
          <w:szCs w:val="12"/>
          <w:color w:val="auto"/>
        </w:rPr>
        <w:t>.</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Except as set forth below, no Proceeding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the Company hereby consents to the jurisdiction of such courts and personal service with respect thereto. The Company hereby consents to personal jurisdiction, service and venue in any court in which any Proceeding arising out of or in any way relating to this Agreement is brought by any third party against the Placement Agent. The Company and the Placement Agent each hereby waives all right to trial by jury in any Proceeding (whether based upon contract, tort or otherwise) in any way arising out of or relating to this Agreement. The Company and the Placement Agent each agrees that a final judgment in any such Proceeding brought in any such court shall be conclusive and binding upon such party and may be enforced in any other courts in the jurisdiction of which such party is or may be subject, by suit upon such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370205</wp:posOffset>
            </wp:positionV>
            <wp:extent cx="7299325" cy="18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06" w:name="page207"/>
    <w:bookmarkEnd w:id="206"/>
    <w:p>
      <w:pPr>
        <w:spacing w:after="0"/>
        <w:rPr>
          <w:sz w:val="20"/>
          <w:szCs w:val="20"/>
          <w:color w:val="auto"/>
        </w:rPr>
      </w:pPr>
      <w:r>
        <w:rPr>
          <w:rFonts w:ascii="Arial" w:cs="Arial" w:eastAsia="Arial" w:hAnsi="Arial"/>
          <w:sz w:val="12"/>
          <w:szCs w:val="12"/>
          <w:b w:val="1"/>
          <w:bCs w:val="1"/>
          <w:color w:val="auto"/>
        </w:rPr>
        <w:t>Section 16. Counterparts</w:t>
      </w:r>
      <w:r>
        <w:rPr>
          <w:rFonts w:ascii="Arial" w:cs="Arial" w:eastAsia="Arial" w:hAnsi="Arial"/>
          <w:sz w:val="12"/>
          <w:szCs w:val="12"/>
          <w:color w:val="auto"/>
        </w:rPr>
        <w:t>.</w:t>
      </w:r>
    </w:p>
    <w:p>
      <w:pPr>
        <w:spacing w:after="0" w:line="17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This Agreement may be executed in one or more counterparts and, if executed in more than one counterpart, the executed counterparts shall each be deemed to be an original and all such counterparts shall together constitute one and the same instrument. Delivery of an executed counterpart by facsimile shall be effective as delivery of a manually executed counterpart thereof.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280670</wp:posOffset>
            </wp:positionV>
            <wp:extent cx="7299325" cy="18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07" w:name="page208"/>
    <w:bookmarkEnd w:id="207"/>
    <w:p>
      <w:pPr>
        <w:ind w:left="420"/>
        <w:spacing w:after="0"/>
        <w:rPr>
          <w:sz w:val="20"/>
          <w:szCs w:val="20"/>
          <w:color w:val="auto"/>
        </w:rPr>
      </w:pPr>
      <w:r>
        <w:rPr>
          <w:rFonts w:ascii="Arial" w:cs="Arial" w:eastAsia="Arial" w:hAnsi="Arial"/>
          <w:sz w:val="10"/>
          <w:szCs w:val="10"/>
          <w:color w:val="auto"/>
        </w:rPr>
        <w:t>If the foregoing is in accordance with your understanding of the agreement between the Company and the Placement Agent, kindly indicate your acceptance in the space provided for that purpose below.</w:t>
      </w:r>
    </w:p>
    <w:p>
      <w:pPr>
        <w:spacing w:after="0" w:line="191"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Very truly yours,</w:t>
      </w:r>
    </w:p>
    <w:p>
      <w:pPr>
        <w:spacing w:after="0" w:line="294"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VISTAGEN THERAPEUTICS, INC.</w:t>
      </w:r>
    </w:p>
    <w:p>
      <w:pPr>
        <w:spacing w:after="0" w:line="294"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9525</wp:posOffset>
            </wp:positionV>
            <wp:extent cx="2247900" cy="11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47900" cy="11430"/>
                    </a:xfrm>
                    <a:prstGeom prst="rect">
                      <a:avLst/>
                    </a:prstGeom>
                    <a:noFill/>
                  </pic:spPr>
                </pic:pic>
              </a:graphicData>
            </a:graphic>
          </wp:anchor>
        </w:drawing>
      </w:r>
    </w:p>
    <w:p>
      <w:pPr>
        <w:spacing w:after="0" w:line="4" w:lineRule="exact"/>
        <w:rPr>
          <w:sz w:val="20"/>
          <w:szCs w:val="20"/>
          <w:color w:val="auto"/>
        </w:rPr>
      </w:pPr>
    </w:p>
    <w:p>
      <w:pPr>
        <w:ind w:left="616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2"/>
          <w:szCs w:val="12"/>
          <w:color w:val="auto"/>
        </w:rPr>
        <w:t>Title: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Accepted as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the date first above written:</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GELLER BIOPHARM</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9525</wp:posOffset>
            </wp:positionV>
            <wp:extent cx="2242185" cy="114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242185" cy="1143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FINANCIAL WEST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2242185" cy="114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42185" cy="1143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299325" cy="18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554" w:right="1440" w:bottom="1440" w:gutter="0" w:footer="0" w:header="0"/>
        </w:sectPr>
      </w:pPr>
    </w:p>
    <w:bookmarkStart w:id="208" w:name="page209"/>
    <w:bookmarkEnd w:id="208"/>
    <w:p>
      <w:pPr>
        <w:jc w:val="center"/>
        <w:spacing w:after="0"/>
        <w:rPr>
          <w:sz w:val="20"/>
          <w:szCs w:val="20"/>
          <w:color w:val="auto"/>
        </w:rPr>
      </w:pPr>
      <w:r>
        <w:rPr>
          <w:rFonts w:ascii="Arial" w:cs="Arial" w:eastAsia="Arial" w:hAnsi="Arial"/>
          <w:sz w:val="12"/>
          <w:szCs w:val="12"/>
          <w:b w:val="1"/>
          <w:bCs w:val="1"/>
          <w:u w:val="single" w:color="auto"/>
          <w:color w:val="auto"/>
        </w:rPr>
        <w:t>APPENDIX 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386080</wp:posOffset>
            </wp:positionV>
            <wp:extent cx="7299325" cy="18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09" w:name="page210"/>
    <w:bookmarkEnd w:id="209"/>
    <w:p>
      <w:pPr>
        <w:jc w:val="center"/>
        <w:spacing w:after="0"/>
        <w:rPr>
          <w:sz w:val="20"/>
          <w:szCs w:val="20"/>
          <w:color w:val="auto"/>
        </w:rPr>
      </w:pPr>
      <w:r>
        <w:rPr>
          <w:rFonts w:ascii="Arial" w:cs="Arial" w:eastAsia="Arial" w:hAnsi="Arial"/>
          <w:sz w:val="12"/>
          <w:szCs w:val="12"/>
          <w:b w:val="1"/>
          <w:bCs w:val="1"/>
          <w:u w:val="single" w:color="auto"/>
          <w:color w:val="auto"/>
        </w:rPr>
        <w:t>EXHIBIT A</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Form of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581025</wp:posOffset>
            </wp:positionV>
            <wp:extent cx="7299325" cy="18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10" w:name="page211"/>
    <w:bookmarkEnd w:id="210"/>
    <w:p>
      <w:pPr>
        <w:jc w:val="center"/>
        <w:ind w:right="-1220"/>
        <w:spacing w:after="0"/>
        <w:rPr>
          <w:sz w:val="20"/>
          <w:szCs w:val="20"/>
          <w:color w:val="auto"/>
        </w:rPr>
      </w:pPr>
      <w:r>
        <w:rPr>
          <w:rFonts w:ascii="Arial" w:cs="Arial" w:eastAsia="Arial" w:hAnsi="Arial"/>
          <w:sz w:val="12"/>
          <w:szCs w:val="12"/>
          <w:b w:val="1"/>
          <w:bCs w:val="1"/>
          <w:u w:val="single" w:color="auto"/>
          <w:color w:val="auto"/>
        </w:rPr>
        <w:t>EXHIBIT B</w:t>
      </w:r>
    </w:p>
    <w:p>
      <w:pPr>
        <w:spacing w:after="0" w:line="172" w:lineRule="exact"/>
        <w:rPr>
          <w:sz w:val="20"/>
          <w:szCs w:val="20"/>
          <w:color w:val="auto"/>
        </w:rPr>
      </w:pPr>
    </w:p>
    <w:p>
      <w:pPr>
        <w:jc w:val="right"/>
        <w:ind w:right="4139"/>
        <w:spacing w:after="0"/>
        <w:rPr>
          <w:sz w:val="20"/>
          <w:szCs w:val="20"/>
          <w:color w:val="auto"/>
        </w:rPr>
      </w:pPr>
      <w:r>
        <w:rPr>
          <w:rFonts w:ascii="Arial" w:cs="Arial" w:eastAsia="Arial" w:hAnsi="Arial"/>
          <w:sz w:val="12"/>
          <w:szCs w:val="12"/>
          <w:color w:val="auto"/>
        </w:rPr>
        <w:t>Offering Terms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Number of Securities: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560705</wp:posOffset>
            </wp:positionV>
            <wp:extent cx="7299325" cy="18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550" w:right="1440" w:bottom="1440" w:gutter="0" w:footer="0" w:header="0"/>
        </w:sectPr>
      </w:pPr>
    </w:p>
    <w:bookmarkStart w:id="211" w:name="page212"/>
    <w:bookmarkEnd w:id="211"/>
    <w:p>
      <w:pPr>
        <w:jc w:val="center"/>
        <w:ind w:right="-20"/>
        <w:spacing w:after="0"/>
        <w:rPr>
          <w:sz w:val="20"/>
          <w:szCs w:val="20"/>
          <w:color w:val="auto"/>
        </w:rPr>
      </w:pPr>
      <w:r>
        <w:rPr>
          <w:rFonts w:ascii="Arial" w:cs="Arial" w:eastAsia="Arial" w:hAnsi="Arial"/>
          <w:sz w:val="12"/>
          <w:szCs w:val="12"/>
          <w:b w:val="1"/>
          <w:bCs w:val="1"/>
          <w:u w:val="single" w:color="auto"/>
          <w:color w:val="auto"/>
        </w:rPr>
        <w:t>EXHIBIT C</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Form of Opinion of Counsel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574040</wp:posOffset>
            </wp:positionV>
            <wp:extent cx="7299325" cy="18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12" w:name="page213"/>
    <w:bookmarkEnd w:id="212"/>
    <w:p>
      <w:pPr>
        <w:jc w:val="center"/>
        <w:ind w:right="-20"/>
        <w:spacing w:after="0"/>
        <w:rPr>
          <w:sz w:val="20"/>
          <w:szCs w:val="20"/>
          <w:color w:val="auto"/>
        </w:rPr>
      </w:pPr>
      <w:r>
        <w:rPr>
          <w:rFonts w:ascii="Arial" w:cs="Arial" w:eastAsia="Arial" w:hAnsi="Arial"/>
          <w:sz w:val="12"/>
          <w:szCs w:val="12"/>
          <w:b w:val="1"/>
          <w:bCs w:val="1"/>
          <w:u w:val="single" w:color="auto"/>
          <w:color w:val="auto"/>
        </w:rPr>
        <w:t>EXHIBIT 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Form of Intellectual Property Opinion of IP Counsel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574040</wp:posOffset>
            </wp:positionV>
            <wp:extent cx="7299325" cy="18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13" w:name="page214"/>
    <w:bookmarkEnd w:id="213"/>
    <w:p>
      <w:pPr>
        <w:jc w:val="center"/>
        <w:spacing w:after="0"/>
        <w:rPr>
          <w:sz w:val="20"/>
          <w:szCs w:val="20"/>
          <w:color w:val="auto"/>
        </w:rPr>
      </w:pPr>
      <w:r>
        <w:rPr>
          <w:rFonts w:ascii="Arial" w:cs="Arial" w:eastAsia="Arial" w:hAnsi="Arial"/>
          <w:sz w:val="12"/>
          <w:szCs w:val="12"/>
          <w:b w:val="1"/>
          <w:bCs w:val="1"/>
          <w:u w:val="single" w:color="auto"/>
          <w:color w:val="auto"/>
        </w:rPr>
        <w:t>EXHIBIT 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Form of Negative Assurance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581025</wp:posOffset>
            </wp:positionV>
            <wp:extent cx="7299325" cy="18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14" w:name="page215"/>
    <w:bookmarkEnd w:id="214"/>
    <w:p>
      <w:pPr>
        <w:jc w:val="center"/>
        <w:ind w:right="-7"/>
        <w:spacing w:after="0"/>
        <w:rPr>
          <w:sz w:val="20"/>
          <w:szCs w:val="20"/>
          <w:color w:val="auto"/>
        </w:rPr>
      </w:pPr>
      <w:r>
        <w:rPr>
          <w:rFonts w:ascii="Arial" w:cs="Arial" w:eastAsia="Arial" w:hAnsi="Arial"/>
          <w:sz w:val="12"/>
          <w:szCs w:val="12"/>
          <w:b w:val="1"/>
          <w:bCs w:val="1"/>
          <w:u w:val="single" w:color="auto"/>
          <w:color w:val="auto"/>
        </w:rPr>
        <w:t>EXHIBIT F</w:t>
      </w:r>
    </w:p>
    <w:p>
      <w:pPr>
        <w:spacing w:after="0" w:line="1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Form of Lock-Up Agreement</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Financial West Group</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Geller Biopharm</w:t>
      </w:r>
    </w:p>
    <w:p>
      <w:pPr>
        <w:ind w:left="8"/>
        <w:spacing w:after="0" w:line="197" w:lineRule="auto"/>
        <w:rPr>
          <w:sz w:val="20"/>
          <w:szCs w:val="20"/>
          <w:color w:val="auto"/>
        </w:rPr>
      </w:pPr>
      <w:r>
        <w:rPr>
          <w:rFonts w:ascii="Arial" w:cs="Arial" w:eastAsia="Arial" w:hAnsi="Arial"/>
          <w:sz w:val="12"/>
          <w:szCs w:val="12"/>
          <w:color w:val="auto"/>
        </w:rPr>
        <w:t>140 W. 57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Street</w:t>
      </w:r>
    </w:p>
    <w:p>
      <w:pPr>
        <w:ind w:left="8"/>
        <w:spacing w:after="0"/>
        <w:rPr>
          <w:sz w:val="20"/>
          <w:szCs w:val="20"/>
          <w:color w:val="auto"/>
        </w:rPr>
      </w:pPr>
      <w:r>
        <w:rPr>
          <w:rFonts w:ascii="Arial" w:cs="Arial" w:eastAsia="Arial" w:hAnsi="Arial"/>
          <w:sz w:val="12"/>
          <w:szCs w:val="12"/>
          <w:color w:val="auto"/>
        </w:rPr>
        <w:t>New York, NY 100019</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color w:val="auto"/>
        </w:rPr>
        <w:t>Ladies and Gentlemen:</w:t>
      </w:r>
    </w:p>
    <w:p>
      <w:pPr>
        <w:spacing w:after="0" w:line="164" w:lineRule="exact"/>
        <w:rPr>
          <w:sz w:val="20"/>
          <w:szCs w:val="20"/>
          <w:color w:val="auto"/>
        </w:rPr>
      </w:pPr>
    </w:p>
    <w:p>
      <w:pPr>
        <w:jc w:val="both"/>
        <w:ind w:left="8" w:firstLine="432"/>
        <w:spacing w:after="0" w:line="331" w:lineRule="auto"/>
        <w:rPr>
          <w:sz w:val="20"/>
          <w:szCs w:val="20"/>
          <w:color w:val="auto"/>
        </w:rPr>
      </w:pPr>
      <w:r>
        <w:rPr>
          <w:rFonts w:ascii="Arial" w:cs="Arial" w:eastAsia="Arial" w:hAnsi="Arial"/>
          <w:sz w:val="11"/>
          <w:szCs w:val="11"/>
          <w:color w:val="auto"/>
        </w:rPr>
        <w:t>The undersigned understands that Geller Biopharm (the “</w:t>
      </w:r>
      <w:r>
        <w:rPr>
          <w:rFonts w:ascii="Arial" w:cs="Arial" w:eastAsia="Arial" w:hAnsi="Arial"/>
          <w:sz w:val="11"/>
          <w:szCs w:val="11"/>
          <w:b w:val="1"/>
          <w:bCs w:val="1"/>
          <w:color w:val="auto"/>
        </w:rPr>
        <w:t>Placement Agent</w:t>
      </w:r>
      <w:r>
        <w:rPr>
          <w:rFonts w:ascii="Arial" w:cs="Arial" w:eastAsia="Arial" w:hAnsi="Arial"/>
          <w:sz w:val="11"/>
          <w:szCs w:val="11"/>
          <w:color w:val="auto"/>
        </w:rPr>
        <w:t>”) proposes to enter into a Placement Agency Agreement (the “</w:t>
      </w:r>
      <w:r>
        <w:rPr>
          <w:rFonts w:ascii="Arial" w:cs="Arial" w:eastAsia="Arial" w:hAnsi="Arial"/>
          <w:sz w:val="11"/>
          <w:szCs w:val="11"/>
          <w:b w:val="1"/>
          <w:bCs w:val="1"/>
          <w:color w:val="auto"/>
        </w:rPr>
        <w:t>Placement Agency Agreement</w:t>
      </w:r>
      <w:r>
        <w:rPr>
          <w:rFonts w:ascii="Arial" w:cs="Arial" w:eastAsia="Arial" w:hAnsi="Arial"/>
          <w:sz w:val="11"/>
          <w:szCs w:val="11"/>
          <w:color w:val="auto"/>
        </w:rPr>
        <w:t>”) with VistaGen Therapeutics, Inc., a Nevada corporation (the “</w:t>
      </w:r>
      <w:r>
        <w:rPr>
          <w:rFonts w:ascii="Arial" w:cs="Arial" w:eastAsia="Arial" w:hAnsi="Arial"/>
          <w:sz w:val="11"/>
          <w:szCs w:val="11"/>
          <w:b w:val="1"/>
          <w:bCs w:val="1"/>
          <w:color w:val="auto"/>
        </w:rPr>
        <w:t>Company</w:t>
      </w:r>
      <w:r>
        <w:rPr>
          <w:rFonts w:ascii="Arial" w:cs="Arial" w:eastAsia="Arial" w:hAnsi="Arial"/>
          <w:sz w:val="11"/>
          <w:szCs w:val="11"/>
          <w:color w:val="auto"/>
        </w:rPr>
        <w:t>”), providing for the public offering (the “</w:t>
      </w:r>
      <w:r>
        <w:rPr>
          <w:rFonts w:ascii="Arial" w:cs="Arial" w:eastAsia="Arial" w:hAnsi="Arial"/>
          <w:sz w:val="11"/>
          <w:szCs w:val="11"/>
          <w:b w:val="1"/>
          <w:bCs w:val="1"/>
          <w:color w:val="auto"/>
        </w:rPr>
        <w:t>Public Offering</w:t>
      </w:r>
      <w:r>
        <w:rPr>
          <w:rFonts w:ascii="Arial" w:cs="Arial" w:eastAsia="Arial" w:hAnsi="Arial"/>
          <w:sz w:val="11"/>
          <w:szCs w:val="11"/>
          <w:color w:val="auto"/>
        </w:rPr>
        <w:t>”) of securities of the Company (the “</w:t>
      </w:r>
      <w:r>
        <w:rPr>
          <w:rFonts w:ascii="Arial" w:cs="Arial" w:eastAsia="Arial" w:hAnsi="Arial"/>
          <w:sz w:val="11"/>
          <w:szCs w:val="11"/>
          <w:b w:val="1"/>
          <w:bCs w:val="1"/>
          <w:color w:val="auto"/>
        </w:rPr>
        <w:t>Securities</w:t>
      </w:r>
      <w:r>
        <w:rPr>
          <w:rFonts w:ascii="Arial" w:cs="Arial" w:eastAsia="Arial" w:hAnsi="Arial"/>
          <w:sz w:val="11"/>
          <w:szCs w:val="11"/>
          <w:color w:val="auto"/>
        </w:rPr>
        <w:t>”). Geller Biopharm is a healthcare investment banking division of Financial West Group.</w:t>
      </w:r>
    </w:p>
    <w:p>
      <w:pPr>
        <w:spacing w:after="0" w:line="10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1"/>
          <w:szCs w:val="11"/>
          <w:color w:val="auto"/>
        </w:rPr>
        <w:t>To induce the Placement Agent to continue its efforts in connection with the Public Offering, and to facilitate successful consummation of the Public Offering, the undersigned hereby agrees that, without the prior written consent of the Placement Agent, the undersigned will not, during the period commencing on the Closing of the Public Offering, and ending one hundred and eighty (180) thereafter (the “</w:t>
      </w:r>
      <w:r>
        <w:rPr>
          <w:rFonts w:ascii="Arial" w:cs="Arial" w:eastAsia="Arial" w:hAnsi="Arial"/>
          <w:sz w:val="11"/>
          <w:szCs w:val="11"/>
          <w:b w:val="1"/>
          <w:bCs w:val="1"/>
          <w:color w:val="auto"/>
        </w:rPr>
        <w:t>Lock-Up Period</w:t>
      </w:r>
      <w:r>
        <w:rPr>
          <w:rFonts w:ascii="Arial" w:cs="Arial" w:eastAsia="Arial" w:hAnsi="Arial"/>
          <w:sz w:val="11"/>
          <w:szCs w:val="11"/>
          <w:color w:val="auto"/>
        </w:rPr>
        <w:t>”), (1) offer, pledge, sell, contract to sell, grant, encumber, lend, grant any option for the sale of, or otherwise transfer or dispose of, directly or indirectly, any Securities or any shares of the Company’s Common Stock, par value $0.001 per share (the “</w:t>
      </w:r>
      <w:r>
        <w:rPr>
          <w:rFonts w:ascii="Arial" w:cs="Arial" w:eastAsia="Arial" w:hAnsi="Arial"/>
          <w:sz w:val="11"/>
          <w:szCs w:val="11"/>
          <w:b w:val="1"/>
          <w:bCs w:val="1"/>
          <w:color w:val="auto"/>
        </w:rPr>
        <w:t>Common Stock</w:t>
      </w:r>
      <w:r>
        <w:rPr>
          <w:rFonts w:ascii="Arial" w:cs="Arial" w:eastAsia="Arial" w:hAnsi="Arial"/>
          <w:sz w:val="11"/>
          <w:szCs w:val="11"/>
          <w:color w:val="auto"/>
        </w:rPr>
        <w:t>”) or any securities convertible into or exercisable or exchangeable for Securities or shares of Common Stock, whether now owned or hereafter acquired by the undersigned or with respect to which the undersigned has or hereafter acquires the power of disposition (collectively, the “</w:t>
      </w:r>
      <w:r>
        <w:rPr>
          <w:rFonts w:ascii="Arial" w:cs="Arial" w:eastAsia="Arial" w:hAnsi="Arial"/>
          <w:sz w:val="11"/>
          <w:szCs w:val="11"/>
          <w:b w:val="1"/>
          <w:bCs w:val="1"/>
          <w:color w:val="auto"/>
        </w:rPr>
        <w:t>Lock-Up Securities</w:t>
      </w:r>
      <w:r>
        <w:rPr>
          <w:rFonts w:ascii="Arial" w:cs="Arial" w:eastAsia="Arial" w:hAnsi="Arial"/>
          <w:sz w:val="11"/>
          <w:szCs w:val="11"/>
          <w:color w:val="auto"/>
        </w:rPr>
        <w:t>”); (2) enter into any swap or other arrangement that transfers to another,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w:t>
      </w:r>
    </w:p>
    <w:p>
      <w:pPr>
        <w:spacing w:after="0" w:line="1" w:lineRule="exact"/>
        <w:rPr>
          <w:sz w:val="20"/>
          <w:szCs w:val="20"/>
          <w:color w:val="auto"/>
        </w:rPr>
      </w:pPr>
    </w:p>
    <w:p>
      <w:pPr>
        <w:jc w:val="both"/>
        <w:ind w:left="8" w:hanging="8"/>
        <w:spacing w:after="0" w:line="277" w:lineRule="auto"/>
        <w:tabs>
          <w:tab w:leader="none" w:pos="188" w:val="left"/>
        </w:tabs>
        <w:numPr>
          <w:ilvl w:val="0"/>
          <w:numId w:val="115"/>
        </w:numPr>
        <w:rPr>
          <w:rFonts w:ascii="Arial" w:cs="Arial" w:eastAsia="Arial" w:hAnsi="Arial"/>
          <w:sz w:val="11"/>
          <w:szCs w:val="11"/>
          <w:color w:val="auto"/>
        </w:rPr>
      </w:pPr>
      <w:r>
        <w:rPr>
          <w:rFonts w:ascii="Arial" w:cs="Arial" w:eastAsia="Arial" w:hAnsi="Arial"/>
          <w:sz w:val="11"/>
          <w:szCs w:val="11"/>
          <w:color w:val="auto"/>
        </w:rPr>
        <w:t xml:space="preserve">publicly disclose the intention to make any offer, sale, pledge or disposition, or to enter into any transaction, swap, hedge or other arrangement relating to any Lock-Up Securities. Notwithstanding the foregoing, and subject to the conditions below, the undersigned may transfer Lock-Up Securities without the prior written consent of the Placement Agent in connection with (a) transactions relating to Lock-Up Securities acquired in open market transactions after the completion of the Public Offering;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filing under Section 16(a) of the Securities Exchange Act of 1934, as amended (the “</w:t>
      </w:r>
      <w:r>
        <w:rPr>
          <w:rFonts w:ascii="Arial" w:cs="Arial" w:eastAsia="Arial" w:hAnsi="Arial"/>
          <w:sz w:val="11"/>
          <w:szCs w:val="11"/>
          <w:b w:val="1"/>
          <w:bCs w:val="1"/>
          <w:color w:val="auto"/>
        </w:rPr>
        <w:t>Exchange Act</w:t>
      </w:r>
      <w:r>
        <w:rPr>
          <w:rFonts w:ascii="Arial" w:cs="Arial" w:eastAsia="Arial" w:hAnsi="Arial"/>
          <w:sz w:val="11"/>
          <w:szCs w:val="11"/>
          <w:color w:val="auto"/>
        </w:rPr>
        <w:t xml:space="preserve">”), shall be required or shall be voluntarily made in connection with subsequent sales of Lock-Up Securities acquired in such open market transactions; (b) transfers of Lock-Up Securities as a </w:t>
      </w:r>
      <w:r>
        <w:rPr>
          <w:rFonts w:ascii="Arial" w:cs="Arial" w:eastAsia="Arial" w:hAnsi="Arial"/>
          <w:sz w:val="11"/>
          <w:szCs w:val="11"/>
          <w:i w:val="1"/>
          <w:iCs w:val="1"/>
          <w:color w:val="auto"/>
        </w:rPr>
        <w:t>bona fide</w:t>
      </w:r>
      <w:r>
        <w:rPr>
          <w:rFonts w:ascii="Arial" w:cs="Arial" w:eastAsia="Arial" w:hAnsi="Arial"/>
          <w:sz w:val="11"/>
          <w:szCs w:val="11"/>
          <w:color w:val="auto"/>
        </w:rPr>
        <w:t xml:space="preserve"> gift, by will or intestacy or to a family member or trust for the benefit of a family member (for purposes of this lock-up agreement, “family member” means any relationship by blood, marriage or adoption, not more remote than first cousin); (c) transfers of Lock-Up Securities to a charity or educational institution; or (d) if the undersigned, directly or indirectly, controls a corporation, partnership, limited liability company or other business entity, any transfers of Lock-Up Securities to any shareholder, partner or member of, or owner of similar equity interests in, the undersigned, as the case may be;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any transfer pursuant to the foregoing clauses (b), (c) or (d), (i) any such transfer shall not involve a disposition for value, (ii) each transferee shall sign and deliver to the Placement Agent a lock-up agreement substantially in the form of this lock-up agreement and (iii) no filing under Section 16(a) of the Exchange Act shall be required or shall be voluntarily made. The undersigned also agrees and consents to the entry of stop transfer instructions with the Company’s transfer agent and registrar against the transfer of the undersigned’s Lock-Up Securities except in compliance with this lock-up agreement.</w:t>
      </w:r>
    </w:p>
    <w:p>
      <w:pPr>
        <w:spacing w:after="0" w:line="136"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If (i) during the last 17 days of the Lock-Up Period, the Company issues an earnings release or material news or a material event relating to the Company occurs, or (ii) prior to the expiration of the Lock-Up Period, the Company announces that it will release earnings results or becomes aware that material news or a material event will occur during the 16-day period beginning on the last day of the Lock-Up Period, the restrictions imposed by this lock-up agreement shall continue to apply until the expiration of the 18-day period beginning on the issuance of the earnings release or the occurrence of such material news or material event, as applicable, unless the Placement Agent waives, in writing,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9325" cy="18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712" w:right="199" w:bottom="1440" w:gutter="0" w:footer="0" w:header="0"/>
        </w:sectPr>
      </w:pPr>
    </w:p>
    <w:bookmarkStart w:id="215" w:name="page216"/>
    <w:bookmarkEnd w:id="215"/>
    <w:p>
      <w:pPr>
        <w:jc w:val="both"/>
        <w:ind w:firstLine="432"/>
        <w:spacing w:after="0" w:line="230" w:lineRule="auto"/>
        <w:rPr>
          <w:sz w:val="20"/>
          <w:szCs w:val="20"/>
          <w:color w:val="auto"/>
        </w:rPr>
      </w:pPr>
      <w:r>
        <w:rPr>
          <w:rFonts w:ascii="Arial" w:cs="Arial" w:eastAsia="Arial" w:hAnsi="Arial"/>
          <w:sz w:val="12"/>
          <w:szCs w:val="12"/>
          <w:color w:val="auto"/>
        </w:rPr>
        <w:t>The undersigned agrees that, prior to engaging in any transaction or taking any other action that is subject to the terms of this lock-up agreement during the period from the date hereof to and including the 34</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following the expiration of the initial Lock-Up Period, the undersigned will give notice thereof to the Company and will not consummate any such transaction or take any such action unless it has received written confirmation from the Company that the Lock-Up Period (as may have been extended pursuant to the previous paragraph) has expired.</w:t>
      </w:r>
    </w:p>
    <w:p>
      <w:pPr>
        <w:spacing w:after="0" w:line="15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If the undersigned is an officer or director of the Company, (i) the undersigned agrees that the foregoing restrictions shall be equally applicable to any issuer-directed or “friends and family” Securities that the undersigned may purchase in the Public Offering; (ii) the Placement Agent agrees that, at least three (3) business days before the effective date of any release or waiver of the foregoing restrictions in connection with a transfer of Lock-Up Securities, the Placement Agent will notify the Company of the impending release or waiver; and (iii) the Company has agreed in the Placement Agency Agreement to announce the impending release or waiver by press release through a major news service at least two (2) business days before the effective date of the release or waiver. Any release or waiver granted by the Placement Agent hereunder to any such officer or director shall only be effective two (2) business days after the publication date of such press release. The provisions of this paragraph will not apply if (a) the release or waiver is effected solely to permit a transfer of Lock-Up Securities not for consideration and (b) the transferee has agreed in writing to be bound by the same terms described in this lock-up agreement to the extent and for the duration that such terms remain in effect at the time of such transfer.</w:t>
      </w:r>
    </w:p>
    <w:p>
      <w:pPr>
        <w:spacing w:after="0" w:line="1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No provision in this agreement shall be deemed to restrict or prohibit the exercise, exchange or conversion by the undersigned of any securities exercisable or exchangeable for or convertible into securities of the Company, as applicable;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undersigned does not transfer such securities acquired on such exercise, exchange or conversion during the Lock-Up Period, unless otherwise permitted pursuant to the terms of this lock-up agreement. In addition, no provision herein shall be deemed to restrict or prohibit the entry into or modification of a so-called “10b5-1” plan at any time (other than the entry into or modification of such a plan in such a manner as to cause the sale of any Lock-Up Securities within the Lock-Up Period).</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undersigned understands that the Company and the Placement Agent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undersigned understands that, if the Placement Agency Agreement is not executed by [____], 2014, or if the Placement Agency Agreement (other than the provisions thereof which survive termination) shall terminate or be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terminated prior to payment for and delivery of the Securities to be sold thereunder, then this lock-up agreement shall be void and of no further force or effect.</w:t>
      </w:r>
    </w:p>
    <w:p>
      <w:pPr>
        <w:spacing w:after="0" w:line="15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Whether or not the Public Offering actually occurs depends on a number of factors, including market conditions. Any Public Offering will only be made pursuant to a Placement Agency Agreement, the terms of which are subject to negotiation between the Company and the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258445</wp:posOffset>
            </wp:positionV>
            <wp:extent cx="7299325" cy="18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4" w:right="199" w:bottom="1440" w:gutter="0" w:footer="0" w:header="0"/>
        </w:sectPr>
      </w:pPr>
    </w:p>
    <w:bookmarkStart w:id="216" w:name="page217"/>
    <w:bookmarkEnd w:id="216"/>
    <w:p>
      <w:pPr>
        <w:ind w:left="3320"/>
        <w:spacing w:after="0"/>
        <w:rPr>
          <w:sz w:val="20"/>
          <w:szCs w:val="20"/>
          <w:color w:val="auto"/>
        </w:rPr>
      </w:pPr>
      <w:r>
        <w:rPr>
          <w:rFonts w:ascii="Arial" w:cs="Arial" w:eastAsia="Arial" w:hAnsi="Arial"/>
          <w:sz w:val="12"/>
          <w:szCs w:val="1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192405</wp:posOffset>
            </wp:positionV>
            <wp:extent cx="4398010" cy="114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98010" cy="11430"/>
                    </a:xfrm>
                    <a:prstGeom prst="rect">
                      <a:avLst/>
                    </a:prstGeom>
                    <a:noFill/>
                  </pic:spPr>
                </pic:pic>
              </a:graphicData>
            </a:graphic>
          </wp:anchor>
        </w:drawing>
      </w:r>
    </w:p>
    <w:p>
      <w:pPr>
        <w:spacing w:after="0" w:line="292" w:lineRule="exact"/>
        <w:rPr>
          <w:sz w:val="20"/>
          <w:szCs w:val="20"/>
          <w:color w:val="auto"/>
        </w:rPr>
      </w:pPr>
    </w:p>
    <w:p>
      <w:pPr>
        <w:ind w:left="3320"/>
        <w:spacing w:after="0"/>
        <w:rPr>
          <w:sz w:val="20"/>
          <w:szCs w:val="20"/>
          <w:color w:val="auto"/>
        </w:rPr>
      </w:pPr>
      <w:r>
        <w:rPr>
          <w:rFonts w:ascii="Arial" w:cs="Arial" w:eastAsia="Arial" w:hAnsi="Arial"/>
          <w:sz w:val="12"/>
          <w:szCs w:val="12"/>
          <w:color w:val="auto"/>
        </w:rPr>
        <w:t>(Name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192405</wp:posOffset>
            </wp:positionV>
            <wp:extent cx="4398010" cy="114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98010" cy="11430"/>
                    </a:xfrm>
                    <a:prstGeom prst="rect">
                      <a:avLst/>
                    </a:prstGeom>
                    <a:noFill/>
                  </pic:spPr>
                </pic:pic>
              </a:graphicData>
            </a:graphic>
          </wp:anchor>
        </w:drawing>
      </w:r>
    </w:p>
    <w:p>
      <w:pPr>
        <w:spacing w:after="0" w:line="292" w:lineRule="exact"/>
        <w:rPr>
          <w:sz w:val="20"/>
          <w:szCs w:val="20"/>
          <w:color w:val="auto"/>
        </w:rPr>
      </w:pPr>
    </w:p>
    <w:p>
      <w:pPr>
        <w:ind w:left="33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192405</wp:posOffset>
            </wp:positionV>
            <wp:extent cx="4398010" cy="11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98010" cy="11430"/>
                    </a:xfrm>
                    <a:prstGeom prst="rect">
                      <a:avLst/>
                    </a:prstGeom>
                    <a:noFill/>
                  </pic:spPr>
                </pic:pic>
              </a:graphicData>
            </a:graphic>
          </wp:anchor>
        </w:drawing>
      </w:r>
    </w:p>
    <w:p>
      <w:pPr>
        <w:spacing w:after="0" w:line="292" w:lineRule="exact"/>
        <w:rPr>
          <w:sz w:val="20"/>
          <w:szCs w:val="20"/>
          <w:color w:val="auto"/>
        </w:rPr>
      </w:pPr>
    </w:p>
    <w:p>
      <w:pPr>
        <w:ind w:left="3320"/>
        <w:spacing w:after="0"/>
        <w:rPr>
          <w:sz w:val="20"/>
          <w:szCs w:val="20"/>
          <w:color w:val="auto"/>
        </w:rPr>
      </w:pPr>
      <w:r>
        <w:rPr>
          <w:rFonts w:ascii="Arial" w:cs="Arial" w:eastAsia="Arial" w:hAnsi="Arial"/>
          <w:sz w:val="10"/>
          <w:szCs w:val="10"/>
          <w:color w:val="auto"/>
        </w:rPr>
        <w:t>(Name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207010</wp:posOffset>
            </wp:positionV>
            <wp:extent cx="4398010" cy="114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98010" cy="11430"/>
                    </a:xfrm>
                    <a:prstGeom prst="rect">
                      <a:avLst/>
                    </a:prstGeom>
                    <a:noFill/>
                  </pic:spPr>
                </pic:pic>
              </a:graphicData>
            </a:graphic>
          </wp:anchor>
        </w:drawing>
      </w:r>
    </w:p>
    <w:p>
      <w:pPr>
        <w:spacing w:after="0" w:line="315" w:lineRule="exact"/>
        <w:rPr>
          <w:sz w:val="20"/>
          <w:szCs w:val="20"/>
          <w:color w:val="auto"/>
        </w:rPr>
      </w:pPr>
    </w:p>
    <w:p>
      <w:pPr>
        <w:ind w:left="3320"/>
        <w:spacing w:after="0"/>
        <w:rPr>
          <w:sz w:val="20"/>
          <w:szCs w:val="20"/>
          <w:color w:val="auto"/>
        </w:rPr>
      </w:pPr>
      <w:r>
        <w:rPr>
          <w:rFonts w:ascii="Arial" w:cs="Arial" w:eastAsia="Arial" w:hAnsi="Arial"/>
          <w:sz w:val="11"/>
          <w:szCs w:val="11"/>
          <w:color w:val="auto"/>
        </w:rPr>
        <w:t>(Title of Signatory, in the case of entities - Please Print)</w:t>
      </w:r>
    </w:p>
    <w:p>
      <w:pPr>
        <w:spacing w:after="0" w:line="162" w:lineRule="exact"/>
        <w:rPr>
          <w:sz w:val="20"/>
          <w:szCs w:val="20"/>
          <w:color w:val="auto"/>
        </w:rPr>
      </w:pPr>
    </w:p>
    <w:p>
      <w:pPr>
        <w:ind w:left="332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9525</wp:posOffset>
            </wp:positionV>
            <wp:extent cx="3654425"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654425" cy="1143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203835</wp:posOffset>
            </wp:positionV>
            <wp:extent cx="3654425"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654425" cy="1143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398145</wp:posOffset>
            </wp:positionV>
            <wp:extent cx="3654425"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654425" cy="1143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1069975</wp:posOffset>
            </wp:positionV>
            <wp:extent cx="7299325" cy="18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12"/>
          <w:szCs w:val="12"/>
          <w:b w:val="1"/>
          <w:bCs w:val="1"/>
          <w:u w:val="single" w:color="auto"/>
          <w:color w:val="auto"/>
        </w:rPr>
        <w:t>EXHIBIT G</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Press Release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VistaGen Therapeutics, Inc.</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[Date]</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VistaGen Therapeutics, Inc. (the “Company”) announced today that Geller Biopharm, [a healthcare investment banking division of Financial West Group], acting as placement agent in the Company’s recent public offering of _______ of</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the Company’s ______, is [waiving] [releasing] a lock-up restriction with respect to _________ shares of the Company’s stock held by [certain officers or directors] [an officer or director] of the Company. The [waiver] [release] will take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effect on _________, 20___, and the shares may be sold on or after such date.</w:t>
      </w:r>
    </w:p>
    <w:p>
      <w:pPr>
        <w:spacing w:after="0" w:line="155" w:lineRule="exact"/>
        <w:rPr>
          <w:sz w:val="20"/>
          <w:szCs w:val="20"/>
          <w:color w:val="auto"/>
        </w:rPr>
      </w:pPr>
    </w:p>
    <w:p>
      <w:pPr>
        <w:spacing w:after="0" w:line="283" w:lineRule="auto"/>
        <w:rPr>
          <w:sz w:val="20"/>
          <w:szCs w:val="20"/>
          <w:color w:val="auto"/>
        </w:rPr>
      </w:pPr>
      <w:r>
        <w:rPr>
          <w:rFonts w:ascii="Arial" w:cs="Arial" w:eastAsia="Arial" w:hAnsi="Arial"/>
          <w:sz w:val="12"/>
          <w:szCs w:val="12"/>
          <w:b w:val="1"/>
          <w:bCs w:val="1"/>
          <w:color w:val="auto"/>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644525</wp:posOffset>
            </wp:positionV>
            <wp:extent cx="7299325" cy="18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18" w:name="page219"/>
    <w:bookmarkEnd w:id="218"/>
    <w:p>
      <w:pPr>
        <w:ind w:left="5340"/>
        <w:spacing w:after="0"/>
        <w:rPr>
          <w:sz w:val="20"/>
          <w:szCs w:val="20"/>
          <w:color w:val="auto"/>
        </w:rPr>
      </w:pPr>
      <w:r>
        <w:rPr>
          <w:rFonts w:ascii="Arial" w:cs="Arial" w:eastAsia="Arial" w:hAnsi="Arial"/>
          <w:sz w:val="11"/>
          <w:szCs w:val="11"/>
          <w:b w:val="1"/>
          <w:bCs w:val="1"/>
          <w:color w:val="auto"/>
        </w:rPr>
        <w:t>SCHEDULE A</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VistaGen Therapeutic, Inc.’s officers, directors and each owner of at least 5% of the Company’s outstanding shares:</w:t>
      </w:r>
    </w:p>
    <w:p>
      <w:pPr>
        <w:sectPr>
          <w:pgSz w:w="11900" w:h="16838" w:orient="portrait"/>
          <w:cols w:equalWidth="0" w:num="1">
            <w:col w:w="10239"/>
          </w:cols>
          <w:pgMar w:left="220" w:top="550" w:right="1440"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493645" cy="114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93645"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26670</wp:posOffset>
            </wp:positionV>
            <wp:extent cx="2310765" cy="114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310765"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19685</wp:posOffset>
            </wp:positionV>
            <wp:extent cx="2162175"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62175" cy="1143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3">
            <w:col w:w="4500" w:space="720"/>
            <w:col w:w="3140" w:space="720"/>
            <w:col w:w="1159"/>
          </w:cols>
          <w:pgMar w:left="220" w:top="550" w:right="1440"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7292340" cy="4578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340"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7292340" cy="914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 Percentage of class based on [____]shares of common stock outstanding as of [___], 2014.</w:t>
      </w:r>
    </w:p>
    <w:p>
      <w:pPr>
        <w:sectPr>
          <w:pgSz w:w="11900" w:h="16838" w:orient="portrait"/>
          <w:cols w:equalWidth="0" w:num="1">
            <w:col w:w="10239"/>
          </w:cols>
          <w:pgMar w:left="220" w:top="550" w:right="1440" w:bottom="1440" w:gutter="0" w:footer="0" w:header="0"/>
          <w:type w:val="continuous"/>
        </w:sectPr>
      </w:pPr>
    </w:p>
    <w:bookmarkStart w:id="219" w:name="page220"/>
    <w:bookmarkEnd w:id="219"/>
    <w:p>
      <w:pPr>
        <w:jc w:val="right"/>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We hereby consent to the use in this Registration Statement (No. 333-195901) on Form S-1, Amendment No. 5, of our report dated June 23, 2014 (which report expresses an unqualified opinion and includes an emphasis of matter paragraph concerning the Company’s ability to continue as a going concern) relating to the consolidated financial statements of VistaGen Therapeutics, Inc. which appear in such Registration Statement.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We also consent to the references to us under the heading “Experts” in such Registration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August 5, 2014</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decimal"/>
      <w:start w:val="1"/>
    </w:lvl>
  </w:abstractNum>
  <w:abstractNum w:abstractNumId="1">
    <w:nsid w:val="47398C89"/>
    <w:multiLevelType w:val="hybridMultilevel"/>
    <w:lvl w:ilvl="0">
      <w:lvlJc w:val="left"/>
      <w:lvlText w:val="(%1)"/>
      <w:numFmt w:val="decimal"/>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1)"/>
      <w:numFmt w:val="decimal"/>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1)"/>
      <w:numFmt w:val="decimal"/>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1."/>
      <w:numFmt w:val="decimal"/>
      <w:start w:val="1"/>
    </w:lvl>
  </w:abstractNum>
  <w:abstractNum w:abstractNumId="28">
    <w:nsid w:val="42C296BD"/>
    <w:multiLevelType w:val="hybridMultilevel"/>
    <w:lvl w:ilvl="0">
      <w:lvlJc w:val="left"/>
      <w:lvlText w:val="%1."/>
      <w:numFmt w:val="decimal"/>
      <w:start w:val="1"/>
    </w:lvl>
  </w:abstractNum>
  <w:abstractNum w:abstractNumId="29">
    <w:nsid w:val="168E121F"/>
    <w:multiLevelType w:val="hybridMultilevel"/>
    <w:lvl w:ilvl="0">
      <w:lvlJc w:val="left"/>
      <w:lvlText w:val="%1."/>
      <w:numFmt w:val="decimal"/>
      <w:start w:val="1"/>
    </w:lvl>
  </w:abstractNum>
  <w:abstractNum w:abstractNumId="30">
    <w:nsid w:val="1EBA5D23"/>
    <w:multiLevelType w:val="hybridMultilevel"/>
    <w:lvl w:ilvl="0">
      <w:lvlJc w:val="left"/>
      <w:lvlText w:val="%1."/>
      <w:numFmt w:val="decimal"/>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lvl w:ilvl="1">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1)"/>
      <w:numFmt w:val="decimal"/>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decimal"/>
      <w:start w:val="4"/>
    </w:lvl>
  </w:abstractNum>
  <w:abstractNum w:abstractNumId="48">
    <w:nsid w:val="14330624"/>
    <w:multiLevelType w:val="hybridMultilevel"/>
    <w:lvl w:ilvl="0">
      <w:lvlJc w:val="left"/>
      <w:lvlText w:val="(%1)"/>
      <w:numFmt w:val="lowerLetter"/>
      <w:start w:val="1"/>
    </w:lvl>
  </w:abstractNum>
  <w:abstractNum w:abstractNumId="49">
    <w:nsid w:val="7FFFCA11"/>
    <w:multiLevelType w:val="hybridMultilevel"/>
    <w:lvl w:ilvl="0">
      <w:lvlJc w:val="left"/>
      <w:lvlText w:val="(%1)"/>
      <w:numFmt w:val="decimal"/>
      <w:start w:val="9"/>
    </w:lvl>
  </w:abstractNum>
  <w:abstractNum w:abstractNumId="50">
    <w:nsid w:val="1A27709E"/>
    <w:multiLevelType w:val="hybridMultilevel"/>
    <w:lvl w:ilvl="0">
      <w:lvlJc w:val="left"/>
      <w:lvlText w:val="(%1)"/>
      <w:numFmt w:val="decimal"/>
      <w:start w:val="12"/>
    </w:lvl>
  </w:abstractNum>
  <w:abstractNum w:abstractNumId="51">
    <w:nsid w:val="71EA1109"/>
    <w:multiLevelType w:val="hybridMultilevel"/>
    <w:lvl w:ilvl="0">
      <w:lvlJc w:val="left"/>
      <w:lvlText w:val="(%1)"/>
      <w:numFmt w:val="decimal"/>
      <w:start w:val="1"/>
    </w:lvl>
    <w:lvl w:ilvl="1">
      <w:lvlJc w:val="left"/>
      <w:lvlText w:val="(%2)"/>
      <w:numFmt w:val="decimal"/>
      <w:start w:val="2"/>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decimal"/>
      <w:start w:val="5"/>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1)"/>
      <w:numFmt w:val="decimal"/>
      <w:start w:val="1"/>
    </w:lvl>
  </w:abstractNum>
  <w:abstractNum w:abstractNumId="62">
    <w:nsid w:val="3222E7CD"/>
    <w:multiLevelType w:val="hybridMultilevel"/>
    <w:lvl w:ilvl="0">
      <w:lvlJc w:val="left"/>
      <w:lvlText w:val="(%1)"/>
      <w:numFmt w:val="decimal"/>
      <w:start w:val="8"/>
    </w:lvl>
  </w:abstractNum>
  <w:abstractNum w:abstractNumId="63">
    <w:nsid w:val="74DE0EE3"/>
    <w:multiLevelType w:val="hybridMultilevel"/>
    <w:lvl w:ilvl="0">
      <w:lvlJc w:val="left"/>
      <w:lvlText w:val="%1."/>
      <w:numFmt w:val="decimal"/>
      <w:start w:val="10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
      <w:numFmt w:val="bullet"/>
      <w:start w:val="1"/>
    </w:lvl>
    <w:lvl w:ilvl="1">
      <w:lvlJc w:val="left"/>
      <w:lvlText w:val="●"/>
      <w:numFmt w:val="bullet"/>
      <w:start w:val="1"/>
    </w:lvl>
  </w:abstractNum>
  <w:abstractNum w:abstractNumId="66">
    <w:nsid w:val="46B7D447"/>
    <w:multiLevelType w:val="hybridMultilevel"/>
    <w:lvl w:ilvl="0">
      <w:lvlJc w:val="left"/>
      <w:lvlText w:val="(%1)"/>
      <w:numFmt w:val="decimal"/>
      <w:start w:val="1"/>
    </w:lvl>
  </w:abstractNum>
  <w:abstractNum w:abstractNumId="67">
    <w:nsid w:val="4A2AC315"/>
    <w:multiLevelType w:val="hybridMultilevel"/>
    <w:lvl w:ilvl="0">
      <w:lvlJc w:val="left"/>
      <w:lvlText w:val="(%1)"/>
      <w:numFmt w:val="lowerRoman"/>
      <w:start w:val="3"/>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1)"/>
      <w:numFmt w:val="decimal"/>
      <w:start w:val="1"/>
    </w:lvl>
  </w:abstractNum>
  <w:abstractNum w:abstractNumId="70">
    <w:nsid w:val="CC1016F"/>
    <w:multiLevelType w:val="hybridMultilevel"/>
    <w:lvl w:ilvl="0">
      <w:lvlJc w:val="left"/>
      <w:lvlText w:val="%1."/>
      <w:numFmt w:val="decimal"/>
      <w:start w:val="18"/>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1)"/>
      <w:numFmt w:val="decimal"/>
      <w:start w:val="1"/>
    </w:lvl>
    <w:lvl w:ilvl="1">
      <w:lvlJc w:val="left"/>
      <w:lvlText w:val="(%2)"/>
      <w:numFmt w:val="lowerRoman"/>
      <w:start w:val="1"/>
    </w:lvl>
  </w:abstractNum>
  <w:abstractNum w:abstractNumId="74">
    <w:nsid w:val="7F01579B"/>
    <w:multiLevelType w:val="hybridMultilevel"/>
    <w:lvl w:ilvl="0">
      <w:lvlJc w:val="left"/>
      <w:lvlText w:val="(%1)"/>
      <w:numFmt w:val="decimal"/>
      <w:start w:val="4"/>
    </w:lvl>
    <w:lvl w:ilvl="1">
      <w:lvlJc w:val="left"/>
      <w:lvlText w:val="(%2)"/>
      <w:numFmt w:val="upperLetter"/>
      <w:start w:val="1"/>
    </w:lvl>
  </w:abstractNum>
  <w:abstractNum w:abstractNumId="75">
    <w:nsid w:val="49DA307D"/>
    <w:multiLevelType w:val="hybridMultilevel"/>
    <w:lvl w:ilvl="0">
      <w:lvlJc w:val="left"/>
      <w:lvlText w:val="%1"/>
      <w:numFmt w:val="lowerRoman"/>
      <w:start w:val="1"/>
    </w:lvl>
    <w:lvl w:ilvl="1">
      <w:lvlJc w:val="left"/>
      <w:lvlText w:val="(%2)"/>
      <w:numFmt w:val="upperLetter"/>
      <w:start w:val="2"/>
    </w:lvl>
  </w:abstractNum>
  <w:abstractNum w:abstractNumId="76">
    <w:nsid w:val="7055A5F5"/>
    <w:multiLevelType w:val="hybridMultilevel"/>
    <w:lvl w:ilvl="0">
      <w:lvlJc w:val="left"/>
      <w:lvlText w:val="(%1)"/>
      <w:numFmt w:val="lowerRoman"/>
      <w:start w:val="2"/>
    </w:lvl>
    <w:lvl w:ilvl="1">
      <w:lvlJc w:val="left"/>
      <w:lvlText w:val="%2"/>
      <w:numFmt w:val="upperLetter"/>
      <w:start w:val="1"/>
    </w:lvl>
  </w:abstractNum>
  <w:abstractNum w:abstractNumId="77">
    <w:nsid w:val="5FB8370B"/>
    <w:multiLevelType w:val="hybridMultilevel"/>
    <w:lvl w:ilvl="0">
      <w:lvlJc w:val="left"/>
      <w:lvlText w:val="(%1)"/>
      <w:numFmt w:val="lowerRoman"/>
      <w:start w:val="1"/>
    </w:lvl>
    <w:lvl w:ilvl="1">
      <w:lvlJc w:val="left"/>
      <w:lvlText w:val="(%2)"/>
      <w:numFmt w:val="decimal"/>
      <w:start w:val="6"/>
    </w:lvl>
  </w:abstractNum>
  <w:abstractNum w:abstractNumId="78">
    <w:nsid w:val="50801EE1"/>
    <w:multiLevelType w:val="hybridMultilevel"/>
    <w:lvl w:ilvl="0">
      <w:lvlJc w:val="left"/>
      <w:lvlText w:val="(%1)"/>
      <w:numFmt w:val="lowerRoman"/>
      <w:start w:val="1"/>
    </w:lvl>
  </w:abstractNum>
  <w:abstractNum w:abstractNumId="79">
    <w:nsid w:val="488AC1A"/>
    <w:multiLevelType w:val="hybridMultilevel"/>
    <w:lvl w:ilvl="0">
      <w:lvlJc w:val="left"/>
      <w:lvlText w:val="(%1)"/>
      <w:numFmt w:val="lowerLetter"/>
      <w:start w:val="1"/>
    </w:lvl>
  </w:abstractNum>
  <w:abstractNum w:abstractNumId="80">
    <w:nsid w:val="5FB8011C"/>
    <w:multiLevelType w:val="hybridMultilevel"/>
    <w:lvl w:ilvl="0">
      <w:lvlJc w:val="left"/>
      <w:lvlText w:val="(%1)"/>
      <w:numFmt w:val="lowerLetter"/>
      <w:start w:val="3"/>
    </w:lvl>
  </w:abstractNum>
  <w:abstractNum w:abstractNumId="81">
    <w:nsid w:val="6AA78F7F"/>
    <w:multiLevelType w:val="hybridMultilevel"/>
    <w:lvl w:ilvl="0">
      <w:lvlJc w:val="left"/>
      <w:lvlText w:val="(%1)"/>
      <w:numFmt w:val="lowerLetter"/>
      <w:start w:val="1"/>
    </w:lvl>
  </w:abstractNum>
  <w:abstractNum w:abstractNumId="82">
    <w:nsid w:val="7672BD23"/>
    <w:multiLevelType w:val="hybridMultilevel"/>
    <w:lvl w:ilvl="0">
      <w:lvlJc w:val="left"/>
      <w:lvlText w:val="(%1)"/>
      <w:numFmt w:val="lowerLetter"/>
      <w:start w:val="2"/>
    </w:lvl>
    <w:lvl w:ilvl="1">
      <w:lvlJc w:val="left"/>
      <w:lvlText w:val="(%2)"/>
      <w:numFmt w:val="lowerLetter"/>
      <w:start w:val="5"/>
    </w:lvl>
  </w:abstractNum>
  <w:abstractNum w:abstractNumId="83">
    <w:nsid w:val="6FC75AF8"/>
    <w:multiLevelType w:val="hybridMultilevel"/>
    <w:lvl w:ilvl="0">
      <w:lvlJc w:val="left"/>
      <w:lvlText w:val="(%1)"/>
      <w:numFmt w:val="lowerLetter"/>
      <w:start w:val="7"/>
    </w:lvl>
  </w:abstractNum>
  <w:abstractNum w:abstractNumId="84">
    <w:nsid w:val="6A5F7029"/>
    <w:multiLevelType w:val="hybridMultilevel"/>
    <w:lvl w:ilvl="0">
      <w:lvlJc w:val="left"/>
      <w:lvlText w:val="(%1)"/>
      <w:numFmt w:val="lowerLetter"/>
      <w:start w:val="11"/>
    </w:lvl>
  </w:abstractNum>
  <w:abstractNum w:abstractNumId="85">
    <w:nsid w:val="7D5E18F8"/>
    <w:multiLevelType w:val="hybridMultilevel"/>
    <w:lvl w:ilvl="0">
      <w:lvlJc w:val="left"/>
      <w:lvlText w:val="%1"/>
      <w:numFmt w:val="lowerLetter"/>
      <w:start w:val="1"/>
    </w:lvl>
    <w:lvl w:ilvl="1">
      <w:lvlJc w:val="left"/>
      <w:lvlText w:val="(%2)"/>
      <w:numFmt w:val="lowerLetter"/>
      <w:start w:val="15"/>
    </w:lvl>
  </w:abstractNum>
  <w:abstractNum w:abstractNumId="86">
    <w:nsid w:val="5F3534A4"/>
    <w:multiLevelType w:val="hybridMultilevel"/>
    <w:lvl w:ilvl="0">
      <w:lvlJc w:val="left"/>
      <w:lvlText w:val="(%1)"/>
      <w:numFmt w:val="lowerLetter"/>
      <w:start w:val="4"/>
    </w:lvl>
    <w:lvl w:ilvl="1">
      <w:lvlJc w:val="left"/>
      <w:lvlText w:val="(%2)"/>
      <w:numFmt w:val="lowerLetter"/>
      <w:start w:val="18"/>
    </w:lvl>
  </w:abstractNum>
  <w:abstractNum w:abstractNumId="87">
    <w:nsid w:val="73A1821B"/>
    <w:multiLevelType w:val="hybridMultilevel"/>
    <w:lvl w:ilvl="0">
      <w:lvlJc w:val="left"/>
      <w:lvlText w:val="(%1)"/>
      <w:numFmt w:val="lowerLetter"/>
      <w:start w:val="19"/>
    </w:lvl>
  </w:abstractNum>
  <w:abstractNum w:abstractNumId="88">
    <w:nsid w:val="7DE67713"/>
    <w:multiLevelType w:val="hybridMultilevel"/>
    <w:lvl w:ilvl="0">
      <w:lvlJc w:val="left"/>
      <w:lvlText w:val="(%1)"/>
      <w:numFmt w:val="lowerLetter"/>
      <w:start w:val="24"/>
    </w:lvl>
  </w:abstractNum>
  <w:abstractNum w:abstractNumId="89">
    <w:nsid w:val="555C55B5"/>
    <w:multiLevelType w:val="hybridMultilevel"/>
    <w:lvl w:ilvl="0">
      <w:lvlJc w:val="left"/>
      <w:lvlText w:val="(%1)"/>
      <w:numFmt w:val="lowerLetter"/>
      <w:start w:val="27"/>
    </w:lvl>
  </w:abstractNum>
  <w:abstractNum w:abstractNumId="90">
    <w:nsid w:val="3FA62ACA"/>
    <w:multiLevelType w:val="hybridMultilevel"/>
    <w:lvl w:ilvl="0">
      <w:lvlJc w:val="left"/>
      <w:lvlText w:val="(%1)"/>
      <w:numFmt w:val="lowerLetter"/>
      <w:start w:val="28"/>
    </w:lvl>
  </w:abstractNum>
  <w:abstractNum w:abstractNumId="91">
    <w:nsid w:val="14FCE74E"/>
    <w:multiLevelType w:val="hybridMultilevel"/>
    <w:lvl w:ilvl="0">
      <w:lvlJc w:val="left"/>
      <w:lvlText w:val="(%1)"/>
      <w:numFmt w:val="lowerLetter"/>
      <w:start w:val="32"/>
    </w:lvl>
  </w:abstractNum>
  <w:abstractNum w:abstractNumId="92">
    <w:nsid w:val="6A3DD3E8"/>
    <w:multiLevelType w:val="hybridMultilevel"/>
    <w:lvl w:ilvl="0">
      <w:lvlJc w:val="left"/>
      <w:lvlText w:val="%1"/>
      <w:numFmt w:val="lowerLetter"/>
      <w:start w:val="1"/>
    </w:lvl>
    <w:lvl w:ilvl="1">
      <w:lvlJc w:val="left"/>
      <w:lvlText w:val="(%2)"/>
      <w:numFmt w:val="lowerLetter"/>
      <w:start w:val="38"/>
    </w:lvl>
  </w:abstractNum>
  <w:abstractNum w:abstractNumId="93">
    <w:nsid w:val="71C91298"/>
    <w:multiLevelType w:val="hybridMultilevel"/>
    <w:lvl w:ilvl="0">
      <w:lvlJc w:val="left"/>
      <w:lvlText w:val="(%1)"/>
      <w:numFmt w:val="lowerLetter"/>
      <w:start w:val="9"/>
    </w:lvl>
    <w:lvl w:ilvl="1">
      <w:lvlJc w:val="left"/>
      <w:lvlText w:val="(%2)"/>
      <w:numFmt w:val="lowerLetter"/>
      <w:start w:val="42"/>
    </w:lvl>
  </w:abstractNum>
  <w:abstractNum w:abstractNumId="94">
    <w:nsid w:val="9DAF632"/>
    <w:multiLevelType w:val="hybridMultilevel"/>
    <w:lvl w:ilvl="0">
      <w:lvlJc w:val="left"/>
      <w:lvlText w:val="(%1)"/>
      <w:numFmt w:val="lowerLetter"/>
      <w:start w:val="45"/>
    </w:lvl>
    <w:lvl w:ilvl="1">
      <w:lvlJc w:val="left"/>
      <w:lvlText w:val="(%2)"/>
      <w:numFmt w:val="lowerLetter"/>
      <w:start w:val="52"/>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1"/>
      <w:numFmt w:val="lowerLetter"/>
      <w:start w:val="1"/>
    </w:lvl>
    <w:lvl w:ilvl="1">
      <w:lvlJc w:val="left"/>
      <w:lvlText w:val="(%2)"/>
      <w:numFmt w:val="lowerLetter"/>
      <w:start w:val="53"/>
    </w:lvl>
  </w:abstractNum>
  <w:abstractNum w:abstractNumId="97">
    <w:nsid w:val="5092CA79"/>
    <w:multiLevelType w:val="hybridMultilevel"/>
    <w:lvl w:ilvl="0">
      <w:lvlJc w:val="left"/>
      <w:lvlText w:val="(%1)"/>
      <w:numFmt w:val="lowerLetter"/>
      <w:start w:val="61"/>
    </w:lvl>
    <w:lvl w:ilvl="1">
      <w:lvlJc w:val="left"/>
      <w:lvlText w:val="(%2)"/>
      <w:numFmt w:val="lowerLetter"/>
      <w:start w:val="55"/>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lowerLetter"/>
      <w:start w:val="2"/>
    </w:lvl>
  </w:abstractNum>
  <w:abstractNum w:abstractNumId="100">
    <w:nsid w:val="288F1A34"/>
    <w:multiLevelType w:val="hybridMultilevel"/>
    <w:lvl w:ilvl="0">
      <w:lvlJc w:val="left"/>
      <w:lvlText w:val="(%1)"/>
      <w:numFmt w:val="lowerLetter"/>
      <w:start w:val="6"/>
    </w:lvl>
  </w:abstractNum>
  <w:abstractNum w:abstractNumId="101">
    <w:nsid w:val="2A155DBC"/>
    <w:multiLevelType w:val="hybridMultilevel"/>
    <w:lvl w:ilvl="0">
      <w:lvlJc w:val="left"/>
      <w:lvlText w:val="(%1)"/>
      <w:numFmt w:val="lowerLetter"/>
      <w:start w:val="10"/>
    </w:lvl>
  </w:abstractNum>
  <w:abstractNum w:abstractNumId="102">
    <w:nsid w:val="1D9F6E5F"/>
    <w:multiLevelType w:val="hybridMultilevel"/>
    <w:lvl w:ilvl="0">
      <w:lvlJc w:val="left"/>
      <w:lvlText w:val="(%1)"/>
      <w:numFmt w:val="lowerLetter"/>
      <w:start w:val="19"/>
    </w:lvl>
    <w:lvl w:ilvl="1">
      <w:lvlJc w:val="left"/>
      <w:lvlText w:val="(%2)"/>
      <w:numFmt w:val="lowerLetter"/>
      <w:start w:val="21"/>
    </w:lvl>
  </w:abstractNum>
  <w:abstractNum w:abstractNumId="103">
    <w:nsid w:val="97E1B4E"/>
    <w:multiLevelType w:val="hybridMultilevel"/>
    <w:lvl w:ilvl="0">
      <w:lvlJc w:val="left"/>
      <w:lvlText w:val="(%1)"/>
      <w:numFmt w:val="lowerRoman"/>
      <w:start w:val="16"/>
    </w:lvl>
  </w:abstractNum>
  <w:abstractNum w:abstractNumId="104">
    <w:nsid w:val="51088277"/>
    <w:multiLevelType w:val="hybridMultilevel"/>
    <w:lvl w:ilvl="0">
      <w:lvlJc w:val="left"/>
      <w:lvlText w:val="(%1)"/>
      <w:numFmt w:val="lowerLetter"/>
      <w:start w:val="1"/>
    </w:lvl>
  </w:abstractNum>
  <w:abstractNum w:abstractNumId="105">
    <w:nsid w:val="1CA0C5FA"/>
    <w:multiLevelType w:val="hybridMultilevel"/>
    <w:lvl w:ilvl="0">
      <w:lvlJc w:val="left"/>
      <w:lvlText w:val="(%1)"/>
      <w:numFmt w:val="lowerLetter"/>
      <w:start w:val="5"/>
    </w:lvl>
  </w:abstractNum>
  <w:abstractNum w:abstractNumId="106">
    <w:nsid w:val="53584BCB"/>
    <w:multiLevelType w:val="hybridMultilevel"/>
    <w:lvl w:ilvl="0">
      <w:lvlJc w:val="left"/>
      <w:lvlText w:val="%1"/>
      <w:numFmt w:val="lowerLetter"/>
      <w:start w:val="1"/>
    </w:lvl>
    <w:lvl w:ilvl="1">
      <w:lvlJc w:val="left"/>
      <w:lvlText w:val="(%2)"/>
      <w:numFmt w:val="lowerRoman"/>
      <w:start w:val="2"/>
    </w:lvl>
  </w:abstractNum>
  <w:abstractNum w:abstractNumId="107">
    <w:nsid w:val="415E286C"/>
    <w:multiLevelType w:val="hybridMultilevel"/>
    <w:lvl w:ilvl="0">
      <w:lvlJc w:val="left"/>
      <w:lvlText w:val="(%1)"/>
      <w:numFmt w:val="lowerLetter"/>
      <w:start w:val="9"/>
    </w:lvl>
    <w:lvl w:ilvl="1">
      <w:lvlJc w:val="left"/>
      <w:lvlText w:val="%2"/>
      <w:numFmt w:val="lowerRoman"/>
      <w:start w:val="1"/>
    </w:lvl>
  </w:abstractNum>
  <w:abstractNum w:abstractNumId="108">
    <w:nsid w:val="7C58FD05"/>
    <w:multiLevelType w:val="hybridMultilevel"/>
    <w:lvl w:ilvl="0">
      <w:lvlJc w:val="left"/>
      <w:lvlText w:val="(%1)"/>
      <w:numFmt w:val="lowerLetter"/>
      <w:start w:val="11"/>
    </w:lvl>
  </w:abstractNum>
  <w:abstractNum w:abstractNumId="109">
    <w:nsid w:val="23D86AAC"/>
    <w:multiLevelType w:val="hybridMultilevel"/>
    <w:lvl w:ilvl="0">
      <w:lvlJc w:val="left"/>
      <w:lvlText w:val="(%1)"/>
      <w:numFmt w:val="lowerLetter"/>
      <w:start w:val="1"/>
    </w:lvl>
  </w:abstractNum>
  <w:abstractNum w:abstractNumId="110">
    <w:nsid w:val="45E6D486"/>
    <w:multiLevelType w:val="hybridMultilevel"/>
    <w:lvl w:ilvl="0">
      <w:lvlJc w:val="left"/>
      <w:lvlText w:val="(%1)"/>
      <w:numFmt w:val="lowerLetter"/>
      <w:start w:val="2"/>
    </w:lvl>
  </w:abstractNum>
  <w:abstractNum w:abstractNumId="111">
    <w:nsid w:val="5C10FE21"/>
    <w:multiLevelType w:val="hybridMultilevel"/>
    <w:lvl w:ilvl="0">
      <w:lvlJc w:val="left"/>
      <w:lvlText w:val="%1"/>
      <w:numFmt w:val="lowerLetter"/>
      <w:start w:val="1"/>
    </w:lvl>
    <w:lvl w:ilvl="1">
      <w:lvlJc w:val="left"/>
      <w:lvlText w:val="(%2)"/>
      <w:numFmt w:val="lowerLetter"/>
      <w:start w:val="3"/>
    </w:lvl>
  </w:abstractNum>
  <w:abstractNum w:abstractNumId="112">
    <w:nsid w:val="E7FFA2B"/>
    <w:multiLevelType w:val="hybridMultilevel"/>
    <w:lvl w:ilvl="0">
      <w:lvlJc w:val="left"/>
      <w:lvlText w:val="(%1)"/>
      <w:numFmt w:val="lowerLetter"/>
      <w:start w:val="61"/>
    </w:lvl>
    <w:lvl w:ilvl="1">
      <w:lvlJc w:val="left"/>
      <w:lvlText w:val="%2"/>
      <w:numFmt w:val="lowerLetter"/>
      <w:start w:val="1"/>
    </w:lvl>
  </w:abstractNum>
  <w:abstractNum w:abstractNumId="113">
    <w:nsid w:val="3C5991AA"/>
    <w:multiLevelType w:val="hybridMultilevel"/>
    <w:lvl w:ilvl="0">
      <w:lvlJc w:val="left"/>
      <w:lvlText w:val="(%1)"/>
      <w:numFmt w:val="lowerLetter"/>
      <w:start w:val="1"/>
    </w:lvl>
  </w:abstractNum>
  <w:abstractNum w:abstractNumId="114">
    <w:nsid w:val="4BD8591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2020-01-28T03:54:52Z</dcterms:created>
  <dcterms:modified xsi:type="dcterms:W3CDTF">2020-01-28T03:54:52Z</dcterms:modified>
</cp:coreProperties>
</file>