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u w:val="single" w:color="auto"/>
          <w:color w:val="auto"/>
        </w:rPr>
        <w:t>May 7, 2015</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000-54014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VistaGen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small business issuer as specified in its charter)</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7"/>
          <w:szCs w:val="17"/>
          <w:u w:val="single" w:color="auto"/>
          <w:color w:val="auto"/>
        </w:rPr>
        <w:t>Nevada</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u w:val="single" w:color="auto"/>
          <w:color w:val="auto"/>
        </w:rPr>
        <w:t>20-5093315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(IRS Employer Identification No.)</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7"/>
          <w:szCs w:val="17"/>
          <w:u w:val="single" w:color="auto"/>
          <w:color w:val="auto"/>
        </w:rPr>
        <w:t>343 Allerton Avenue, South San Francisco, California 94080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w:t>
      </w:r>
    </w:p>
    <w:p>
      <w:pPr>
        <w:spacing w:after="0" w:line="233" w:lineRule="exact"/>
        <w:rPr>
          <w:sz w:val="24"/>
          <w:szCs w:val="24"/>
          <w:color w:val="auto"/>
        </w:rPr>
      </w:pPr>
    </w:p>
    <w:p>
      <w:pPr>
        <w:ind w:left="5600" w:hanging="423"/>
        <w:spacing w:after="0"/>
        <w:tabs>
          <w:tab w:leader="none" w:pos="5600" w:val="left"/>
        </w:tabs>
        <w:numPr>
          <w:ilvl w:val="0"/>
          <w:numId w:val="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577-3600</w:t>
      </w:r>
    </w:p>
    <w:p>
      <w:pPr>
        <w:spacing w:after="0" w:line="21" w:lineRule="exact"/>
        <w:rPr>
          <w:rFonts w:ascii="Arial" w:cs="Arial" w:eastAsia="Arial" w:hAnsi="Arial"/>
          <w:sz w:val="17"/>
          <w:szCs w:val="17"/>
          <w:u w:val="single" w:color="auto"/>
          <w:color w:val="auto"/>
        </w:rPr>
      </w:pPr>
    </w:p>
    <w:p>
      <w:pPr>
        <w:ind w:left="4600"/>
        <w:spacing w:after="0"/>
        <w:rPr>
          <w:rFonts w:ascii="Arial" w:cs="Arial" w:eastAsia="Arial" w:hAnsi="Arial"/>
          <w:sz w:val="17"/>
          <w:szCs w:val="17"/>
          <w:u w:val="single" w:color="auto"/>
          <w:color w:val="auto"/>
        </w:rPr>
      </w:pPr>
      <w:r>
        <w:rPr>
          <w:rFonts w:ascii="Arial" w:cs="Arial" w:eastAsia="Arial" w:hAnsi="Arial"/>
          <w:sz w:val="17"/>
          <w:szCs w:val="17"/>
          <w:color w:val="auto"/>
        </w:rPr>
        <w:t>(Registrant's Telephone number)</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3" w:lineRule="exact"/>
        <w:rPr>
          <w:sz w:val="24"/>
          <w:szCs w:val="24"/>
          <w:color w:val="auto"/>
        </w:rPr>
      </w:pPr>
    </w:p>
    <w:p>
      <w:pPr>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140" w:hanging="137"/>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243" w:lineRule="exact"/>
        <w:rPr>
          <w:rFonts w:ascii="Arial" w:cs="Arial" w:eastAsia="Arial" w:hAnsi="Arial"/>
          <w:sz w:val="17"/>
          <w:szCs w:val="17"/>
          <w:color w:val="auto"/>
        </w:rPr>
      </w:pPr>
    </w:p>
    <w:p>
      <w:pPr>
        <w:ind w:left="140" w:hanging="137"/>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243" w:lineRule="exact"/>
        <w:rPr>
          <w:rFonts w:ascii="Arial" w:cs="Arial" w:eastAsia="Arial" w:hAnsi="Arial"/>
          <w:sz w:val="17"/>
          <w:szCs w:val="17"/>
          <w:color w:val="auto"/>
        </w:rPr>
      </w:pPr>
    </w:p>
    <w:p>
      <w:pPr>
        <w:ind w:left="140" w:hanging="137"/>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243" w:lineRule="exact"/>
        <w:rPr>
          <w:rFonts w:ascii="Arial" w:cs="Arial" w:eastAsia="Arial" w:hAnsi="Arial"/>
          <w:sz w:val="17"/>
          <w:szCs w:val="17"/>
          <w:color w:val="auto"/>
        </w:rPr>
      </w:pPr>
    </w:p>
    <w:p>
      <w:pPr>
        <w:ind w:left="140" w:hanging="137"/>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430530</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Creation of Series B 10% Convertible Preferred Stock</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7, 2015, VistaGen Therapeutics, Inc., a Nevada corporation (the “</w:t>
      </w:r>
      <w:r>
        <w:rPr>
          <w:rFonts w:ascii="Arial" w:cs="Arial" w:eastAsia="Arial" w:hAnsi="Arial"/>
          <w:sz w:val="17"/>
          <w:szCs w:val="17"/>
          <w:i w:val="1"/>
          <w:iCs w:val="1"/>
          <w:color w:val="auto"/>
        </w:rPr>
        <w:t>Company</w:t>
      </w:r>
      <w:r>
        <w:rPr>
          <w:rFonts w:ascii="Arial" w:cs="Arial" w:eastAsia="Arial" w:hAnsi="Arial"/>
          <w:sz w:val="17"/>
          <w:szCs w:val="17"/>
          <w:color w:val="auto"/>
        </w:rPr>
        <w:t>”), filed the Certificate of Designation of the Relative Rights and Preferences of the Series B 10% Preferred Stock of VistaGen Therapeutics, Inc. (the “</w:t>
      </w:r>
      <w:r>
        <w:rPr>
          <w:rFonts w:ascii="Arial" w:cs="Arial" w:eastAsia="Arial" w:hAnsi="Arial"/>
          <w:sz w:val="17"/>
          <w:szCs w:val="17"/>
          <w:i w:val="1"/>
          <w:iCs w:val="1"/>
          <w:color w:val="auto"/>
        </w:rPr>
        <w:t>Certificate of Designation</w:t>
      </w:r>
      <w:r>
        <w:rPr>
          <w:rFonts w:ascii="Arial" w:cs="Arial" w:eastAsia="Arial" w:hAnsi="Arial"/>
          <w:sz w:val="17"/>
          <w:szCs w:val="17"/>
          <w:color w:val="auto"/>
        </w:rPr>
        <w:t>”) with the Nevada Secretary of State in order to designate 4.0 million shares of the Company’s preferred stock as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A copy of the Certificate of Designation is attached to this Current Report on Form 8-K as Exhibit 3.1.</w:t>
      </w:r>
    </w:p>
    <w:p>
      <w:pPr>
        <w:spacing w:after="0" w:line="179" w:lineRule="exact"/>
        <w:rPr>
          <w:sz w:val="20"/>
          <w:szCs w:val="20"/>
          <w:color w:val="auto"/>
        </w:rPr>
      </w:pPr>
    </w:p>
    <w:p>
      <w:pPr>
        <w:jc w:val="both"/>
        <w:ind w:firstLine="620"/>
        <w:spacing w:after="0" w:line="295"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par value $0.001 per share (“</w:t>
      </w:r>
      <w:r>
        <w:rPr>
          <w:rFonts w:ascii="Arial" w:cs="Arial" w:eastAsia="Arial" w:hAnsi="Arial"/>
          <w:sz w:val="15"/>
          <w:szCs w:val="15"/>
          <w:i w:val="1"/>
          <w:iCs w:val="1"/>
          <w:color w:val="auto"/>
        </w:rPr>
        <w:t>Common Stock</w:t>
      </w:r>
      <w:r>
        <w:rPr>
          <w:rFonts w:ascii="Arial" w:cs="Arial" w:eastAsia="Arial" w:hAnsi="Arial"/>
          <w:sz w:val="15"/>
          <w:szCs w:val="15"/>
          <w:color w:val="auto"/>
        </w:rPr>
        <w:t>”) at a fixed conversion price of $7.00 per share (the “</w:t>
      </w:r>
      <w:r>
        <w:rPr>
          <w:rFonts w:ascii="Arial" w:cs="Arial" w:eastAsia="Arial" w:hAnsi="Arial"/>
          <w:sz w:val="15"/>
          <w:szCs w:val="15"/>
          <w:i w:val="1"/>
          <w:iCs w:val="1"/>
          <w:color w:val="auto"/>
        </w:rPr>
        <w:t>Conversion Price</w:t>
      </w:r>
      <w:r>
        <w:rPr>
          <w:rFonts w:ascii="Arial" w:cs="Arial" w:eastAsia="Arial" w:hAnsi="Arial"/>
          <w:sz w:val="15"/>
          <w:szCs w:val="15"/>
          <w:color w:val="auto"/>
        </w:rPr>
        <w:t>”). The Conversion Price is subject to adjustment only for customary stock dividends, reclassifications, splits and similar transactions set forth in Section 7 of the Certificate of Designation.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the Company’s new drug candidate in Phase 2 clinical development for depression and other diseases and disorders of the central nervous system, with an initial up front cash payment to the Company of at least $10.0 million ;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5"/>
          <w:szCs w:val="15"/>
          <w:i w:val="1"/>
          <w:iCs w:val="1"/>
          <w:color w:val="auto"/>
        </w:rPr>
        <w:t>Conversion</w:t>
      </w:r>
      <w:r>
        <w:rPr>
          <w:rFonts w:ascii="Arial" w:cs="Arial" w:eastAsia="Arial" w:hAnsi="Arial"/>
          <w:sz w:val="15"/>
          <w:szCs w:val="15"/>
          <w:color w:val="auto"/>
        </w:rPr>
        <w:t>”) are subject to certain beneficial ownership blockers set forth in Section 6 of the Certificate of Designation.</w:t>
      </w:r>
    </w:p>
    <w:p>
      <w:pPr>
        <w:spacing w:after="0" w:line="157"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Prior to Conversion, shares of Series B Preferred will accrue dividends, payable only in Common Stock, at a rate of 10% per annum (the “</w:t>
      </w:r>
      <w:r>
        <w:rPr>
          <w:rFonts w:ascii="Arial" w:cs="Arial" w:eastAsia="Arial" w:hAnsi="Arial"/>
          <w:sz w:val="17"/>
          <w:szCs w:val="17"/>
          <w:i w:val="1"/>
          <w:iCs w:val="1"/>
          <w:color w:val="auto"/>
        </w:rPr>
        <w:t>Accrued</w:t>
      </w:r>
      <w:r>
        <w:rPr>
          <w:rFonts w:ascii="Arial" w:cs="Arial" w:eastAsia="Arial" w:hAnsi="Arial"/>
          <w:sz w:val="17"/>
          <w:szCs w:val="17"/>
          <w:color w:val="auto"/>
        </w:rPr>
        <w:t xml:space="preserve"> </w:t>
      </w:r>
      <w:r>
        <w:rPr>
          <w:rFonts w:ascii="Arial" w:cs="Arial" w:eastAsia="Arial" w:hAnsi="Arial"/>
          <w:sz w:val="17"/>
          <w:szCs w:val="17"/>
          <w:i w:val="1"/>
          <w:iCs w:val="1"/>
          <w:color w:val="auto"/>
        </w:rPr>
        <w:t>Dividend</w:t>
      </w:r>
      <w:r>
        <w:rPr>
          <w:rFonts w:ascii="Arial" w:cs="Arial" w:eastAsia="Arial" w:hAnsi="Arial"/>
          <w:sz w:val="17"/>
          <w:szCs w:val="17"/>
          <w:color w:val="auto"/>
        </w:rPr>
        <w:t>”). The Accrued Dividend will be payable on the date of either a Voluntary Conversion or Automatic Conversion solely in that number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equal to the Accrued Dividend, divided by the Conversion Price.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 with Platinum Long Term Growth VII, LLC</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Effective May 12, 2015, the Company and Platinum Long Term Growth VII, LLC (“</w:t>
      </w:r>
      <w:r>
        <w:rPr>
          <w:rFonts w:ascii="Arial" w:cs="Arial" w:eastAsia="Arial" w:hAnsi="Arial"/>
          <w:sz w:val="17"/>
          <w:szCs w:val="17"/>
          <w:i w:val="1"/>
          <w:iCs w:val="1"/>
          <w:color w:val="auto"/>
        </w:rPr>
        <w:t>Platinum</w:t>
      </w:r>
      <w:r>
        <w:rPr>
          <w:rFonts w:ascii="Arial" w:cs="Arial" w:eastAsia="Arial" w:hAnsi="Arial"/>
          <w:sz w:val="17"/>
          <w:szCs w:val="17"/>
          <w:color w:val="auto"/>
        </w:rPr>
        <w:t>”) entered into an agreement, a copy of which is attached hereto as Exhibit 10.1, as modified by the Acknowledgement and Agreement, a copy of which is attached hereto as Exhibit 10.2 (“</w:t>
      </w:r>
      <w:r>
        <w:rPr>
          <w:rFonts w:ascii="Arial" w:cs="Arial" w:eastAsia="Arial" w:hAnsi="Arial"/>
          <w:sz w:val="17"/>
          <w:szCs w:val="17"/>
          <w:i w:val="1"/>
          <w:iCs w:val="1"/>
          <w:color w:val="auto"/>
        </w:rPr>
        <w:t>Acknowledgement</w:t>
      </w:r>
      <w:r>
        <w:rPr>
          <w:rFonts w:ascii="Arial" w:cs="Arial" w:eastAsia="Arial" w:hAnsi="Arial"/>
          <w:sz w:val="17"/>
          <w:szCs w:val="17"/>
          <w:color w:val="auto"/>
        </w:rPr>
        <w:t>”) (the “</w:t>
      </w:r>
      <w:r>
        <w:rPr>
          <w:rFonts w:ascii="Arial" w:cs="Arial" w:eastAsia="Arial" w:hAnsi="Arial"/>
          <w:sz w:val="17"/>
          <w:szCs w:val="17"/>
          <w:i w:val="1"/>
          <w:iCs w:val="1"/>
          <w:color w:val="auto"/>
        </w:rPr>
        <w:t>Platinum Agreement</w:t>
      </w:r>
      <w:r>
        <w:rPr>
          <w:rFonts w:ascii="Arial" w:cs="Arial" w:eastAsia="Arial" w:hAnsi="Arial"/>
          <w:sz w:val="17"/>
          <w:szCs w:val="17"/>
          <w:color w:val="auto"/>
        </w:rPr>
        <w:t>”).</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Under the Platinum Agreement, Platinum has:</w:t>
      </w:r>
    </w:p>
    <w:p>
      <w:pPr>
        <w:spacing w:after="0" w:line="243" w:lineRule="exact"/>
        <w:rPr>
          <w:sz w:val="20"/>
          <w:szCs w:val="20"/>
          <w:color w:val="auto"/>
        </w:rPr>
      </w:pPr>
    </w:p>
    <w:p>
      <w:pPr>
        <w:jc w:val="both"/>
        <w:ind w:left="320" w:hanging="136"/>
        <w:spacing w:after="0" w:line="266"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Converted all of the approximately $4.5 million outstanding balance (principal and accrued but unpaid interest) of its Senior Secured Convertible Promissory Notes issued by the Company (the “</w:t>
      </w:r>
      <w:r>
        <w:rPr>
          <w:rFonts w:ascii="Arial" w:cs="Arial" w:eastAsia="Arial" w:hAnsi="Arial"/>
          <w:sz w:val="17"/>
          <w:szCs w:val="17"/>
          <w:i w:val="1"/>
          <w:iCs w:val="1"/>
          <w:color w:val="auto"/>
        </w:rPr>
        <w:t>Senior Secured Notes</w:t>
      </w:r>
      <w:r>
        <w:rPr>
          <w:rFonts w:ascii="Arial" w:cs="Arial" w:eastAsia="Arial" w:hAnsi="Arial"/>
          <w:sz w:val="17"/>
          <w:szCs w:val="17"/>
          <w:color w:val="auto"/>
        </w:rPr>
        <w:t>”), into 641,335 shares of Series B Preferred, thereby cancelling approximately $4.5 million of the Company’s indebtedness;</w:t>
      </w:r>
    </w:p>
    <w:p>
      <w:pPr>
        <w:spacing w:after="0" w:line="201" w:lineRule="exact"/>
        <w:rPr>
          <w:rFonts w:ascii="Arial" w:cs="Arial" w:eastAsia="Arial" w:hAnsi="Arial"/>
          <w:sz w:val="17"/>
          <w:szCs w:val="17"/>
          <w:color w:val="auto"/>
        </w:rPr>
      </w:pPr>
    </w:p>
    <w:p>
      <w:pPr>
        <w:ind w:left="320" w:hanging="136"/>
        <w:spacing w:after="0" w:line="280"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Released all of its security interests in the assets of the Company and its subsidiaries by terminating the Amended and Restated Security Agreement, IP Security Agreement and Negative Covenant, each by and between the Company and Platinum and dated October 11, 2012;</w:t>
      </w:r>
    </w:p>
    <w:p>
      <w:pPr>
        <w:spacing w:after="0" w:line="189" w:lineRule="exact"/>
        <w:rPr>
          <w:rFonts w:ascii="Arial" w:cs="Arial" w:eastAsia="Arial" w:hAnsi="Arial"/>
          <w:sz w:val="17"/>
          <w:szCs w:val="17"/>
          <w:color w:val="auto"/>
        </w:rPr>
      </w:pPr>
    </w:p>
    <w:p>
      <w:pPr>
        <w:jc w:val="both"/>
        <w:ind w:left="320" w:hanging="136"/>
        <w:spacing w:after="0" w:line="262"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Converted all of the approximately $1.3 million outstanding balance (principal and accrued but unpaid interest) of its Subordinated Convertible Promissory Notes issued by the Company (“</w:t>
      </w:r>
      <w:r>
        <w:rPr>
          <w:rFonts w:ascii="Arial" w:cs="Arial" w:eastAsia="Arial" w:hAnsi="Arial"/>
          <w:sz w:val="17"/>
          <w:szCs w:val="17"/>
          <w:i w:val="1"/>
          <w:iCs w:val="1"/>
          <w:color w:val="auto"/>
        </w:rPr>
        <w:t>Platinum Subordinated Notes</w:t>
      </w:r>
      <w:r>
        <w:rPr>
          <w:rFonts w:ascii="Arial" w:cs="Arial" w:eastAsia="Arial" w:hAnsi="Arial"/>
          <w:sz w:val="17"/>
          <w:szCs w:val="17"/>
          <w:color w:val="auto"/>
        </w:rPr>
        <w:t>”) into 240,305 shares of Series B Preferred and five-year warrants to purchase 240,305 shares of Common Stock at a fixed exercise price of $7.00 per share, subject to adjustment only for customary stock dividends, reclassifications, splits and similar transactions (“</w:t>
      </w:r>
      <w:r>
        <w:rPr>
          <w:rFonts w:ascii="Arial" w:cs="Arial" w:eastAsia="Arial" w:hAnsi="Arial"/>
          <w:sz w:val="17"/>
          <w:szCs w:val="17"/>
          <w:i w:val="1"/>
          <w:iCs w:val="1"/>
          <w:color w:val="auto"/>
        </w:rPr>
        <w:t>Warrants</w:t>
      </w:r>
      <w:r>
        <w:rPr>
          <w:rFonts w:ascii="Arial" w:cs="Arial" w:eastAsia="Arial" w:hAnsi="Arial"/>
          <w:sz w:val="17"/>
          <w:szCs w:val="17"/>
          <w:color w:val="auto"/>
        </w:rPr>
        <w:t>”), thereby cancelling approximately $1.3 million of the Company’s indebtedness;</w:t>
      </w:r>
    </w:p>
    <w:p>
      <w:pPr>
        <w:spacing w:after="0" w:line="204" w:lineRule="exact"/>
        <w:rPr>
          <w:rFonts w:ascii="Arial" w:cs="Arial" w:eastAsia="Arial" w:hAnsi="Arial"/>
          <w:sz w:val="17"/>
          <w:szCs w:val="17"/>
          <w:color w:val="auto"/>
        </w:rPr>
      </w:pPr>
    </w:p>
    <w:p>
      <w:pPr>
        <w:jc w:val="both"/>
        <w:ind w:left="320" w:hanging="136"/>
        <w:spacing w:after="0" w:line="291"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Purchased approximately $1.5 million (including accrued but unpaid interest thereon) of outstanding Subordinated Notes issued by the Company from the respective holders thereof (“</w:t>
      </w:r>
      <w:r>
        <w:rPr>
          <w:rFonts w:ascii="Arial" w:cs="Arial" w:eastAsia="Arial" w:hAnsi="Arial"/>
          <w:sz w:val="16"/>
          <w:szCs w:val="16"/>
          <w:i w:val="1"/>
          <w:iCs w:val="1"/>
          <w:color w:val="auto"/>
        </w:rPr>
        <w:t>Investor Subordinated Notes</w:t>
      </w:r>
      <w:r>
        <w:rPr>
          <w:rFonts w:ascii="Arial" w:cs="Arial" w:eastAsia="Arial" w:hAnsi="Arial"/>
          <w:sz w:val="16"/>
          <w:szCs w:val="16"/>
          <w:color w:val="auto"/>
        </w:rPr>
        <w:t>”) and converted the entire outstanding balance of the Investor Subordinated Notes into 265,699 shares of Series B Preferred and 265,699 Warrants, thereby cancelling approximately $1.5 million of the Company’s indebtedness;</w:t>
      </w:r>
    </w:p>
    <w:p>
      <w:pPr>
        <w:spacing w:after="0" w:line="182" w:lineRule="exact"/>
        <w:rPr>
          <w:rFonts w:ascii="Arial" w:cs="Arial" w:eastAsia="Arial" w:hAnsi="Arial"/>
          <w:sz w:val="16"/>
          <w:szCs w:val="16"/>
          <w:color w:val="auto"/>
        </w:rPr>
      </w:pPr>
    </w:p>
    <w:p>
      <w:pPr>
        <w:ind w:left="320" w:hanging="136"/>
        <w:spacing w:after="0" w:line="280"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Signed and delivered a Securities Purchase Agreement (“</w:t>
      </w:r>
      <w:r>
        <w:rPr>
          <w:rFonts w:ascii="Arial" w:cs="Arial" w:eastAsia="Arial" w:hAnsi="Arial"/>
          <w:sz w:val="17"/>
          <w:szCs w:val="17"/>
          <w:i w:val="1"/>
          <w:iCs w:val="1"/>
          <w:color w:val="auto"/>
        </w:rPr>
        <w:t>SPA</w:t>
      </w:r>
      <w:r>
        <w:rPr>
          <w:rFonts w:ascii="Arial" w:cs="Arial" w:eastAsia="Arial" w:hAnsi="Arial"/>
          <w:sz w:val="17"/>
          <w:szCs w:val="17"/>
          <w:color w:val="auto"/>
        </w:rPr>
        <w:t>”) to purchase, for $1.0 million, a total of 142,857 shares of Series B Preferred and 142,857 Warrants on or before June 11, 2015. A form of the SPA is attached to this Current Report on Form 8-K as Exhibit 10.3;</w:t>
      </w:r>
    </w:p>
    <w:p>
      <w:pPr>
        <w:spacing w:after="0" w:line="189" w:lineRule="exact"/>
        <w:rPr>
          <w:rFonts w:ascii="Arial" w:cs="Arial" w:eastAsia="Arial" w:hAnsi="Arial"/>
          <w:sz w:val="17"/>
          <w:szCs w:val="17"/>
          <w:color w:val="auto"/>
        </w:rPr>
      </w:pPr>
    </w:p>
    <w:p>
      <w:pPr>
        <w:jc w:val="both"/>
        <w:ind w:left="320" w:hanging="136"/>
        <w:spacing w:after="0" w:line="266"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all warrants previously issued by the Company to Platinum in connection with the Senior Secured Notes, and warrants that still may be issued pursuant to the Note Exchange and Purchase Agreement, by and between the Company and Platinum, dated October 11, 2012 (the “</w:t>
      </w:r>
      <w:r>
        <w:rPr>
          <w:rFonts w:ascii="Arial" w:cs="Arial" w:eastAsia="Arial" w:hAnsi="Arial"/>
          <w:sz w:val="17"/>
          <w:szCs w:val="17"/>
          <w:i w:val="1"/>
          <w:iCs w:val="1"/>
          <w:color w:val="auto"/>
        </w:rPr>
        <w:t>NEPA</w:t>
      </w:r>
      <w:r>
        <w:rPr>
          <w:rFonts w:ascii="Arial" w:cs="Arial" w:eastAsia="Arial" w:hAnsi="Arial"/>
          <w:sz w:val="17"/>
          <w:szCs w:val="17"/>
          <w:color w:val="auto"/>
        </w:rPr>
        <w:t>”), if any (collectively, the “</w:t>
      </w:r>
      <w:r>
        <w:rPr>
          <w:rFonts w:ascii="Arial" w:cs="Arial" w:eastAsia="Arial" w:hAnsi="Arial"/>
          <w:sz w:val="17"/>
          <w:szCs w:val="17"/>
          <w:i w:val="1"/>
          <w:iCs w:val="1"/>
          <w:color w:val="auto"/>
        </w:rPr>
        <w:t>Exchange Warrants</w:t>
      </w:r>
      <w:r>
        <w:rPr>
          <w:rFonts w:ascii="Arial" w:cs="Arial" w:eastAsia="Arial" w:hAnsi="Arial"/>
          <w:sz w:val="17"/>
          <w:szCs w:val="17"/>
          <w:color w:val="auto"/>
        </w:rPr>
        <w:t>”) to:</w:t>
      </w:r>
    </w:p>
    <w:p>
      <w:pPr>
        <w:spacing w:after="0" w:line="202" w:lineRule="exact"/>
        <w:rPr>
          <w:sz w:val="20"/>
          <w:szCs w:val="20"/>
          <w:color w:val="auto"/>
        </w:rPr>
      </w:pPr>
    </w:p>
    <w:p>
      <w:pPr>
        <w:ind w:left="1040" w:hanging="176"/>
        <w:spacing w:after="0"/>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fix the exercise price thereof at $7.00 per share;</w:t>
      </w:r>
    </w:p>
    <w:p>
      <w:pPr>
        <w:spacing w:after="0" w:line="21" w:lineRule="exact"/>
        <w:rPr>
          <w:rFonts w:ascii="Arial" w:cs="Arial" w:eastAsia="Arial" w:hAnsi="Arial"/>
          <w:sz w:val="17"/>
          <w:szCs w:val="17"/>
          <w:color w:val="auto"/>
        </w:rPr>
      </w:pPr>
    </w:p>
    <w:p>
      <w:pPr>
        <w:ind w:left="1040" w:hanging="176"/>
        <w:spacing w:after="0"/>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fix the number of shares of the Company’s Common Stock issuable thereunder; and</w:t>
      </w:r>
    </w:p>
    <w:p>
      <w:pPr>
        <w:spacing w:after="0" w:line="11" w:lineRule="exact"/>
        <w:rPr>
          <w:rFonts w:ascii="Arial" w:cs="Arial" w:eastAsia="Arial" w:hAnsi="Arial"/>
          <w:sz w:val="17"/>
          <w:szCs w:val="17"/>
          <w:color w:val="auto"/>
        </w:rPr>
      </w:pPr>
    </w:p>
    <w:p>
      <w:pPr>
        <w:ind w:left="1040" w:hanging="176"/>
        <w:spacing w:after="0"/>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eliminate the cashless exercise provisions from all Exchange Warrants; and</w:t>
      </w:r>
    </w:p>
    <w:p>
      <w:pPr>
        <w:spacing w:after="0" w:line="232" w:lineRule="exact"/>
        <w:rPr>
          <w:rFonts w:ascii="Arial" w:cs="Arial" w:eastAsia="Arial" w:hAnsi="Arial"/>
          <w:sz w:val="17"/>
          <w:szCs w:val="17"/>
          <w:color w:val="auto"/>
        </w:rPr>
      </w:pPr>
    </w:p>
    <w:p>
      <w:pPr>
        <w:jc w:val="both"/>
        <w:ind w:left="320" w:hanging="136"/>
        <w:spacing w:after="0" w:line="266"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Agreed to lock-up (refrain from) the potential sale of any shares of Common Stock held by Platinum or its affiliates until the earlier to occur of an effective registration statement relating to resale of Conversion Shares under the Securities Act of 1933, as amended, or the closing price of the Company’s Common Stock is at least $15.00 per share.</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As additional consideration for the agreements of Platinum under the Platinum Agreement, the Company issued to Platinum 400,000 shares of Series B Preferred and Warrants to purchase 1.2 million shares of Common Stock and exchanged 30,000 shares of Common Stock currently beneficially owned or controlled by Platinum for 30,000 shares of Series B Preferred.</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In connection with the consummation of the Platinum Agreement, the Company anticipates that the outstanding balance of an additional approximately $1.8 million of Subordinated Notes will be converted by the respective holders thereof into approximately 318,085 shares of Series B Preferred and 318,085 Warrants on or before May 26, 2015, thereby cancelling at least an additional approximately $1.8 million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113"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3.02 Unregistered Sales of Equity Securities</w:t>
      </w:r>
    </w:p>
    <w:p>
      <w:pPr>
        <w:spacing w:after="0" w:line="22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See Item 1.01. The shares of Series B Preferred and Warrants issued, or to be issued, to Platinum pursuant to the Agreement were offered and sold in transactions exempt from registration under the Securities Act in reliance on Section 4(2) and/or 3(a)(9) thereof and Rule 506 of Regulation D thereunder. Platinum represented that it was an "accredited investor" as defined in Regulation D, and that it is not subject to the "Bad Actor" disqualifications described in Rule 506(d).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5.03 Amendments to Articles of Incorporation or Bylaws; Change in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See Item 1.01.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Disclaimer</w:t>
      </w:r>
    </w:p>
    <w:p>
      <w:pPr>
        <w:spacing w:after="0" w:line="224"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foregoing description of the Certificate of Designation, Platinum Agreement, Acknowledgement, NEPA and SPA do not purport to be complete, and are qualified in their entirety by reference to the full text of the Certificate of Designation, the Platinum Agreement, Acknowledgement and SPA, attached hereto as Exhibits 3.1, 10.1, 10.2 and 10.3, respectively, and the NEPA attached as Exhibit 10.1 to the Current Report on Form 8-K filed with the Securities and Exchange Commission on October 16, 2012, each of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6"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VistaGen Therapeutics, Inc.</w:t>
      </w:r>
    </w:p>
    <w:p>
      <w:pPr>
        <w:spacing w:after="0" w:line="224"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7"/>
          <w:szCs w:val="17"/>
          <w:color w:val="auto"/>
        </w:rPr>
        <w:t>Date: May 13, 2015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14605</wp:posOffset>
            </wp:positionV>
            <wp:extent cx="33597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9785" cy="16510"/>
                    </a:xfrm>
                    <a:prstGeom prst="rect">
                      <a:avLst/>
                    </a:prstGeom>
                    <a:noFill/>
                  </pic:spPr>
                </pic:pic>
              </a:graphicData>
            </a:graphic>
          </wp:anchor>
        </w:drawing>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Shawn K. Singh</w:t>
      </w:r>
    </w:p>
    <w:p>
      <w:pPr>
        <w:spacing w:after="0" w:line="22"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530225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495"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80" w:type="dxa"/>
            <w:vAlign w:val="bottom"/>
            <w:gridSpan w:val="2"/>
          </w:tcPr>
          <w:p>
            <w:pPr>
              <w:ind w:left="3380"/>
              <w:spacing w:after="0"/>
              <w:rPr>
                <w:sz w:val="20"/>
                <w:szCs w:val="20"/>
                <w:color w:val="auto"/>
              </w:rPr>
            </w:pPr>
            <w:r>
              <w:rPr>
                <w:rFonts w:ascii="Arial" w:cs="Arial" w:eastAsia="Arial" w:hAnsi="Arial"/>
                <w:sz w:val="17"/>
                <w:szCs w:val="17"/>
                <w:b w:val="1"/>
                <w:bCs w:val="1"/>
                <w:color w:val="auto"/>
              </w:rPr>
              <w:t>EXHIBIT INDEX</w:t>
            </w:r>
          </w:p>
        </w:tc>
      </w:tr>
      <w:tr>
        <w:trPr>
          <w:trHeight w:val="446"/>
        </w:trPr>
        <w:tc>
          <w:tcPr>
            <w:tcW w:w="1400" w:type="dxa"/>
            <w:vAlign w:val="bottom"/>
            <w:gridSpan w:val="2"/>
          </w:tcPr>
          <w:p>
            <w:pPr>
              <w:spacing w:after="0"/>
              <w:rPr>
                <w:sz w:val="20"/>
                <w:szCs w:val="20"/>
                <w:color w:val="auto"/>
              </w:rPr>
            </w:pPr>
            <w:r>
              <w:rPr>
                <w:rFonts w:ascii="Arial" w:cs="Arial" w:eastAsia="Arial" w:hAnsi="Arial"/>
                <w:sz w:val="17"/>
                <w:szCs w:val="17"/>
                <w:b w:val="1"/>
                <w:bCs w:val="1"/>
                <w:color w:val="auto"/>
              </w:rPr>
              <w:t>Exhibit Number</w:t>
            </w:r>
          </w:p>
        </w:tc>
        <w:tc>
          <w:tcPr>
            <w:tcW w:w="2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2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3.1</w:t>
            </w:r>
          </w:p>
        </w:tc>
        <w:tc>
          <w:tcPr>
            <w:tcW w:w="260" w:type="dxa"/>
            <w:vAlign w:val="bottom"/>
            <w:shd w:val="clear" w:color="auto" w:fill="CCEEFF"/>
          </w:tcPr>
          <w:p>
            <w:pPr>
              <w:spacing w:after="0"/>
              <w:rPr>
                <w:sz w:val="16"/>
                <w:szCs w:val="16"/>
                <w:color w:val="auto"/>
              </w:rPr>
            </w:pPr>
          </w:p>
        </w:tc>
        <w:tc>
          <w:tcPr>
            <w:tcW w:w="97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92"/>
              </w:rPr>
              <w:t>Certificate of Designation of the Relative Rights and Preferences of the Series B 10% Convertible Preferred Stock of VistaGen Therapeutics,</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Inc., filed with the Nevada Secretary of State on May 7, 2015.</w:t>
            </w: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17"/>
                <w:szCs w:val="17"/>
                <w:color w:val="auto"/>
              </w:rPr>
            </w:pPr>
          </w:p>
        </w:tc>
        <w:tc>
          <w:tcPr>
            <w:tcW w:w="9760" w:type="dxa"/>
            <w:vAlign w:val="bottom"/>
          </w:tcPr>
          <w:p>
            <w:pPr>
              <w:spacing w:after="0"/>
              <w:rPr>
                <w:sz w:val="20"/>
                <w:szCs w:val="20"/>
                <w:color w:val="auto"/>
              </w:rPr>
            </w:pPr>
            <w:r>
              <w:rPr>
                <w:rFonts w:ascii="Arial" w:cs="Arial" w:eastAsia="Arial" w:hAnsi="Arial"/>
                <w:sz w:val="17"/>
                <w:szCs w:val="17"/>
                <w:color w:val="auto"/>
              </w:rPr>
              <w:t>Agreement, by and between VistaGen Therapeutics, Inc. and Platinum Long Term Growth VII, LLC, dated May 5, 2015.</w:t>
            </w:r>
          </w:p>
        </w:tc>
        <w:tc>
          <w:tcPr>
            <w:tcW w:w="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1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6"/>
                <w:szCs w:val="16"/>
                <w:color w:val="auto"/>
              </w:rPr>
            </w:pPr>
          </w:p>
        </w:tc>
        <w:tc>
          <w:tcPr>
            <w:tcW w:w="9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Acknowledgement and Agreement, by and between VistaGen Therapeutics, Inc. and Platinum Long Term Growth VII, LLC, dated May 12,</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2015.</w:t>
            </w: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380" w:type="dxa"/>
            <w:vAlign w:val="bottom"/>
          </w:tcPr>
          <w:p>
            <w:pPr>
              <w:spacing w:after="0" w:line="194" w:lineRule="exact"/>
              <w:rPr>
                <w:sz w:val="20"/>
                <w:szCs w:val="20"/>
                <w:color w:val="auto"/>
              </w:rPr>
            </w:pPr>
            <w:r>
              <w:rPr>
                <w:rFonts w:ascii="Arial" w:cs="Arial" w:eastAsia="Arial" w:hAnsi="Arial"/>
                <w:sz w:val="17"/>
                <w:szCs w:val="17"/>
                <w:color w:val="auto"/>
              </w:rPr>
              <w:t>10.3</w:t>
            </w:r>
          </w:p>
        </w:tc>
        <w:tc>
          <w:tcPr>
            <w:tcW w:w="260" w:type="dxa"/>
            <w:vAlign w:val="bottom"/>
          </w:tcPr>
          <w:p>
            <w:pPr>
              <w:spacing w:after="0"/>
              <w:rPr>
                <w:sz w:val="16"/>
                <w:szCs w:val="16"/>
                <w:color w:val="auto"/>
              </w:rPr>
            </w:pPr>
          </w:p>
        </w:tc>
        <w:tc>
          <w:tcPr>
            <w:tcW w:w="9760" w:type="dxa"/>
            <w:vAlign w:val="bottom"/>
          </w:tcPr>
          <w:p>
            <w:pPr>
              <w:spacing w:after="0" w:line="194" w:lineRule="exact"/>
              <w:rPr>
                <w:sz w:val="20"/>
                <w:szCs w:val="20"/>
                <w:color w:val="auto"/>
              </w:rPr>
            </w:pPr>
            <w:r>
              <w:rPr>
                <w:rFonts w:ascii="Arial" w:cs="Arial" w:eastAsia="Arial" w:hAnsi="Arial"/>
                <w:sz w:val="17"/>
                <w:szCs w:val="17"/>
                <w:color w:val="auto"/>
                <w:w w:val="93"/>
              </w:rPr>
              <w:t>Form of Securities Purchase Agreement by and between VistaGen Therapeutics, Inc. and Platinum Long Term Growth VII, LLC, dated May</w:t>
            </w:r>
          </w:p>
        </w:tc>
        <w:tc>
          <w:tcPr>
            <w:tcW w:w="2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20" w:type="dxa"/>
            <w:vAlign w:val="bottom"/>
            <w:gridSpan w:val="2"/>
          </w:tcPr>
          <w:p>
            <w:pPr>
              <w:ind w:left="260"/>
              <w:spacing w:after="0"/>
              <w:rPr>
                <w:sz w:val="20"/>
                <w:szCs w:val="20"/>
                <w:color w:val="auto"/>
              </w:rPr>
            </w:pPr>
            <w:r>
              <w:rPr>
                <w:rFonts w:ascii="Arial" w:cs="Arial" w:eastAsia="Arial" w:hAnsi="Arial"/>
                <w:sz w:val="17"/>
                <w:szCs w:val="17"/>
                <w:color w:val="auto"/>
              </w:rPr>
              <w:t>12, 2015.</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 OF THE RELATIVE RIGHTS AND PREFERENCES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B 10% CONVERTIBLE PREFERRED STOCK</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23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undersigned, the Chief Executive Officer of VistaGen Therapeutics, Inc., a Nevada corporation (the “Corporation”), in accordance with the provisions of Section 78.195 of the Nevada Revised Statutes, does hereby certify that, pursuant to the authority conferred upon the Board of Directors of the Corporation by the Articles of Incorporation of the Corporation (the “Articles of Incorporation”), the following resolution creating a series of Series B Convertible Preferred Stock, was duly adopted on May 5, 2015:</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RESOLVED, that pursuant to the authority expressly granted to and vested in the Board of Directors of the Corporation by provisions of the Articles of Incorporation, there hereby is created out of the shares of Preferred Stock, par value $.001 per share, of the Corporation authorized in Article V of the Articles of Incorporation (the “Preferred Stock”), a series of Preferred Stock of the Corporation, to be named “Series B 10% Convertible Preferred Stock,” consisting of Four Million (4,000,000) shares, which series shall have the following designations, powers, preferences and relative and other special rights and the following qualifications, limitations and restrictions:</w:t>
      </w:r>
    </w:p>
    <w:p>
      <w:pPr>
        <w:spacing w:after="0" w:line="206" w:lineRule="exact"/>
        <w:rPr>
          <w:sz w:val="20"/>
          <w:szCs w:val="20"/>
          <w:color w:val="auto"/>
        </w:rPr>
      </w:pPr>
    </w:p>
    <w:p>
      <w:pPr>
        <w:ind w:left="1240"/>
        <w:spacing w:after="0"/>
        <w:tabs>
          <w:tab w:leader="none" w:pos="2860" w:val="left"/>
        </w:tabs>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For the purposes hereof, the following terms shall have the following meanings:</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Consideration</w:t>
      </w:r>
      <w:r>
        <w:rPr>
          <w:rFonts w:ascii="Arial" w:cs="Arial" w:eastAsia="Arial" w:hAnsi="Arial"/>
          <w:sz w:val="17"/>
          <w:szCs w:val="17"/>
          <w:color w:val="auto"/>
        </w:rPr>
        <w:t>” shall have the meaning set forth in Section 7(c).</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Conversion Date</w:t>
      </w:r>
      <w:r>
        <w:rPr>
          <w:rFonts w:ascii="Arial" w:cs="Arial" w:eastAsia="Arial" w:hAnsi="Arial"/>
          <w:sz w:val="17"/>
          <w:szCs w:val="17"/>
          <w:color w:val="auto"/>
        </w:rPr>
        <w:t>” shall have the meaning set forth in Section 8(a).</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shall have the meaning set forth in Section 6(d).</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Buy-In</w:t>
      </w:r>
      <w:r>
        <w:rPr>
          <w:rFonts w:ascii="Arial" w:cs="Arial" w:eastAsia="Arial" w:hAnsi="Arial"/>
          <w:sz w:val="17"/>
          <w:szCs w:val="17"/>
          <w:color w:val="auto"/>
        </w:rPr>
        <w:t>” shall have the meaning set forth in Section 6(c)(iv).</w:t>
      </w:r>
    </w:p>
    <w:p>
      <w:pPr>
        <w:spacing w:after="0" w:line="243" w:lineRule="exact"/>
        <w:rPr>
          <w:sz w:val="20"/>
          <w:szCs w:val="20"/>
          <w:color w:val="auto"/>
        </w:rPr>
      </w:pPr>
    </w:p>
    <w:p>
      <w:pPr>
        <w:jc w:val="both"/>
        <w:ind w:left="620" w:firstLine="61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Corporation, by contract or otherwise) of in excess of 40% of the voting securities of the Corporation (other than by means of conversion or exercise of Preferred Stock and the Securities issued together with the Preferred Stock), (b) the Corporation merges into or consolidates with any other Person, or any Person merges into or consolidates with the Corporation and, after giving effect to such transaction, the stockholders of the Corporation immediately prior to such transaction own less than 66% of the aggregate voting power of the Corporation or the successor entity of such transaction, (c) the Corporation sells or transfers all or substantially all of its assets to another Person and the stockholders of the Corporation immediately prior to such transaction own less than 66% of the aggregate voting power of the acquiring entity immediately after the transaction,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Original Issue Date), or (e) the execution by the Corporation of an agreement to which the Corporation is a party or by which it is bound, providing for any of the events set forth in clauses (a) through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means the closing of the purchase and sale of the Securities pursuant to Section 2.1 of the Purchase Agreement.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Trading Day on which all of the Transaction Documents have been executed and delivered by the applicable parties thereto and all conditions precedent to (i) each Holder’s obligations to pay the Subscription Amount and (ii) the Corporation’s obligations to deliver the Securities have been satisfied or waived.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United States Securities and Exchange Commission.</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Corporation’s common stock, par value $0.001 per share, and stock of any other class of securities into which such securities may hereafter be reclassified or changed.</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Amount</w:t>
      </w:r>
      <w:r>
        <w:rPr>
          <w:rFonts w:ascii="Arial" w:cs="Arial" w:eastAsia="Arial" w:hAnsi="Arial"/>
          <w:sz w:val="17"/>
          <w:szCs w:val="17"/>
          <w:color w:val="auto"/>
        </w:rPr>
        <w:t>” means the sum of the Stated Value at issue.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Date</w:t>
      </w:r>
      <w:r>
        <w:rPr>
          <w:rFonts w:ascii="Arial" w:cs="Arial" w:eastAsia="Arial" w:hAnsi="Arial"/>
          <w:sz w:val="17"/>
          <w:szCs w:val="17"/>
          <w:color w:val="auto"/>
        </w:rPr>
        <w:t>” shall have the meaning set forth in Section 6(a).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shall have the meaning set forth in Section 6(b).</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w:t>
      </w:r>
      <w:r>
        <w:rPr>
          <w:rFonts w:ascii="Arial" w:cs="Arial" w:eastAsia="Arial" w:hAnsi="Arial"/>
          <w:sz w:val="17"/>
          <w:szCs w:val="17"/>
          <w:color w:val="auto"/>
        </w:rPr>
        <w:t>” means, collectively, the shares of Common Stock issuable upon conversion of the shares of Preferred Stock in accordance with the terms hereof.</w:t>
      </w:r>
    </w:p>
    <w:p>
      <w:pPr>
        <w:spacing w:after="0" w:line="189"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 Registration Statement</w:t>
      </w:r>
      <w:r>
        <w:rPr>
          <w:rFonts w:ascii="Arial" w:cs="Arial" w:eastAsia="Arial" w:hAnsi="Arial"/>
          <w:sz w:val="17"/>
          <w:szCs w:val="17"/>
          <w:color w:val="auto"/>
        </w:rPr>
        <w:t>” means a registration statement that registers the resale of all Conversion Shares of the Holders, who shall be named as “selling stockholders” therein and meets the requirements of Section 4.12 of the Purchase Agreement.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shall have the meaning set forth in Section 3(a).</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that the Conversion Shares Registration Statement filed by the Corporation pursuant to Section 4.12 of the Purchase Agreement is first declared effective by the Commission.</w:t>
      </w:r>
    </w:p>
    <w:p>
      <w:pPr>
        <w:spacing w:after="0" w:line="18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Conditions</w:t>
      </w:r>
      <w:r>
        <w:rPr>
          <w:rFonts w:ascii="Arial" w:cs="Arial" w:eastAsia="Arial" w:hAnsi="Arial"/>
          <w:sz w:val="19"/>
          <w:szCs w:val="19"/>
          <w:color w:val="auto"/>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liquidated damages and other amounts owing to the applicable Holder in respect of the Preferred Stock, (c)(i) there is an effective Conversion Shares Registration Statement pursuant to which the Holders are permitted to utilize the prospectus thereunder to resell all of the shares of Common Stock issuable pursuant to the Transaction Documents (and the Corporation believes, in good faith, that such effectiveness will continue uninterrupted for the foreseeable future) or (ii) all of the Conversion Shares issuable pursuant to the Transaction Documents may be resold pursuant to Rule 144 without volume or manner-of-sale restrictions or current public information requirements as determined by the counsel to the Corporation as set forth in a written opinion letter to such effect, addressed and acceptable to the Transfer Agent and the affected Holders, (d) the Common Stock is trading on a Trading Market and all of the shares issuable pursuant to the Transaction Documents are listed or quoted for trading on such Trading Market (and the Corporation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(f) the issuance of the shares in question to the applicable Holder would not violate the limitations set forth in Section 6(d), (g) there has been no public announcement of a pending or proposed Fundamental Transaction or Change of Control Transaction that has not been consummated and (h) the applicable Holder is not in possession of any information provided by the Corporation that constitutes, or may constitute,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375285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Transaction</w:t>
      </w:r>
      <w:r>
        <w:rPr>
          <w:rFonts w:ascii="Arial" w:cs="Arial" w:eastAsia="Arial" w:hAnsi="Arial"/>
          <w:sz w:val="17"/>
          <w:szCs w:val="17"/>
          <w:color w:val="auto"/>
        </w:rPr>
        <w:t>” shall have the meaning set forth in Section 7(c).</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United States generally accepted accounting principles.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shall have the meaning given such term in Section 2.</w:t>
      </w:r>
    </w:p>
    <w:p>
      <w:pPr>
        <w:spacing w:after="0" w:line="243" w:lineRule="exact"/>
        <w:rPr>
          <w:sz w:val="20"/>
          <w:szCs w:val="20"/>
          <w:color w:val="auto"/>
        </w:rPr>
      </w:pPr>
    </w:p>
    <w:p>
      <w:pPr>
        <w:jc w:val="both"/>
        <w:ind w:firstLine="675"/>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xml:space="preserve">” means the Common Stock and all other Common Stock Equivalents of the Corporation other than those securities that are explicitly senior or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to the Preferred Stock in dividend rights or liquidation preference.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security interest, encumbrance, right of first refusal, preemptive right or other restriction.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w:t>
      </w:r>
      <w:r>
        <w:rPr>
          <w:rFonts w:ascii="Arial" w:cs="Arial" w:eastAsia="Arial" w:hAnsi="Arial"/>
          <w:sz w:val="17"/>
          <w:szCs w:val="17"/>
          <w:color w:val="auto"/>
        </w:rPr>
        <w:t>” shall have the meaning set forth in Section 5.</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York Courts</w:t>
      </w:r>
      <w:r>
        <w:rPr>
          <w:rFonts w:ascii="Arial" w:cs="Arial" w:eastAsia="Arial" w:hAnsi="Arial"/>
          <w:sz w:val="17"/>
          <w:szCs w:val="17"/>
          <w:color w:val="auto"/>
        </w:rPr>
        <w:t>” shall have the meaning set forth in Section 10(d).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shall have the meaning set forth in Section 6(a).</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Issue Date</w:t>
      </w:r>
      <w:r>
        <w:rPr>
          <w:rFonts w:ascii="Arial" w:cs="Arial" w:eastAsia="Arial" w:hAnsi="Arial"/>
          <w:sz w:val="17"/>
          <w:szCs w:val="17"/>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 means (a) the indebtedness existing on the Original Issue Date and set forth on the Disclosure Schedules attached to the Purchase Agreement; (b) lease obligations and purchase money indebtedness of up to $250,000, in the aggregate, incurred in connection with the acquisition of capital assets and lease obligations with respect to newly acquired or leased assets; and (c) indebtedness not to exceed $100,000 in any individual issuance or $500,000 in the aggregate.</w:t>
      </w:r>
    </w:p>
    <w:p>
      <w:pPr>
        <w:spacing w:after="0" w:line="205"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w:t>
      </w:r>
      <w:r>
        <w:rPr>
          <w:rFonts w:ascii="Arial" w:cs="Arial" w:eastAsia="Arial" w:hAnsi="Arial"/>
          <w:sz w:val="15"/>
          <w:szCs w:val="15"/>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(x) do not individually or in the aggregate materially detract from the value of such property or assets or materially impair the use thereof in the operation of the business of the Corporation and its consolidated Subsidiaries or (y) are being contested in good faith by appropriate proceedings, which proceedings have the effect of preventing for the foreseeable future the forfeiture or sale of the property or asset subject to such Lien, or (c) Liens incurred in connection with Permitted Indebtedness under clause (b) thereunder, provided that such Liens are not secured by assets of the Corporation or its Subsidiaries other than the assets so acquired or leased.</w:t>
      </w:r>
    </w:p>
    <w:p>
      <w:pPr>
        <w:spacing w:after="0" w:line="18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shall have the meaning set forth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8" w:name="page9"/>
    <w:bookmarkEnd w:id="8"/>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Agreement</w:t>
      </w:r>
      <w:r>
        <w:rPr>
          <w:rFonts w:ascii="Arial" w:cs="Arial" w:eastAsia="Arial" w:hAnsi="Arial"/>
          <w:sz w:val="17"/>
          <w:szCs w:val="17"/>
          <w:color w:val="auto"/>
        </w:rPr>
        <w:t>” means the Securities Purchase Agreement, dated as of the Original Issue Date, among the Corporation and the original Holders, as amended, modified or supplemented from time to time in accordance with its terms.</w:t>
      </w:r>
    </w:p>
    <w:p>
      <w:pPr>
        <w:spacing w:after="0" w:line="18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Offering</w:t>
      </w:r>
      <w:r>
        <w:rPr>
          <w:rFonts w:ascii="Arial" w:cs="Arial" w:eastAsia="Arial" w:hAnsi="Arial"/>
          <w:sz w:val="16"/>
          <w:szCs w:val="16"/>
          <w:color w:val="auto"/>
        </w:rPr>
        <w:t>” means the consummation of a public offering by the Corporation of Common Stock with gross proceeds of at least $10,000,000 under a registration statement on a form promulgated under the Securities Act that has been declared effective by the Commission.</w:t>
      </w:r>
    </w:p>
    <w:p>
      <w:pPr>
        <w:spacing w:after="0" w:line="158" w:lineRule="exact"/>
        <w:rPr>
          <w:sz w:val="20"/>
          <w:szCs w:val="20"/>
          <w:color w:val="auto"/>
        </w:rPr>
      </w:pPr>
    </w:p>
    <w:p>
      <w:pPr>
        <w:jc w:val="both"/>
        <w:ind w:firstLine="619"/>
        <w:spacing w:after="0" w:line="3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Section 4.12 of the Purchase Agreement and covering the resale of the Underlying Shares by each Purchaser as provided for in the Purchase Agreement.</w:t>
      </w:r>
    </w:p>
    <w:p>
      <w:pPr>
        <w:spacing w:after="0" w:line="128"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8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the Preferred Stock, the Warrants, the Warrant Shares and the Underlying Shares.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Delivery Date</w:t>
      </w:r>
      <w:r>
        <w:rPr>
          <w:rFonts w:ascii="Arial" w:cs="Arial" w:eastAsia="Arial" w:hAnsi="Arial"/>
          <w:sz w:val="17"/>
          <w:szCs w:val="17"/>
          <w:color w:val="auto"/>
        </w:rPr>
        <w:t>” shall have the meaning set forth in Section 6(c).</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Value</w:t>
      </w:r>
      <w:r>
        <w:rPr>
          <w:rFonts w:ascii="Arial" w:cs="Arial" w:eastAsia="Arial" w:hAnsi="Arial"/>
          <w:sz w:val="17"/>
          <w:szCs w:val="17"/>
          <w:color w:val="auto"/>
        </w:rPr>
        <w:t>” shall have the meaning set forth in Section 2.</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Subscription Amount</w:t>
      </w:r>
      <w:r>
        <w:rPr>
          <w:rFonts w:ascii="Arial" w:cs="Arial" w:eastAsia="Arial" w:hAnsi="Arial"/>
          <w:sz w:val="15"/>
          <w:szCs w:val="15"/>
          <w:color w:val="auto"/>
        </w:rPr>
        <w:t>” shall mean, as to each Holder, the aggregate amount to be paid for the Preferred Stock purchased pursuant to the Purchase Agreement as specified below such Holder’s name on the signature page of the Purchase Agreement and next to the heading “Subscription Amount,” in United States dollars and in immediately available funds, or otherwise in connection with the cancellation of existing indebtedness of the Company.</w:t>
      </w:r>
    </w:p>
    <w:p>
      <w:pPr>
        <w:spacing w:after="0" w:line="166"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any subsidiary of the Corporation as set forth on </w:t>
      </w:r>
      <w:r>
        <w:rPr>
          <w:rFonts w:ascii="Arial" w:cs="Arial" w:eastAsia="Arial" w:hAnsi="Arial"/>
          <w:sz w:val="17"/>
          <w:szCs w:val="17"/>
          <w:u w:val="single" w:color="auto"/>
          <w:color w:val="auto"/>
        </w:rPr>
        <w:t>Schedule 3.1(a)</w:t>
      </w:r>
      <w:r>
        <w:rPr>
          <w:rFonts w:ascii="Arial" w:cs="Arial" w:eastAsia="Arial" w:hAnsi="Arial"/>
          <w:sz w:val="17"/>
          <w:szCs w:val="17"/>
          <w:color w:val="auto"/>
        </w:rPr>
        <w:t xml:space="preserve"> of the Purchase Agreement and shall, where applicable, also include any direct or indirect subsidiary of the Corporation formed or acquired after the date of the Purchase Agreement.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Entity</w:t>
      </w:r>
      <w:r>
        <w:rPr>
          <w:rFonts w:ascii="Arial" w:cs="Arial" w:eastAsia="Arial" w:hAnsi="Arial"/>
          <w:sz w:val="17"/>
          <w:szCs w:val="17"/>
          <w:color w:val="auto"/>
        </w:rPr>
        <w:t>” shall have the meaning set forth in Section 7(c).</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Threshold Period</w:t>
      </w:r>
      <w:r>
        <w:rPr>
          <w:rFonts w:ascii="Arial" w:cs="Arial" w:eastAsia="Arial" w:hAnsi="Arial"/>
          <w:sz w:val="17"/>
          <w:szCs w:val="17"/>
          <w:color w:val="auto"/>
        </w:rPr>
        <w:t>” shall have the meaning set forth in Section 8(a).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principal Trading Market is open for business.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OTCQB or OTCQX (or any successors to any of the foregoing).</w:t>
      </w:r>
    </w:p>
    <w:p>
      <w:pPr>
        <w:spacing w:after="0" w:line="20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Certificate of Designation, the Purchase Agreement, the Warrants, all exhibits and schedules thereto and hereto and any other documents or agreements executed in connection with the transactions contemplated pursuant to the Purchase Agreement.</w:t>
      </w:r>
    </w:p>
    <w:p>
      <w:pPr>
        <w:spacing w:after="0" w:line="165"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Agent</w:t>
      </w:r>
      <w:r>
        <w:rPr>
          <w:rFonts w:ascii="Arial" w:cs="Arial" w:eastAsia="Arial" w:hAnsi="Arial"/>
          <w:sz w:val="17"/>
          <w:szCs w:val="17"/>
          <w:color w:val="auto"/>
        </w:rPr>
        <w:t>” means Computershare, the current transfer agent of the Corporation, with a mailing address of 480 Washington Blvd., 29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Jersey City, NJ 07310 and a facsimile number of 201-680-2026, and any successor transfer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393065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9" w:name="page10"/>
    <w:bookmarkEnd w:id="9"/>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Shares</w:t>
      </w:r>
      <w:r>
        <w:rPr>
          <w:rFonts w:ascii="Arial" w:cs="Arial" w:eastAsia="Arial" w:hAnsi="Arial"/>
          <w:sz w:val="17"/>
          <w:szCs w:val="17"/>
          <w:color w:val="auto"/>
        </w:rPr>
        <w:t>” means the shares of Common Stock issued and issuable upon conversion or redemption of the Preferred Stock, upon exercise of the Warrants, and, except with respect to the Registration Statement, issued and issuable in lieu of the cash payment of dividends on the Preferred Stock in accordance with the terms of this Certificate of Designation.</w:t>
      </w:r>
    </w:p>
    <w:p>
      <w:pPr>
        <w:spacing w:after="0" w:line="20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OTCQB or OTCQX and if prices for the Common Stock are then reported in the “Pink Sheets” published by OTC Markets,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Purchasers of a majority in interest of the Securities then outstanding and reasonably acceptable to the Corporation, the fees and expenses of which shall be paid by the Corporation.</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Warrants</w:t>
      </w:r>
      <w:r>
        <w:rPr>
          <w:rFonts w:ascii="Arial" w:cs="Arial" w:eastAsia="Arial" w:hAnsi="Arial"/>
          <w:sz w:val="17"/>
          <w:szCs w:val="17"/>
          <w:color w:val="auto"/>
        </w:rPr>
        <w:t xml:space="preserve">” means, collectively, the Common Stock purchase warrants delivered to the Holder at the Closing in accordance with Section 2.2(a) of the Purchase Agreement, which Warrants shall be exercisable immediately and have a term of exercise equal to five years,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to the Purchase Agreement.</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issuable upon exercise of the Warrants.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 Amount and Par Value</w:t>
      </w:r>
      <w:r>
        <w:rPr>
          <w:rFonts w:ascii="Arial" w:cs="Arial" w:eastAsia="Arial" w:hAnsi="Arial"/>
          <w:sz w:val="17"/>
          <w:szCs w:val="17"/>
          <w:color w:val="auto"/>
        </w:rPr>
        <w:t>. This series of preferred stock shall be designated as Series B 10% Convertible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the number of shares so designated shall be up to 4,000,000 (which shall not be subject to increase without the written consent of all of the holders of the Preferred Stock (each, a “</w:t>
      </w:r>
      <w:r>
        <w:rPr>
          <w:rFonts w:ascii="Arial" w:cs="Arial" w:eastAsia="Arial" w:hAnsi="Arial"/>
          <w:sz w:val="17"/>
          <w:szCs w:val="17"/>
          <w:u w:val="single" w:color="auto"/>
          <w:color w:val="auto"/>
        </w:rPr>
        <w:t>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Each share of Preferred Stock shall have a par value of $0.001 per share and a stated value equal to $7.00 (the “</w:t>
      </w:r>
      <w:r>
        <w:rPr>
          <w:rFonts w:ascii="Arial" w:cs="Arial" w:eastAsia="Arial" w:hAnsi="Arial"/>
          <w:sz w:val="17"/>
          <w:szCs w:val="17"/>
          <w:u w:val="single" w:color="auto"/>
          <w:color w:val="auto"/>
        </w:rPr>
        <w:t>Stated Value</w:t>
      </w:r>
      <w:r>
        <w:rPr>
          <w:rFonts w:ascii="Arial" w:cs="Arial" w:eastAsia="Arial" w:hAnsi="Arial"/>
          <w:sz w:val="17"/>
          <w:szCs w:val="17"/>
          <w:color w:val="auto"/>
        </w:rPr>
        <w:t>”).</w:t>
      </w:r>
    </w:p>
    <w:p>
      <w:pPr>
        <w:spacing w:after="0" w:line="205" w:lineRule="exact"/>
        <w:rPr>
          <w:sz w:val="20"/>
          <w:szCs w:val="20"/>
          <w:color w:val="auto"/>
        </w:rPr>
      </w:pPr>
    </w:p>
    <w:p>
      <w:pPr>
        <w:ind w:left="620"/>
        <w:spacing w:after="0"/>
        <w:tabs>
          <w:tab w:leader="none" w:pos="2240" w:val="left"/>
        </w:tabs>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62" w:lineRule="auto"/>
        <w:tabs>
          <w:tab w:leader="none" w:pos="1239"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Holders shall be entitled to receive cumulative dividends at the rate per share (as a percentage of the Stated Value per share) of 10% per annum</w:t>
      </w:r>
      <w:r>
        <w:rPr>
          <w:rFonts w:ascii="Arial" w:cs="Arial" w:eastAsia="Arial" w:hAnsi="Arial"/>
          <w:sz w:val="17"/>
          <w:szCs w:val="17"/>
          <w:b w:val="1"/>
          <w:bCs w:val="1"/>
          <w:color w:val="auto"/>
        </w:rPr>
        <w:t>,</w:t>
      </w:r>
      <w:r>
        <w:rPr>
          <w:rFonts w:ascii="Arial" w:cs="Arial" w:eastAsia="Arial" w:hAnsi="Arial"/>
          <w:sz w:val="17"/>
          <w:szCs w:val="17"/>
          <w:color w:val="auto"/>
        </w:rPr>
        <w:t xml:space="preserve"> payable on each Conversion Date (with respect only to Preferred Stock being converted) (each such date, a “</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(if any Dividend Payment Date is not a Trading Day, the applicable payment shall be due on the next succeeding Trading Day) in duly authorized, validly issued, fully paid and non-assessable unregistered shares of Common Stock.</w:t>
      </w:r>
    </w:p>
    <w:p>
      <w:pPr>
        <w:spacing w:after="0" w:line="204" w:lineRule="exact"/>
        <w:rPr>
          <w:rFonts w:ascii="Arial" w:cs="Arial" w:eastAsia="Arial" w:hAnsi="Arial"/>
          <w:sz w:val="17"/>
          <w:szCs w:val="17"/>
          <w:color w:val="auto"/>
        </w:rPr>
      </w:pPr>
    </w:p>
    <w:p>
      <w:pPr>
        <w:jc w:val="both"/>
        <w:ind w:firstLine="622"/>
        <w:spacing w:after="0" w:line="275" w:lineRule="auto"/>
        <w:tabs>
          <w:tab w:leader="none" w:pos="141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Dividend Calculations</w:t>
      </w:r>
      <w:r>
        <w:rPr>
          <w:rFonts w:ascii="Arial" w:cs="Arial" w:eastAsia="Arial" w:hAnsi="Arial"/>
          <w:sz w:val="16"/>
          <w:szCs w:val="16"/>
          <w:color w:val="auto"/>
        </w:rPr>
        <w:t>. Dividends on the Preferred Stock shall be calculated on the basis of a 360-day year, consisting of twelve 30 calendar day periods, and shall accrue daily commencing on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provided that, the Corporation actually delivers the Conversion Shares within the time period required by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377190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0" w:name="page11"/>
    <w:bookmarkEnd w:id="10"/>
    <w:p>
      <w:pPr>
        <w:jc w:val="both"/>
        <w:ind w:left="620" w:firstLine="622"/>
        <w:spacing w:after="0" w:line="266" w:lineRule="auto"/>
        <w:tabs>
          <w:tab w:leader="none" w:pos="187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Late Fees</w:t>
      </w:r>
      <w:r>
        <w:rPr>
          <w:rFonts w:ascii="Arial" w:cs="Arial" w:eastAsia="Arial" w:hAnsi="Arial"/>
          <w:sz w:val="17"/>
          <w:szCs w:val="17"/>
          <w:color w:val="auto"/>
        </w:rPr>
        <w:t>. Any dividends not paid within three Trading Days following a Dividend Payment Date shall continue to accrue and shall entail a late fee, which must be paid in cash, at the rate of 18% per annum or the lesser rate permitted by applicable law which shall accrue daily from the Dividend Payment Date through and including the date of actual payment in full.</w:t>
      </w:r>
    </w:p>
    <w:p>
      <w:pPr>
        <w:spacing w:after="0" w:line="201" w:lineRule="exact"/>
        <w:rPr>
          <w:rFonts w:ascii="Arial" w:cs="Arial" w:eastAsia="Arial" w:hAnsi="Arial"/>
          <w:sz w:val="17"/>
          <w:szCs w:val="17"/>
          <w:color w:val="auto"/>
        </w:rPr>
      </w:pPr>
    </w:p>
    <w:p>
      <w:pPr>
        <w:jc w:val="both"/>
        <w:ind w:left="620" w:firstLine="622"/>
        <w:spacing w:after="0" w:line="276" w:lineRule="auto"/>
        <w:tabs>
          <w:tab w:leader="none" w:pos="206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Other Securities</w:t>
      </w:r>
      <w:r>
        <w:rPr>
          <w:rFonts w:ascii="Arial" w:cs="Arial" w:eastAsia="Arial" w:hAnsi="Arial"/>
          <w:sz w:val="16"/>
          <w:szCs w:val="16"/>
          <w:color w:val="auto"/>
        </w:rPr>
        <w:t xml:space="preserve">. So long as any Preferred Stock shall remain outstanding, neither the Corporation nor any Subsidiary thereof shall redeem, purchase or otherwise acquire directly or indirectly any Junior Securities. So long as any Preferred Stock shall remain outstanding, neither the Corporation nor any Subsidiary thereof shall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Preferred Stock.</w:t>
      </w:r>
    </w:p>
    <w:p>
      <w:pPr>
        <w:spacing w:after="0" w:line="197" w:lineRule="exact"/>
        <w:rPr>
          <w:sz w:val="20"/>
          <w:szCs w:val="20"/>
          <w:color w:val="auto"/>
        </w:rPr>
      </w:pPr>
    </w:p>
    <w:p>
      <w:pPr>
        <w:jc w:val="both"/>
        <w:ind w:firstLine="1239"/>
        <w:spacing w:after="0" w:line="257"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otherwise provided herein or as otherwise required by law, the Preferred Stock shall have no voting rights. However, as long as any shares of Preferred Stock are outstanding, the Corporation shall not, without the affirmative vote of the Holders of 66% or more of the then outstanding shares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the Preferred Stock, (c) amend its certificate of incorporation or other charter documents in any manner that adversely affects any rights of the Holders, (d) increase the number of authorized shares of Preferred Stock, or (e) enter into any agreement with respect to any of the foregoing.</w:t>
      </w:r>
    </w:p>
    <w:p>
      <w:pPr>
        <w:spacing w:after="0" w:line="212" w:lineRule="exact"/>
        <w:rPr>
          <w:sz w:val="20"/>
          <w:szCs w:val="20"/>
          <w:color w:val="auto"/>
        </w:rPr>
      </w:pPr>
    </w:p>
    <w:p>
      <w:pPr>
        <w:jc w:val="both"/>
        <w:ind w:firstLine="1239"/>
        <w:spacing w:after="0" w:line="276"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Liquidation</w:t>
      </w:r>
      <w:r>
        <w:rPr>
          <w:rFonts w:ascii="Arial" w:cs="Arial" w:eastAsia="Arial" w:hAnsi="Arial"/>
          <w:sz w:val="16"/>
          <w:szCs w:val="16"/>
          <w:color w:val="auto"/>
        </w:rPr>
        <w:t>. Upon any liquidation, dissolution or winding-up of the Corporation, whether voluntary or involuntary (a “</w:t>
      </w:r>
      <w:r>
        <w:rPr>
          <w:rFonts w:ascii="Arial" w:cs="Arial" w:eastAsia="Arial" w:hAnsi="Arial"/>
          <w:sz w:val="16"/>
          <w:szCs w:val="16"/>
          <w:u w:val="single" w:color="auto"/>
          <w:color w:val="auto"/>
        </w:rPr>
        <w:t>Liquidation</w:t>
      </w:r>
      <w:r>
        <w:rPr>
          <w:rFonts w:ascii="Arial" w:cs="Arial" w:eastAsia="Arial" w:hAnsi="Arial"/>
          <w:sz w:val="16"/>
          <w:szCs w:val="16"/>
          <w:color w:val="auto"/>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The Corporation shall mail written notice of any such Liquidation, not less than 45 days prior to the payment date stated therein, to each Holder.</w:t>
      </w:r>
    </w:p>
    <w:p>
      <w:pPr>
        <w:spacing w:after="0" w:line="197" w:lineRule="exact"/>
        <w:rPr>
          <w:sz w:val="20"/>
          <w:szCs w:val="20"/>
          <w:color w:val="auto"/>
        </w:rPr>
      </w:pPr>
    </w:p>
    <w:p>
      <w:pPr>
        <w:ind w:left="1240"/>
        <w:spacing w:after="0"/>
        <w:tabs>
          <w:tab w:leader="none" w:pos="2860" w:val="left"/>
        </w:tabs>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Conversion</w:t>
      </w:r>
      <w:r>
        <w:rPr>
          <w:rFonts w:ascii="Arial" w:cs="Arial" w:eastAsia="Arial" w:hAnsi="Arial"/>
          <w:sz w:val="15"/>
          <w:szCs w:val="15"/>
          <w:color w:val="auto"/>
        </w:rPr>
        <w:t>.</w:t>
      </w:r>
    </w:p>
    <w:p>
      <w:pPr>
        <w:spacing w:after="0" w:line="243" w:lineRule="exact"/>
        <w:rPr>
          <w:sz w:val="20"/>
          <w:szCs w:val="20"/>
          <w:color w:val="auto"/>
        </w:rPr>
      </w:pPr>
    </w:p>
    <w:p>
      <w:pPr>
        <w:jc w:val="both"/>
        <w:ind w:left="620" w:firstLine="622"/>
        <w:spacing w:after="0" w:line="272" w:lineRule="auto"/>
        <w:tabs>
          <w:tab w:leader="none" w:pos="187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Conversions at Option of Holder</w:t>
      </w:r>
      <w:r>
        <w:rPr>
          <w:rFonts w:ascii="Arial" w:cs="Arial" w:eastAsia="Arial" w:hAnsi="Arial"/>
          <w:sz w:val="16"/>
          <w:szCs w:val="16"/>
          <w:color w:val="auto"/>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determined by dividing the Stated Value of such share of Preferred Stock by the Conversion Price. Holders shall effect conversions by providing the Corporation with the form of conversion notice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facsimile such Notice of Conversion to the Corporation (such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 w:name="page12"/>
    <w:bookmarkEnd w:id="11"/>
    <w:p>
      <w:pPr>
        <w:ind w:left="-580" w:firstLine="622"/>
        <w:spacing w:after="0" w:line="287" w:lineRule="auto"/>
        <w:tabs>
          <w:tab w:leader="none" w:pos="70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Conversion Price</w:t>
      </w:r>
      <w:r>
        <w:rPr>
          <w:rFonts w:ascii="Arial" w:cs="Arial" w:eastAsia="Arial" w:hAnsi="Arial"/>
          <w:sz w:val="17"/>
          <w:szCs w:val="17"/>
          <w:color w:val="auto"/>
        </w:rPr>
        <w:t xml:space="preserve">. The conversion price for the Preferred Stock shall equal </w:t>
      </w:r>
      <w:r>
        <w:rPr>
          <w:rFonts w:ascii="Arial" w:cs="Arial" w:eastAsia="Arial" w:hAnsi="Arial"/>
          <w:sz w:val="17"/>
          <w:szCs w:val="17"/>
          <w:b w:val="1"/>
          <w:bCs w:val="1"/>
          <w:color w:val="auto"/>
        </w:rPr>
        <w:t>$7.00</w:t>
      </w:r>
      <w:r>
        <w:rPr>
          <w:rFonts w:ascii="Arial" w:cs="Arial" w:eastAsia="Arial" w:hAnsi="Arial"/>
          <w:sz w:val="17"/>
          <w:szCs w:val="17"/>
          <w:color w:val="auto"/>
        </w:rPr>
        <w:t>, subject to adjustment solely for stock dividends, stock splits and similar transactions pursuant to Section 7 of this Certificate of Designation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800" w:hanging="758"/>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40" w:firstLine="622"/>
        <w:spacing w:after="0" w:line="276" w:lineRule="auto"/>
        <w:tabs>
          <w:tab w:leader="none" w:pos="130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Delivery of Conversion Shares Upon Conversion</w:t>
      </w:r>
      <w:r>
        <w:rPr>
          <w:rFonts w:ascii="Arial" w:cs="Arial" w:eastAsia="Arial" w:hAnsi="Arial"/>
          <w:sz w:val="16"/>
          <w:szCs w:val="16"/>
          <w:color w:val="auto"/>
        </w:rPr>
        <w:t>. Not later than three (3) Trading Days after each Conversion Date (the “</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Delivery Date</w:t>
      </w:r>
      <w:r>
        <w:rPr>
          <w:rFonts w:ascii="Arial" w:cs="Arial" w:eastAsia="Arial" w:hAnsi="Arial"/>
          <w:sz w:val="16"/>
          <w:szCs w:val="16"/>
          <w:color w:val="auto"/>
        </w:rPr>
        <w:t>”), the Corporation shall deliver, or cause to be delivered, to the converting Holder (A) the number of Conversion Shares being acquired upon the conversion of the Preferred Stock which, on or after the Effective Date, shall be free of restrictive legends and trading restrictions (other than those which may then be required by the Purchase Agreement), and (B) a bank check in the amount of accrued and unpaid dividends (if the Corporation has elected or is required to pay accrued dividends in cash). On or after the Effective Date, the Corporation shall deliver the Conversion Shares required to be delivered by the Corporation under this Section 6 electronically through the Depository Trust Company or another established clearing corporation performing similar functions.</w:t>
      </w:r>
    </w:p>
    <w:p>
      <w:pPr>
        <w:spacing w:after="0" w:line="196" w:lineRule="exact"/>
        <w:rPr>
          <w:rFonts w:ascii="Arial" w:cs="Arial" w:eastAsia="Arial" w:hAnsi="Arial"/>
          <w:sz w:val="16"/>
          <w:szCs w:val="16"/>
          <w:color w:val="auto"/>
        </w:rPr>
      </w:pPr>
    </w:p>
    <w:p>
      <w:pPr>
        <w:jc w:val="both"/>
        <w:ind w:left="40" w:firstLine="622"/>
        <w:spacing w:after="0" w:line="260" w:lineRule="auto"/>
        <w:tabs>
          <w:tab w:leader="none" w:pos="1271"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Failure to Deliver Conversion Shares</w:t>
      </w:r>
      <w:r>
        <w:rPr>
          <w:rFonts w:ascii="Arial" w:cs="Arial" w:eastAsia="Arial" w:hAnsi="Arial"/>
          <w:sz w:val="17"/>
          <w:szCs w:val="17"/>
          <w:color w:val="auto"/>
        </w:rPr>
        <w:t>. If, in the case of any Notice of Conversion, such Conversion Shares are not delivered to or as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Conversion Notice.</w:t>
      </w:r>
    </w:p>
    <w:p>
      <w:pPr>
        <w:spacing w:after="0" w:line="205" w:lineRule="exact"/>
        <w:rPr>
          <w:rFonts w:ascii="Arial" w:cs="Arial" w:eastAsia="Arial" w:hAnsi="Arial"/>
          <w:sz w:val="17"/>
          <w:szCs w:val="17"/>
          <w:color w:val="auto"/>
        </w:rPr>
      </w:pPr>
    </w:p>
    <w:p>
      <w:pPr>
        <w:jc w:val="both"/>
        <w:ind w:left="40" w:firstLine="622"/>
        <w:spacing w:after="0" w:line="290" w:lineRule="auto"/>
        <w:tabs>
          <w:tab w:leader="none" w:pos="1319" w:val="left"/>
        </w:tabs>
        <w:numPr>
          <w:ilvl w:val="1"/>
          <w:numId w:val="8"/>
        </w:numPr>
        <w:rPr>
          <w:rFonts w:ascii="Arial" w:cs="Arial" w:eastAsia="Arial" w:hAnsi="Arial"/>
          <w:sz w:val="15"/>
          <w:szCs w:val="15"/>
          <w:color w:val="auto"/>
        </w:rPr>
      </w:pPr>
      <w:r>
        <w:rPr>
          <w:rFonts w:ascii="Arial" w:cs="Arial" w:eastAsia="Arial" w:hAnsi="Arial"/>
          <w:sz w:val="15"/>
          <w:szCs w:val="15"/>
          <w:u w:val="single" w:color="auto"/>
          <w:color w:val="auto"/>
        </w:rPr>
        <w:t>Obligation Absolute; Partial Liquidated Damages</w:t>
      </w:r>
      <w:r>
        <w:rPr>
          <w:rFonts w:ascii="Arial" w:cs="Arial" w:eastAsia="Arial" w:hAnsi="Arial"/>
          <w:sz w:val="15"/>
          <w:szCs w:val="15"/>
          <w:color w:val="auto"/>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Stated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Section 6(c)(i) on the second Trading Day after the Share Delivery Date applicable to such conversion, the Corporation shall pay to such Holder, in cash, as liquidated damages and not as a penalty, for each $5,000 of Stated Value of Preferred Stock being converted, $50 per Trading Day (increasing to $100 per Trading Day on the third Trading Day and increasing to $200 per Trading Day on the sixth Trading Day after such damages begin to accrue) for each Trading Day after such second Trading Day after the Share Delivery Date until such Conversion Shares are delivered or Holder rescinds such conversion. Nothing herein shall limit a Holder’s right to pursue actual damages or declare a Triggering Event pursuant to Section 10 hereof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502920</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5" w:right="239" w:bottom="1440" w:gutter="0" w:footer="0" w:header="0"/>
        </w:sectPr>
      </w:pPr>
    </w:p>
    <w:bookmarkStart w:id="12" w:name="page13"/>
    <w:bookmarkEnd w:id="12"/>
    <w:p>
      <w:pPr>
        <w:jc w:val="both"/>
        <w:ind w:left="40" w:firstLine="622"/>
        <w:spacing w:after="0" w:line="289" w:lineRule="auto"/>
        <w:tabs>
          <w:tab w:leader="none" w:pos="1453" w:val="left"/>
        </w:tabs>
        <w:numPr>
          <w:ilvl w:val="1"/>
          <w:numId w:val="9"/>
        </w:numPr>
        <w:rPr>
          <w:rFonts w:ascii="Arial" w:cs="Arial" w:eastAsia="Arial" w:hAnsi="Arial"/>
          <w:sz w:val="15"/>
          <w:szCs w:val="15"/>
          <w:color w:val="auto"/>
        </w:rPr>
      </w:pPr>
      <w:r>
        <w:rPr>
          <w:rFonts w:ascii="Arial" w:cs="Arial" w:eastAsia="Arial" w:hAnsi="Arial"/>
          <w:sz w:val="15"/>
          <w:szCs w:val="15"/>
          <w:u w:val="single" w:color="auto"/>
          <w:color w:val="auto"/>
        </w:rPr>
        <w:t>Compensation for Buy-In on Failure to Timely Deliver Conversion Shares Upon Conversion</w:t>
      </w:r>
      <w:r>
        <w:rPr>
          <w:rFonts w:ascii="Arial" w:cs="Arial" w:eastAsia="Arial" w:hAnsi="Arial"/>
          <w:sz w:val="15"/>
          <w:szCs w:val="15"/>
          <w:color w:val="auto"/>
        </w:rPr>
        <w:t>. In addition to any other rights available to the Holder, if the Corporation fails for any reason to deliver to a Holder the applicable Conversion Shares by the Share Delivery Date pursuant to Section 6(c)(i),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w:t>
      </w:r>
    </w:p>
    <w:p>
      <w:pPr>
        <w:spacing w:after="0" w:line="1" w:lineRule="exact"/>
        <w:rPr>
          <w:rFonts w:ascii="Arial" w:cs="Arial" w:eastAsia="Arial" w:hAnsi="Arial"/>
          <w:sz w:val="15"/>
          <w:szCs w:val="15"/>
          <w:color w:val="auto"/>
        </w:rPr>
      </w:pPr>
    </w:p>
    <w:p>
      <w:pPr>
        <w:jc w:val="both"/>
        <w:ind w:left="40" w:firstLine="2"/>
        <w:spacing w:after="0" w:line="272" w:lineRule="auto"/>
        <w:tabs>
          <w:tab w:leader="none" w:pos="2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spacing w:after="0" w:line="197" w:lineRule="exact"/>
        <w:rPr>
          <w:rFonts w:ascii="Arial" w:cs="Arial" w:eastAsia="Arial" w:hAnsi="Arial"/>
          <w:sz w:val="16"/>
          <w:szCs w:val="16"/>
          <w:color w:val="auto"/>
        </w:rPr>
      </w:pPr>
    </w:p>
    <w:p>
      <w:pPr>
        <w:jc w:val="both"/>
        <w:ind w:left="40" w:firstLine="622"/>
        <w:spacing w:after="0" w:line="274" w:lineRule="auto"/>
        <w:tabs>
          <w:tab w:leader="none" w:pos="132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Reservation of Shares Issuable Upon Conversion</w:t>
      </w:r>
      <w:r>
        <w:rPr>
          <w:rFonts w:ascii="Arial" w:cs="Arial" w:eastAsia="Arial" w:hAnsi="Arial"/>
          <w:sz w:val="16"/>
          <w:szCs w:val="16"/>
          <w:color w:val="auto"/>
        </w:rPr>
        <w:t>. The Corporation covenants that it will at all times reserve and keep available out of its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and payment of dividends hereunder. The Corporation covenants that all shares of Common Stock that shall be so issuable shall, upon issue, be duly authorized, validly issued, fully paid and nonassessable and, if the Registration Statement is then effective under the Securities Act, such Conversion Shares shall be registered for public resale in accordance with such Registration Statement.</w:t>
      </w:r>
    </w:p>
    <w:p>
      <w:pPr>
        <w:spacing w:after="0" w:line="200" w:lineRule="exact"/>
        <w:rPr>
          <w:rFonts w:ascii="Arial" w:cs="Arial" w:eastAsia="Arial" w:hAnsi="Arial"/>
          <w:sz w:val="16"/>
          <w:szCs w:val="16"/>
          <w:color w:val="auto"/>
        </w:rPr>
      </w:pPr>
    </w:p>
    <w:p>
      <w:pPr>
        <w:jc w:val="both"/>
        <w:ind w:left="40" w:firstLine="622"/>
        <w:spacing w:after="0" w:line="262" w:lineRule="auto"/>
        <w:tabs>
          <w:tab w:leader="none" w:pos="1309"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381635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3" w:name="page14"/>
    <w:bookmarkEnd w:id="13"/>
    <w:p>
      <w:pPr>
        <w:jc w:val="both"/>
        <w:ind w:left="40" w:firstLine="622"/>
        <w:spacing w:after="0" w:line="256" w:lineRule="auto"/>
        <w:tabs>
          <w:tab w:leader="none" w:pos="1409"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Transfer Taxes and Expenses</w:t>
      </w:r>
      <w:r>
        <w:rPr>
          <w:rFonts w:ascii="Arial" w:cs="Arial" w:eastAsia="Arial" w:hAnsi="Arial"/>
          <w:sz w:val="17"/>
          <w:szCs w:val="17"/>
          <w:color w:val="auto"/>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spacing w:after="0" w:line="205" w:lineRule="exact"/>
        <w:rPr>
          <w:rFonts w:ascii="Arial" w:cs="Arial" w:eastAsia="Arial" w:hAnsi="Arial"/>
          <w:sz w:val="17"/>
          <w:szCs w:val="17"/>
          <w:color w:val="auto"/>
        </w:rPr>
      </w:pPr>
    </w:p>
    <w:p>
      <w:pPr>
        <w:jc w:val="both"/>
        <w:ind w:left="-580" w:firstLine="622"/>
        <w:spacing w:after="0" w:line="271" w:lineRule="auto"/>
        <w:tabs>
          <w:tab w:leader="none" w:pos="88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Beneficial Ownership Limitation</w:t>
      </w:r>
      <w:r>
        <w:rPr>
          <w:rFonts w:ascii="Arial" w:cs="Arial" w:eastAsia="Arial" w:hAnsi="Arial"/>
          <w:sz w:val="18"/>
          <w:szCs w:val="18"/>
          <w:color w:val="auto"/>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and (ii) exercise or conversion of the unexercised or unconverted portion of any other securities of the Corporation subject to a limitation on conversion or exercise analogous to the limitation contained herein (including, without limitation, the Preferred Stock or the Warrants) beneficially owned by such Holder or any of its Affiliates.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since the date as of which such number of outstanding shares of Common Stock was reported. The “Beneficial Ownership Limitation” shall be 9.99% of the number of shares of the Common Stock outstanding immediately after giving effect to the issuance of shares of Common Stock issuable upon conversion of Preferred Stock held by the applicable Holder. A Holder, upon notice to the Corporation, may increase or decrease the Beneficial Ownership Limitation provisions of this Section 6(d) applicable to its Preferred Stock; provided, however, any such increase in the Beneficial Ownership Limitation will not be effective until the 61st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665480</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4" w:name="page15"/>
    <w:bookmarkEnd w:id="14"/>
    <w:p>
      <w:pPr>
        <w:ind w:left="40"/>
        <w:spacing w:after="0"/>
        <w:tabs>
          <w:tab w:leader="none" w:pos="1660" w:val="left"/>
        </w:tabs>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Certain Adjustments</w:t>
      </w:r>
      <w:r>
        <w:rPr>
          <w:rFonts w:ascii="Arial" w:cs="Arial" w:eastAsia="Arial" w:hAnsi="Arial"/>
          <w:sz w:val="15"/>
          <w:szCs w:val="15"/>
          <w:color w:val="auto"/>
        </w:rPr>
        <w:t>.</w:t>
      </w:r>
    </w:p>
    <w:p>
      <w:pPr>
        <w:spacing w:after="0" w:line="243" w:lineRule="exact"/>
        <w:rPr>
          <w:sz w:val="20"/>
          <w:szCs w:val="20"/>
          <w:color w:val="auto"/>
        </w:rPr>
      </w:pPr>
    </w:p>
    <w:p>
      <w:pPr>
        <w:jc w:val="both"/>
        <w:ind w:left="-580" w:firstLine="622"/>
        <w:spacing w:after="0" w:line="274" w:lineRule="auto"/>
        <w:tabs>
          <w:tab w:leader="none" w:pos="72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6" w:lineRule="exact"/>
        <w:rPr>
          <w:rFonts w:ascii="Arial" w:cs="Arial" w:eastAsia="Arial" w:hAnsi="Arial"/>
          <w:sz w:val="16"/>
          <w:szCs w:val="16"/>
          <w:color w:val="auto"/>
        </w:rPr>
      </w:pPr>
    </w:p>
    <w:p>
      <w:pPr>
        <w:jc w:val="both"/>
        <w:ind w:left="-580" w:firstLine="622"/>
        <w:spacing w:after="0" w:line="273" w:lineRule="auto"/>
        <w:tabs>
          <w:tab w:leader="none" w:pos="65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i w:val="1"/>
          <w:iCs w:val="1"/>
          <w:color w:val="auto"/>
        </w:rPr>
        <w:t>provided, 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377825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5" w:name="page16"/>
    <w:bookmarkEnd w:id="15"/>
    <w:p>
      <w:pPr>
        <w:jc w:val="both"/>
        <w:ind w:left="-580" w:firstLine="622"/>
        <w:spacing w:after="0" w:line="288" w:lineRule="auto"/>
        <w:tabs>
          <w:tab w:leader="none" w:pos="749"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Fundamental Transaction</w:t>
      </w:r>
      <w:r>
        <w:rPr>
          <w:rFonts w:ascii="Arial" w:cs="Arial" w:eastAsia="Arial" w:hAnsi="Arial"/>
          <w:sz w:val="15"/>
          <w:szCs w:val="15"/>
          <w:color w:val="auto"/>
        </w:rPr>
        <w:t>. If, at any time while this Preferred Stock is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on the conversion of this Preferred Stock), the number of shares of Common Stock of the successor or acquiring corporation or of the Corporation,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Fundamental Transaction by a holder of the number of shares of Common Stock for which this Preferred Stock is convertible immediately prior to such Fundamental Transaction (without regard to any limitation in Section 6(d)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Arial" w:cs="Arial" w:eastAsia="Arial" w:hAnsi="Arial"/>
          <w:sz w:val="15"/>
          <w:szCs w:val="15"/>
          <w:u w:val="single" w:color="auto"/>
          <w:color w:val="auto"/>
        </w:rPr>
        <w:t>Successor Entity</w:t>
      </w:r>
      <w:r>
        <w:rPr>
          <w:rFonts w:ascii="Arial" w:cs="Arial" w:eastAsia="Arial" w:hAnsi="Arial"/>
          <w:sz w:val="15"/>
          <w:szCs w:val="15"/>
          <w:color w:val="auto"/>
        </w:rPr>
        <w:t>”) to assume in writing all of the obligations of the Corporation under this Certificate of Designation and the other Transaction Documents (as defined in the Purchase Agreement) in accordance with the provisions of this Section 7(c)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517525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6" w:name="page17"/>
    <w:bookmarkEnd w:id="16"/>
    <w:p>
      <w:pPr>
        <w:jc w:val="both"/>
        <w:ind w:left="-580" w:firstLine="622"/>
        <w:spacing w:after="0" w:line="266" w:lineRule="auto"/>
        <w:tabs>
          <w:tab w:leader="none" w:pos="77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201" w:lineRule="exact"/>
        <w:rPr>
          <w:rFonts w:ascii="Arial" w:cs="Arial" w:eastAsia="Arial" w:hAnsi="Arial"/>
          <w:sz w:val="17"/>
          <w:szCs w:val="17"/>
          <w:color w:val="auto"/>
        </w:rPr>
      </w:pPr>
    </w:p>
    <w:p>
      <w:pPr>
        <w:ind w:left="640" w:hanging="59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Notice to the Holders</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40" w:firstLine="622"/>
        <w:spacing w:after="0" w:line="266" w:lineRule="auto"/>
        <w:tabs>
          <w:tab w:leader="none" w:pos="1378"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Adjustment to Conversion Price</w:t>
      </w:r>
      <w:r>
        <w:rPr>
          <w:rFonts w:ascii="Arial" w:cs="Arial" w:eastAsia="Arial" w:hAnsi="Arial"/>
          <w:sz w:val="17"/>
          <w:szCs w:val="17"/>
          <w:color w:val="auto"/>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spacing w:after="0" w:line="201" w:lineRule="exact"/>
        <w:rPr>
          <w:rFonts w:ascii="Arial" w:cs="Arial" w:eastAsia="Arial" w:hAnsi="Arial"/>
          <w:sz w:val="17"/>
          <w:szCs w:val="17"/>
          <w:color w:val="auto"/>
        </w:rPr>
      </w:pPr>
    </w:p>
    <w:p>
      <w:pPr>
        <w:jc w:val="both"/>
        <w:ind w:left="40" w:firstLine="622"/>
        <w:spacing w:after="0" w:line="290" w:lineRule="auto"/>
        <w:tabs>
          <w:tab w:leader="none" w:pos="1387" w:val="left"/>
        </w:tabs>
        <w:numPr>
          <w:ilvl w:val="1"/>
          <w:numId w:val="15"/>
        </w:numPr>
        <w:rPr>
          <w:rFonts w:ascii="Arial" w:cs="Arial" w:eastAsia="Arial" w:hAnsi="Arial"/>
          <w:sz w:val="15"/>
          <w:szCs w:val="15"/>
          <w:color w:val="auto"/>
        </w:rPr>
      </w:pPr>
      <w:r>
        <w:rPr>
          <w:rFonts w:ascii="Arial" w:cs="Arial" w:eastAsia="Arial" w:hAnsi="Arial"/>
          <w:sz w:val="15"/>
          <w:szCs w:val="15"/>
          <w:u w:val="single" w:color="auto"/>
          <w:color w:val="auto"/>
        </w:rPr>
        <w:t>Notice to Allow Conversion by Holder</w:t>
      </w:r>
      <w:r>
        <w:rPr>
          <w:rFonts w:ascii="Arial" w:cs="Arial" w:eastAsia="Arial" w:hAnsi="Arial"/>
          <w:sz w:val="15"/>
          <w:szCs w:val="15"/>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374650</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7" w:name="page18"/>
    <w:bookmarkEnd w:id="17"/>
    <w:p>
      <w:pPr>
        <w:ind w:left="940"/>
        <w:spacing w:after="0"/>
        <w:tabs>
          <w:tab w:leader="none" w:pos="2560" w:val="left"/>
        </w:tabs>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Automatic Conversion.</w:t>
      </w:r>
    </w:p>
    <w:p>
      <w:pPr>
        <w:spacing w:after="0" w:line="243" w:lineRule="exact"/>
        <w:rPr>
          <w:sz w:val="20"/>
          <w:szCs w:val="20"/>
          <w:color w:val="auto"/>
        </w:rPr>
      </w:pPr>
    </w:p>
    <w:p>
      <w:pPr>
        <w:jc w:val="both"/>
        <w:ind w:left="620" w:firstLine="622"/>
        <w:spacing w:after="0" w:line="207" w:lineRule="exact"/>
        <w:tabs>
          <w:tab w:leader="none" w:pos="20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Notwithstanding anything herein to the contrary, upon the occurrence of either (A) the consummation of a Registered Offering, (B) the consummation of a strategic transaction involving the Corporation’s drug candidate, AV-101 (L-4</w:t>
      </w:r>
      <w:r>
        <w:rPr>
          <w:rFonts w:ascii="MS PGothic" w:cs="MS PGothic" w:eastAsia="MS PGothic" w:hAnsi="MS PGothic"/>
          <w:sz w:val="16"/>
          <w:szCs w:val="16"/>
          <w:color w:val="auto"/>
        </w:rPr>
        <w:t>‑</w:t>
      </w:r>
      <w:r>
        <w:rPr>
          <w:rFonts w:ascii="Arial" w:cs="Arial" w:eastAsia="Arial" w:hAnsi="Arial"/>
          <w:sz w:val="16"/>
          <w:szCs w:val="16"/>
          <w:color w:val="auto"/>
        </w:rPr>
        <w:t>chlorokynurenine or 4-Cl-KYN), in which the Corporation receives consideration of at least $10.0 million as an up-front payment upon entering into such agreement, in cash, equity securities, or a combination thereof, or (C) the Trading Day immediately following the date that (i) the closing price for each of any 20 consecutive Trading Day period, which 20 consecutive Trading Day period shall have commenced only after the Effective Date (“</w:t>
      </w:r>
      <w:r>
        <w:rPr>
          <w:rFonts w:ascii="Arial" w:cs="Arial" w:eastAsia="Arial" w:hAnsi="Arial"/>
          <w:sz w:val="16"/>
          <w:szCs w:val="16"/>
          <w:u w:val="single" w:color="auto"/>
          <w:color w:val="auto"/>
        </w:rPr>
        <w:t>Threshold Period</w:t>
      </w:r>
      <w:r>
        <w:rPr>
          <w:rFonts w:ascii="Arial" w:cs="Arial" w:eastAsia="Arial" w:hAnsi="Arial"/>
          <w:sz w:val="16"/>
          <w:szCs w:val="16"/>
          <w:color w:val="auto"/>
        </w:rPr>
        <w:t>”), exceeds $12.00 (subject to adjustment for forward and reverse stock splits, stock dividends and the like) and (ii) the volume for each Trading Day during any Threshold Period exceeds 20,000 shares of Common Stock per Trading Day (subject to adjustment for forward and reverse stock splits, stock dividends and the like), within three Trading Days after the either of the events described in (A), (B) or (C), each Holder’s Preferred Stock plus all accrued but unpaid dividends thereon and all liquidated damages and other amounts due in respect of the Preferred Stock pursuant to Section 6 shall automatically be converted to Common Stock (an “</w:t>
      </w:r>
      <w:r>
        <w:rPr>
          <w:rFonts w:ascii="Arial" w:cs="Arial" w:eastAsia="Arial" w:hAnsi="Arial"/>
          <w:sz w:val="16"/>
          <w:szCs w:val="16"/>
          <w:u w:val="single" w:color="auto"/>
          <w:color w:val="auto"/>
        </w:rPr>
        <w:t>Automatic Conversion</w:t>
      </w:r>
      <w:r>
        <w:rPr>
          <w:rFonts w:ascii="Arial" w:cs="Arial" w:eastAsia="Arial" w:hAnsi="Arial"/>
          <w:sz w:val="16"/>
          <w:szCs w:val="16"/>
          <w:color w:val="auto"/>
        </w:rPr>
        <w:t>”), it being agreed that the “Conversion Date” for purposes of Section 6 shall be deemed to occur on the third Trading Day following the applicable event described in (A), (B) or (C) above (such third Trading Day, the “</w:t>
      </w:r>
      <w:r>
        <w:rPr>
          <w:rFonts w:ascii="Arial" w:cs="Arial" w:eastAsia="Arial" w:hAnsi="Arial"/>
          <w:sz w:val="16"/>
          <w:szCs w:val="16"/>
          <w:u w:val="single" w:color="auto"/>
          <w:color w:val="auto"/>
        </w:rPr>
        <w:t>Automatic Conversion Date</w:t>
      </w:r>
      <w:r>
        <w:rPr>
          <w:rFonts w:ascii="Arial" w:cs="Arial" w:eastAsia="Arial" w:hAnsi="Arial"/>
          <w:sz w:val="16"/>
          <w:szCs w:val="16"/>
          <w:color w:val="auto"/>
        </w:rPr>
        <w:t>”). Any Automatic Conversion shall not be effective, unless all of the Equity Conditions have been met on each Trading Day during the 20 Trading Days prior to and including the later of the Automatic Conversion Date and the Trading Day after the date that the Conversion Shares issuable pursuant to such conversion are actually delivered to the Holders. For purposes of clarification, an Automatic Conversion shall be subject to all of the provisions of Section 6, including, without limitation, the provisions requiring payment of liquidated damages and limitations on conversions.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Negative Covenants</w:t>
      </w:r>
      <w:r>
        <w:rPr>
          <w:rFonts w:ascii="Arial" w:cs="Arial" w:eastAsia="Arial" w:hAnsi="Arial"/>
          <w:sz w:val="17"/>
          <w:szCs w:val="17"/>
          <w:color w:val="auto"/>
        </w:rPr>
        <w:t>. As long as any shares of Preferred Stock are outstanding, unless the holders of at least 66% in Stated Value of the then outstanding shares of Preferred Stock shall have otherwise given prior written consent, the Corporation shall not, and shall not permit any of the Subsidiaries to, directly or indirectly:</w:t>
      </w:r>
    </w:p>
    <w:p>
      <w:pPr>
        <w:spacing w:after="0" w:line="193" w:lineRule="exact"/>
        <w:rPr>
          <w:sz w:val="20"/>
          <w:szCs w:val="20"/>
          <w:color w:val="auto"/>
        </w:rPr>
      </w:pPr>
    </w:p>
    <w:p>
      <w:pPr>
        <w:jc w:val="both"/>
        <w:ind w:left="620" w:firstLine="622"/>
        <w:spacing w:after="0" w:line="242" w:lineRule="auto"/>
        <w:tabs>
          <w:tab w:leader="none" w:pos="2028" w:val="left"/>
        </w:tabs>
        <w:numPr>
          <w:ilvl w:val="0"/>
          <w:numId w:val="17"/>
        </w:numPr>
        <w:rPr>
          <w:rFonts w:ascii="Arial" w:cs="Arial" w:eastAsia="Arial" w:hAnsi="Arial"/>
          <w:sz w:val="21"/>
          <w:szCs w:val="21"/>
          <w:color w:val="auto"/>
        </w:rPr>
      </w:pPr>
      <w:r>
        <w:rPr>
          <w:rFonts w:ascii="Arial" w:cs="Arial" w:eastAsia="Arial" w:hAnsi="Arial"/>
          <w:sz w:val="21"/>
          <w:szCs w:val="21"/>
          <w:color w:val="auto"/>
        </w:rPr>
        <w:t>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 or</w:t>
      </w:r>
    </w:p>
    <w:p>
      <w:pPr>
        <w:spacing w:after="0" w:line="198" w:lineRule="exact"/>
        <w:rPr>
          <w:rFonts w:ascii="Arial" w:cs="Arial" w:eastAsia="Arial" w:hAnsi="Arial"/>
          <w:sz w:val="21"/>
          <w:szCs w:val="21"/>
          <w:color w:val="auto"/>
        </w:rPr>
      </w:pPr>
    </w:p>
    <w:p>
      <w:pPr>
        <w:jc w:val="both"/>
        <w:ind w:left="620" w:firstLine="622"/>
        <w:spacing w:after="0" w:line="335" w:lineRule="auto"/>
        <w:tabs>
          <w:tab w:leader="none" w:pos="20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28" w:lineRule="exact"/>
        <w:rPr>
          <w:sz w:val="20"/>
          <w:szCs w:val="20"/>
          <w:color w:val="auto"/>
        </w:rPr>
      </w:pPr>
    </w:p>
    <w:p>
      <w:pPr>
        <w:spacing w:after="0"/>
        <w:tabs>
          <w:tab w:leader="none" w:pos="1700" w:val="left"/>
        </w:tabs>
        <w:rPr>
          <w:sz w:val="20"/>
          <w:szCs w:val="20"/>
          <w:color w:val="auto"/>
        </w:rPr>
      </w:pPr>
      <w:r>
        <w:rPr>
          <w:rFonts w:ascii="Arial" w:cs="Arial" w:eastAsia="Arial" w:hAnsi="Arial"/>
          <w:sz w:val="17"/>
          <w:szCs w:val="17"/>
          <w:u w:val="single" w:color="auto"/>
          <w:color w:val="auto"/>
        </w:rPr>
        <w:t>Section 10</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243" w:lineRule="exact"/>
        <w:rPr>
          <w:sz w:val="20"/>
          <w:szCs w:val="20"/>
          <w:color w:val="auto"/>
        </w:rPr>
      </w:pPr>
    </w:p>
    <w:p>
      <w:pPr>
        <w:jc w:val="both"/>
        <w:ind w:left="620" w:firstLine="622"/>
        <w:spacing w:after="0" w:line="272" w:lineRule="auto"/>
        <w:tabs>
          <w:tab w:leader="none" w:pos="185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to be provided by the Holders hereunder including, without limitation, any Notice of Conversion, shall be in writing and delivered personally, by facsimile, or sent by a nationally recognized overnight courier service, addressed to the Corporation, at 343 Allerton Avenue, South San Francisco, California 94080, Attention: Chief Executive Officer, facsimile number 888-482-2602, email address ssingh@vistagen.com, or such other facsimile number or address as the Corporation may specify for such purposes by notice to the Holders delivered in accordance with this Section 10. Any and all notices or other communications or deliveries to be provided by the Corporation hereunder shall be in writing and delivered personally, by facsimile,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facsimile at the facsimile number set forth in this Section prior to 5:30 p.m. (New York City time) on any date, (ii) the next Trading Day after the date of transmission, if such notice or communication is delivered via facsimile at the facsimile number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8" w:name="page19"/>
    <w:bookmarkEnd w:id="18"/>
    <w:p>
      <w:pPr>
        <w:jc w:val="both"/>
        <w:ind w:left="-580" w:firstLine="622"/>
        <w:spacing w:after="0" w:line="266" w:lineRule="auto"/>
        <w:tabs>
          <w:tab w:leader="none" w:pos="91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Absolute Obligation</w:t>
      </w:r>
      <w:r>
        <w:rPr>
          <w:rFonts w:ascii="Arial" w:cs="Arial" w:eastAsia="Arial" w:hAnsi="Arial"/>
          <w:sz w:val="17"/>
          <w:szCs w:val="17"/>
          <w:color w:val="auto"/>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Preferred Stock at the time, place, and rate, and in the coin or currency, herein prescribed.</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jc w:val="both"/>
        <w:ind w:left="-580" w:firstLine="622"/>
        <w:spacing w:after="0" w:line="283" w:lineRule="auto"/>
        <w:tabs>
          <w:tab w:leader="none" w:pos="76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Lost or Mutilated Preferred Stock Certificate</w:t>
      </w:r>
      <w:r>
        <w:rPr>
          <w:rFonts w:ascii="Arial" w:cs="Arial" w:eastAsia="Arial" w:hAnsi="Arial"/>
          <w:sz w:val="16"/>
          <w:szCs w:val="16"/>
          <w:color w:val="auto"/>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190" w:lineRule="exact"/>
        <w:rPr>
          <w:rFonts w:ascii="Arial" w:cs="Arial" w:eastAsia="Arial" w:hAnsi="Arial"/>
          <w:sz w:val="16"/>
          <w:szCs w:val="16"/>
          <w:color w:val="auto"/>
        </w:rPr>
      </w:pPr>
    </w:p>
    <w:p>
      <w:pPr>
        <w:jc w:val="both"/>
        <w:ind w:left="-580" w:firstLine="622"/>
        <w:spacing w:after="0" w:line="272" w:lineRule="auto"/>
        <w:tabs>
          <w:tab w:leader="none" w:pos="65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6"/>
          <w:szCs w:val="16"/>
          <w:u w:val="single" w:color="auto"/>
          <w:color w:val="auto"/>
        </w:rPr>
        <w:t>New York Courts</w:t>
      </w:r>
      <w:r>
        <w:rPr>
          <w:rFonts w:ascii="Arial" w:cs="Arial" w:eastAsia="Arial" w:hAnsi="Arial"/>
          <w:sz w:val="16"/>
          <w:szCs w:val="16"/>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197" w:lineRule="exact"/>
        <w:rPr>
          <w:rFonts w:ascii="Arial" w:cs="Arial" w:eastAsia="Arial" w:hAnsi="Arial"/>
          <w:sz w:val="16"/>
          <w:szCs w:val="16"/>
          <w:color w:val="auto"/>
        </w:rPr>
      </w:pPr>
    </w:p>
    <w:p>
      <w:pPr>
        <w:jc w:val="both"/>
        <w:ind w:left="-580" w:firstLine="622"/>
        <w:spacing w:after="0" w:line="280"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91" w:lineRule="exact"/>
        <w:rPr>
          <w:rFonts w:ascii="Arial" w:cs="Arial" w:eastAsia="Arial" w:hAnsi="Arial"/>
          <w:sz w:val="16"/>
          <w:szCs w:val="16"/>
          <w:color w:val="auto"/>
        </w:rPr>
      </w:pPr>
    </w:p>
    <w:p>
      <w:pPr>
        <w:jc w:val="both"/>
        <w:ind w:left="-580" w:firstLine="622"/>
        <w:spacing w:after="0" w:line="283" w:lineRule="auto"/>
        <w:tabs>
          <w:tab w:leader="none" w:pos="80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90" w:lineRule="exact"/>
        <w:rPr>
          <w:rFonts w:ascii="Arial" w:cs="Arial" w:eastAsia="Arial" w:hAnsi="Arial"/>
          <w:sz w:val="16"/>
          <w:szCs w:val="16"/>
          <w:color w:val="auto"/>
        </w:rPr>
      </w:pPr>
    </w:p>
    <w:p>
      <w:pPr>
        <w:ind w:left="-580" w:firstLine="622"/>
        <w:spacing w:after="0" w:line="280" w:lineRule="auto"/>
        <w:tabs>
          <w:tab w:leader="none" w:pos="68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Next Business Day</w:t>
      </w:r>
      <w:r>
        <w:rPr>
          <w:rFonts w:ascii="Arial" w:cs="Arial" w:eastAsia="Arial" w:hAnsi="Arial"/>
          <w:sz w:val="17"/>
          <w:szCs w:val="17"/>
          <w:color w:val="auto"/>
        </w:rPr>
        <w:t>. Whenever any payment or other obligation hereunder shall be due on a day other than a Business Day, such payment shall be 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371475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9" w:name="page20"/>
    <w:bookmarkEnd w:id="19"/>
    <w:p>
      <w:pPr>
        <w:ind w:left="-580" w:firstLine="622"/>
        <w:spacing w:after="0" w:line="280" w:lineRule="auto"/>
        <w:tabs>
          <w:tab w:leader="none" w:pos="66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herein are for convenience only, do not constitute a part of this Certificate of Designation and shall not be deemed to limit or affect any of the provisions hereof.</w:t>
      </w:r>
    </w:p>
    <w:p>
      <w:pPr>
        <w:spacing w:after="0" w:line="189" w:lineRule="exact"/>
        <w:rPr>
          <w:rFonts w:ascii="Arial" w:cs="Arial" w:eastAsia="Arial" w:hAnsi="Arial"/>
          <w:sz w:val="17"/>
          <w:szCs w:val="17"/>
          <w:color w:val="auto"/>
        </w:rPr>
      </w:pPr>
    </w:p>
    <w:p>
      <w:pPr>
        <w:jc w:val="both"/>
        <w:ind w:left="-580" w:firstLine="622"/>
        <w:spacing w:after="0" w:line="266" w:lineRule="auto"/>
        <w:tabs>
          <w:tab w:leader="none" w:pos="65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Status of Converted or Redeemed Preferred Stock</w:t>
      </w:r>
      <w:r>
        <w:rPr>
          <w:rFonts w:ascii="Arial" w:cs="Arial" w:eastAsia="Arial" w:hAnsi="Arial"/>
          <w:sz w:val="17"/>
          <w:szCs w:val="17"/>
          <w:color w:val="auto"/>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B 10% Convertible Preferred Stock.</w:t>
      </w:r>
    </w:p>
    <w:p>
      <w:pPr>
        <w:spacing w:after="0" w:line="202"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405765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7"/>
          <w:szCs w:val="17"/>
          <w:color w:val="auto"/>
        </w:rPr>
        <w:t>RESOLVED, FURTHER, that the Chief Executive Officer,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Nevada law.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the undersigned have executed this Certificate this 7th day of May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7"/>
                <w:szCs w:val="17"/>
                <w:color w:val="auto"/>
                <w:w w:val="89"/>
              </w:rPr>
              <w:t>/s/ Shawn Singh</w:t>
            </w:r>
          </w:p>
        </w:tc>
        <w:tc>
          <w:tcPr>
            <w:tcW w:w="2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/s/ Jerrold Dotson</w:t>
            </w: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3"/>
        </w:trPr>
        <w:tc>
          <w:tcPr>
            <w:tcW w:w="2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Name: Shawn Singh</w:t>
            </w:r>
          </w:p>
        </w:tc>
        <w:tc>
          <w:tcPr>
            <w:tcW w:w="180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Name: Jerrold Dotson</w:t>
            </w:r>
          </w:p>
        </w:tc>
      </w:tr>
      <w:tr>
        <w:trPr>
          <w:trHeight w:val="217"/>
        </w:trPr>
        <w:tc>
          <w:tcPr>
            <w:tcW w:w="4120" w:type="dxa"/>
            <w:vAlign w:val="bottom"/>
            <w:gridSpan w:val="3"/>
          </w:tcPr>
          <w:p>
            <w:pPr>
              <w:ind w:left="220"/>
              <w:spacing w:after="0"/>
              <w:rPr>
                <w:sz w:val="20"/>
                <w:szCs w:val="20"/>
                <w:color w:val="auto"/>
              </w:rPr>
            </w:pPr>
            <w:r>
              <w:rPr>
                <w:rFonts w:ascii="Arial" w:cs="Arial" w:eastAsia="Arial" w:hAnsi="Arial"/>
                <w:sz w:val="17"/>
                <w:szCs w:val="17"/>
                <w:color w:val="auto"/>
              </w:rPr>
              <w:t>Title: Chief Executive Officer</w:t>
            </w:r>
          </w:p>
        </w:tc>
        <w:tc>
          <w:tcPr>
            <w:tcW w:w="7300" w:type="dxa"/>
            <w:vAlign w:val="bottom"/>
            <w:gridSpan w:val="3"/>
          </w:tcPr>
          <w:p>
            <w:pPr>
              <w:ind w:left="1800"/>
              <w:spacing w:after="0"/>
              <w:rPr>
                <w:sz w:val="20"/>
                <w:szCs w:val="20"/>
                <w:color w:val="auto"/>
              </w:rPr>
            </w:pPr>
            <w:r>
              <w:rPr>
                <w:rFonts w:ascii="Arial" w:cs="Arial" w:eastAsia="Arial" w:hAnsi="Arial"/>
                <w:sz w:val="17"/>
                <w:szCs w:val="17"/>
                <w:color w:val="auto"/>
              </w:rPr>
              <w:t>Title: Secretary</w:t>
            </w:r>
          </w:p>
        </w:tc>
      </w:tr>
      <w:tr>
        <w:trPr>
          <w:trHeight w:val="1069"/>
        </w:trPr>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ANNEX 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CONVERSION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EXECUTED BY THE REGISTERED HOLDER IN ORDER TO CONVERT SHARES OF PREFERRED STOCK)</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undersigned hereby elects to convert the number of shares of Series B 10% Convertible Preferred Stock indicated below into shares of common stock, par value $0.001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VistaGen Therapeutics, Inc., a Nevada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Conversion calculations: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Date to Effect Conversion: _____________________________________________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Preferred Stock owned prior to Conversion: 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Preferred Stock to be Converted: 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Stated Value of shares of Preferred Stock to be Converted: 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Common Stock to be Issued: 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Applicable Conversion Price:____________________________________________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Preferred Stock subsequent to Conversion: 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Address for Delivery: 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DWAC Instructions: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Broker no: 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Account no: ___________</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[HOLDER]</w:t>
      </w:r>
    </w:p>
    <w:p>
      <w:pPr>
        <w:spacing w:after="0" w:line="218"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By:___________________________________</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Name:</w:t>
      </w:r>
    </w:p>
    <w:p>
      <w:pPr>
        <w:spacing w:after="0" w:line="1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49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7"/>
          <w:szCs w:val="17"/>
          <w:b w:val="1"/>
          <w:bCs w:val="1"/>
          <w:color w:val="auto"/>
        </w:rPr>
        <w:t>Exhibit 10.1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00" w:lineRule="exact"/>
        <w:rPr>
          <w:sz w:val="20"/>
          <w:szCs w:val="20"/>
          <w:color w:val="auto"/>
        </w:rPr>
      </w:pPr>
    </w:p>
    <w:p>
      <w:pPr>
        <w:spacing w:after="0" w:line="250"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(this “</w:t>
      </w:r>
      <w:r>
        <w:rPr>
          <w:rFonts w:ascii="Arial" w:cs="Arial" w:eastAsia="Arial" w:hAnsi="Arial"/>
          <w:sz w:val="17"/>
          <w:szCs w:val="17"/>
          <w:i w:val="1"/>
          <w:iCs w:val="1"/>
          <w:color w:val="auto"/>
        </w:rPr>
        <w:t>Agreement</w:t>
      </w:r>
      <w:r>
        <w:rPr>
          <w:rFonts w:ascii="Arial" w:cs="Arial" w:eastAsia="Arial" w:hAnsi="Arial"/>
          <w:sz w:val="17"/>
          <w:szCs w:val="17"/>
          <w:color w:val="auto"/>
        </w:rPr>
        <w:t>”) is entered into on May 5, 2015, by and between VistaGen Therapeutics, Inc., a Nevada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and Platinum Long Term Growth VII, LLC, a Delaware limited liability corporation (“</w:t>
      </w:r>
      <w:r>
        <w:rPr>
          <w:rFonts w:ascii="Arial" w:cs="Arial" w:eastAsia="Arial" w:hAnsi="Arial"/>
          <w:sz w:val="17"/>
          <w:szCs w:val="17"/>
          <w:i w:val="1"/>
          <w:iCs w:val="1"/>
          <w:color w:val="auto"/>
        </w:rPr>
        <w:t>Platinum</w:t>
      </w:r>
      <w:r>
        <w:rPr>
          <w:rFonts w:ascii="Arial" w:cs="Arial" w:eastAsia="Arial" w:hAnsi="Arial"/>
          <w:sz w:val="17"/>
          <w:szCs w:val="17"/>
          <w:color w:val="auto"/>
        </w:rPr>
        <w:t>”).</w:t>
      </w:r>
    </w:p>
    <w:p>
      <w:pPr>
        <w:spacing w:after="0" w:line="152"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Platinum is the holder of certain Senior Secured Convertible Promissory Notes of the Company, issued on the dates and in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amounts and with accrued interest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i w:val="1"/>
          <w:iCs w:val="1"/>
          <w:color w:val="auto"/>
        </w:rPr>
        <w:t>Platinum Notes</w:t>
      </w:r>
      <w:r>
        <w:rPr>
          <w:rFonts w:ascii="Arial" w:cs="Arial" w:eastAsia="Arial" w:hAnsi="Arial"/>
          <w:sz w:val="17"/>
          <w:szCs w:val="17"/>
          <w:color w:val="auto"/>
        </w:rPr>
        <w:t>”);</w:t>
      </w:r>
    </w:p>
    <w:p>
      <w:pPr>
        <w:spacing w:after="0" w:line="178"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secure the Company’s obligations to Platinum under the terms of the Platinum Notes, the Company and Platinum entered into (i)</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Security Agreement (the “</w:t>
      </w:r>
      <w:r>
        <w:rPr>
          <w:rFonts w:ascii="Arial" w:cs="Arial" w:eastAsia="Arial" w:hAnsi="Arial"/>
          <w:sz w:val="17"/>
          <w:szCs w:val="17"/>
          <w:i w:val="1"/>
          <w:iCs w:val="1"/>
          <w:color w:val="auto"/>
        </w:rPr>
        <w:t>Security Agreement</w:t>
      </w:r>
      <w:r>
        <w:rPr>
          <w:rFonts w:ascii="Arial" w:cs="Arial" w:eastAsia="Arial" w:hAnsi="Arial"/>
          <w:sz w:val="17"/>
          <w:szCs w:val="17"/>
          <w:color w:val="auto"/>
        </w:rPr>
        <w:t>”), pursuant to which Platinum was granted a security interest in substantially all of the Company’s assets; and (ii) a Negative Covenant (the “</w:t>
      </w:r>
      <w:r>
        <w:rPr>
          <w:rFonts w:ascii="Arial" w:cs="Arial" w:eastAsia="Arial" w:hAnsi="Arial"/>
          <w:sz w:val="17"/>
          <w:szCs w:val="17"/>
          <w:i w:val="1"/>
          <w:iCs w:val="1"/>
          <w:color w:val="auto"/>
        </w:rPr>
        <w:t>Negative Covenant</w:t>
      </w:r>
      <w:r>
        <w:rPr>
          <w:rFonts w:ascii="Arial" w:cs="Arial" w:eastAsia="Arial" w:hAnsi="Arial"/>
          <w:sz w:val="17"/>
          <w:szCs w:val="17"/>
          <w:color w:val="auto"/>
        </w:rPr>
        <w:t>”), prohibiting VistaGen Therapeutics, Inc., a California corporation and wholly owned subsidiary of the Company (“</w:t>
      </w:r>
      <w:r>
        <w:rPr>
          <w:rFonts w:ascii="Arial" w:cs="Arial" w:eastAsia="Arial" w:hAnsi="Arial"/>
          <w:sz w:val="17"/>
          <w:szCs w:val="17"/>
          <w:i w:val="1"/>
          <w:iCs w:val="1"/>
          <w:color w:val="auto"/>
        </w:rPr>
        <w:t>VistaGen California</w:t>
      </w:r>
      <w:r>
        <w:rPr>
          <w:rFonts w:ascii="Arial" w:cs="Arial" w:eastAsia="Arial" w:hAnsi="Arial"/>
          <w:sz w:val="17"/>
          <w:szCs w:val="17"/>
          <w:color w:val="auto"/>
        </w:rPr>
        <w:t>”), and Artemis Neuroscience, Inc., a Maryland corporation and wholly owned subsidiary of VistaGen California (“</w:t>
      </w:r>
      <w:r>
        <w:rPr>
          <w:rFonts w:ascii="Arial" w:cs="Arial" w:eastAsia="Arial" w:hAnsi="Arial"/>
          <w:sz w:val="17"/>
          <w:szCs w:val="17"/>
          <w:i w:val="1"/>
          <w:iCs w:val="1"/>
          <w:color w:val="auto"/>
        </w:rPr>
        <w:t>Artemis</w:t>
      </w:r>
      <w:r>
        <w:rPr>
          <w:rFonts w:ascii="Arial" w:cs="Arial" w:eastAsia="Arial" w:hAnsi="Arial"/>
          <w:sz w:val="17"/>
          <w:szCs w:val="17"/>
          <w:color w:val="auto"/>
        </w:rPr>
        <w:t>) (together, the “</w:t>
      </w:r>
      <w:r>
        <w:rPr>
          <w:rFonts w:ascii="Arial" w:cs="Arial" w:eastAsia="Arial" w:hAnsi="Arial"/>
          <w:sz w:val="17"/>
          <w:szCs w:val="17"/>
          <w:i w:val="1"/>
          <w:iCs w:val="1"/>
          <w:color w:val="auto"/>
        </w:rPr>
        <w:t>Subsidiaries</w:t>
      </w:r>
      <w:r>
        <w:rPr>
          <w:rFonts w:ascii="Arial" w:cs="Arial" w:eastAsia="Arial" w:hAnsi="Arial"/>
          <w:sz w:val="17"/>
          <w:szCs w:val="17"/>
          <w:color w:val="auto"/>
        </w:rPr>
        <w:t>”), from incurring, among other things, certain kinds of liens or indebtedness, and from agreeing to any merger or other organizational change;</w:t>
      </w:r>
    </w:p>
    <w:p>
      <w:pPr>
        <w:spacing w:after="0" w:line="201"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addition, the Company, the Subsidiaries and Platinum entered into the Intellectual Property and Stock Pledge Agreement (the “</w:t>
      </w:r>
      <w:r>
        <w:rPr>
          <w:rFonts w:ascii="Arial" w:cs="Arial" w:eastAsia="Arial" w:hAnsi="Arial"/>
          <w:sz w:val="17"/>
          <w:szCs w:val="17"/>
          <w:i w:val="1"/>
          <w:iCs w:val="1"/>
          <w:color w:val="auto"/>
        </w:rPr>
        <w:t>IP Security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pursuant to which Platinum was granted a security interest in (i) all intellectual property of VistaGen California, and (ii) all of the capital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equity interests of VistaGen California in Artemis;</w:t>
      </w:r>
    </w:p>
    <w:p>
      <w:pPr>
        <w:spacing w:after="0" w:line="192"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has also issued to Platinum certain Exchange Warrants, Investment Warrants and Additional Warrants, as each is defined in that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Note Exchange and Purchase Agreement, dated October 11, 2012, as amended (together, the “</w:t>
      </w:r>
      <w:r>
        <w:rPr>
          <w:rFonts w:ascii="Arial" w:cs="Arial" w:eastAsia="Arial" w:hAnsi="Arial"/>
          <w:sz w:val="17"/>
          <w:szCs w:val="17"/>
          <w:i w:val="1"/>
          <w:iCs w:val="1"/>
          <w:color w:val="auto"/>
        </w:rPr>
        <w:t>Warrants</w:t>
      </w:r>
      <w:r>
        <w:rPr>
          <w:rFonts w:ascii="Arial" w:cs="Arial" w:eastAsia="Arial" w:hAnsi="Arial"/>
          <w:sz w:val="17"/>
          <w:szCs w:val="17"/>
          <w:color w:val="auto"/>
        </w:rPr>
        <w:t xml:space="preserve">”), and issued on the dates and in the share amounts set forth on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192"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to provide for its working capital needs, the Company issued to certain investors, including Platinum (“</w:t>
      </w:r>
      <w:r>
        <w:rPr>
          <w:rFonts w:ascii="Arial" w:cs="Arial" w:eastAsia="Arial" w:hAnsi="Arial"/>
          <w:sz w:val="17"/>
          <w:szCs w:val="17"/>
          <w:i w:val="1"/>
          <w:iCs w:val="1"/>
          <w:color w:val="auto"/>
        </w:rPr>
        <w:t>Note Investors</w:t>
      </w:r>
      <w:r>
        <w:rPr>
          <w:rFonts w:ascii="Arial" w:cs="Arial" w:eastAsia="Arial" w:hAnsi="Arial"/>
          <w:sz w:val="17"/>
          <w:szCs w:val="17"/>
          <w:color w:val="auto"/>
        </w:rPr>
        <w:t>”) convertible</w:t>
      </w:r>
      <w:r>
        <w:rPr>
          <w:rFonts w:ascii="Arial" w:cs="Arial" w:eastAsia="Arial" w:hAnsi="Arial"/>
          <w:sz w:val="17"/>
          <w:szCs w:val="17"/>
          <w:b w:val="1"/>
          <w:bCs w:val="1"/>
          <w:color w:val="auto"/>
        </w:rPr>
        <w:t xml:space="preserve"> </w:t>
      </w:r>
      <w:r>
        <w:rPr>
          <w:rFonts w:ascii="Arial" w:cs="Arial" w:eastAsia="Arial" w:hAnsi="Arial"/>
          <w:sz w:val="17"/>
          <w:szCs w:val="17"/>
          <w:color w:val="auto"/>
        </w:rPr>
        <w:t>promissory notes in the aggregate amount of $4,614,756.56, including aggregate accrued interest through May 8, 2015 of $317,873.23 (“</w:t>
      </w:r>
      <w:r>
        <w:rPr>
          <w:rFonts w:ascii="Arial" w:cs="Arial" w:eastAsia="Arial" w:hAnsi="Arial"/>
          <w:sz w:val="17"/>
          <w:szCs w:val="17"/>
          <w:i w:val="1"/>
          <w:iCs w:val="1"/>
          <w:color w:val="auto"/>
        </w:rPr>
        <w:t>Investor Notes</w:t>
      </w:r>
      <w:r>
        <w:rPr>
          <w:rFonts w:ascii="Arial" w:cs="Arial" w:eastAsia="Arial" w:hAnsi="Arial"/>
          <w:sz w:val="17"/>
          <w:szCs w:val="17"/>
          <w:color w:val="auto"/>
        </w:rPr>
        <w:t>”), which Investor Notes are due and payable between March 31, 2015 and May 15, 2015, and convertible into the Private Financing under the terms and conditions set forth in the Investor Notes; and</w:t>
      </w:r>
    </w:p>
    <w:p>
      <w:pPr>
        <w:spacing w:after="0" w:line="198"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proposes to sell in a private financing contemplating aggregate gross proceeds, including cancellation of indebtedness,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$18.0 million (the “</w:t>
      </w:r>
      <w:r>
        <w:rPr>
          <w:rFonts w:ascii="Arial" w:cs="Arial" w:eastAsia="Arial" w:hAnsi="Arial"/>
          <w:sz w:val="16"/>
          <w:szCs w:val="16"/>
          <w:i w:val="1"/>
          <w:iCs w:val="1"/>
          <w:color w:val="auto"/>
        </w:rPr>
        <w:t>Private Financing</w:t>
      </w:r>
      <w:r>
        <w:rPr>
          <w:rFonts w:ascii="Arial" w:cs="Arial" w:eastAsia="Arial" w:hAnsi="Arial"/>
          <w:sz w:val="16"/>
          <w:szCs w:val="16"/>
          <w:color w:val="auto"/>
        </w:rPr>
        <w:t>”), units consisting of Series B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warrants to purchase shares of the Company’s common stock, par value $0.001 per share (“</w:t>
      </w:r>
      <w:r>
        <w:rPr>
          <w:rFonts w:ascii="Arial" w:cs="Arial" w:eastAsia="Arial" w:hAnsi="Arial"/>
          <w:sz w:val="16"/>
          <w:szCs w:val="16"/>
          <w:i w:val="1"/>
          <w:iCs w:val="1"/>
          <w:color w:val="auto"/>
        </w:rPr>
        <w:t>Common Stock Warrants</w:t>
      </w:r>
      <w:r>
        <w:rPr>
          <w:rFonts w:ascii="Arial" w:cs="Arial" w:eastAsia="Arial" w:hAnsi="Arial"/>
          <w:sz w:val="16"/>
          <w:szCs w:val="16"/>
          <w:color w:val="auto"/>
        </w:rPr>
        <w:t>” and together with the Series B Preferred, “</w:t>
      </w:r>
      <w:r>
        <w:rPr>
          <w:rFonts w:ascii="Arial" w:cs="Arial" w:eastAsia="Arial" w:hAnsi="Arial"/>
          <w:sz w:val="16"/>
          <w:szCs w:val="16"/>
          <w:i w:val="1"/>
          <w:iCs w:val="1"/>
          <w:color w:val="auto"/>
        </w:rPr>
        <w:t>Private Financing Securities</w:t>
      </w:r>
      <w:r>
        <w:rPr>
          <w:rFonts w:ascii="Arial" w:cs="Arial" w:eastAsia="Arial" w:hAnsi="Arial"/>
          <w:sz w:val="16"/>
          <w:szCs w:val="16"/>
          <w:color w:val="auto"/>
        </w:rPr>
        <w:t>”) in connection with Platinum’s agreement as set forth herein to (i) convert the principal balance and all accrued but unpaid interest due and owing Platinum under the terms of the Platinum Notes (the “</w:t>
      </w:r>
      <w:r>
        <w:rPr>
          <w:rFonts w:ascii="Arial" w:cs="Arial" w:eastAsia="Arial" w:hAnsi="Arial"/>
          <w:sz w:val="16"/>
          <w:szCs w:val="16"/>
          <w:i w:val="1"/>
          <w:iCs w:val="1"/>
          <w:color w:val="auto"/>
        </w:rPr>
        <w:t>Outstanding Balance</w:t>
      </w:r>
      <w:r>
        <w:rPr>
          <w:rFonts w:ascii="Arial" w:cs="Arial" w:eastAsia="Arial" w:hAnsi="Arial"/>
          <w:sz w:val="16"/>
          <w:szCs w:val="16"/>
          <w:color w:val="auto"/>
        </w:rPr>
        <w:t>”) into Series B Preferred; (ii) terminate the Security Agreement, Negative Covenant and IP Security Agreement (together, the “</w:t>
      </w:r>
      <w:r>
        <w:rPr>
          <w:rFonts w:ascii="Arial" w:cs="Arial" w:eastAsia="Arial" w:hAnsi="Arial"/>
          <w:sz w:val="16"/>
          <w:szCs w:val="16"/>
          <w:i w:val="1"/>
          <w:iCs w:val="1"/>
          <w:color w:val="auto"/>
        </w:rPr>
        <w:t>Security Agreements</w:t>
      </w:r>
      <w:r>
        <w:rPr>
          <w:rFonts w:ascii="Arial" w:cs="Arial" w:eastAsia="Arial" w:hAnsi="Arial"/>
          <w:sz w:val="16"/>
          <w:szCs w:val="16"/>
          <w:color w:val="auto"/>
        </w:rPr>
        <w:t>”); (iii) purchase the Investor Notes from the Investors electing to sell, transfer and assign such Investor Notes to Platinum, for an aggregate amount, including principal and all accrued interest due thereunder, not to exceed $1.5 million; (v) purchase $1.0 million of the Private Financing Securities, (v) amend the Warrants to (y) fix the exercise price thereof and the number of shares exercisable and issuable thereunder, and (z) eliminate the cashless exercise option; (vi) exchange up to 30,000 shares of Common Stock currently beneficially owned or controlled by Platinum (the “</w:t>
      </w:r>
      <w:r>
        <w:rPr>
          <w:rFonts w:ascii="Arial" w:cs="Arial" w:eastAsia="Arial" w:hAnsi="Arial"/>
          <w:sz w:val="16"/>
          <w:szCs w:val="16"/>
          <w:i w:val="1"/>
          <w:iCs w:val="1"/>
          <w:color w:val="auto"/>
        </w:rPr>
        <w:t>Platinum Common Shares</w:t>
      </w:r>
      <w:r>
        <w:rPr>
          <w:rFonts w:ascii="Arial" w:cs="Arial" w:eastAsia="Arial" w:hAnsi="Arial"/>
          <w:sz w:val="16"/>
          <w:szCs w:val="16"/>
          <w:color w:val="auto"/>
        </w:rPr>
        <w:t>”) for an equal number of shares of Series B Preferred; and (vii) lock-up the sale of any Platinum Common Shares.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agreements set forth herein, the parties hereto agree as follows:</w:t>
      </w:r>
    </w:p>
    <w:p>
      <w:pPr>
        <w:spacing w:after="0" w:line="224" w:lineRule="exact"/>
        <w:rPr>
          <w:sz w:val="20"/>
          <w:szCs w:val="20"/>
          <w:color w:val="auto"/>
        </w:rPr>
      </w:pPr>
    </w:p>
    <w:p>
      <w:pPr>
        <w:jc w:val="both"/>
        <w:ind w:firstLine="623"/>
        <w:spacing w:after="0" w:line="262" w:lineRule="auto"/>
        <w:tabs>
          <w:tab w:leader="none" w:pos="142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Platinum Note Conversion</w:t>
      </w:r>
      <w:r>
        <w:rPr>
          <w:rFonts w:ascii="Arial" w:cs="Arial" w:eastAsia="Arial" w:hAnsi="Arial"/>
          <w:sz w:val="17"/>
          <w:szCs w:val="17"/>
          <w:color w:val="auto"/>
        </w:rPr>
        <w:t>. Upon receipt of confirmation from the Nevada Secretary of State of the filing of the Company’s Certificate of Determination or Rights and Preferences of the Series B Preferred (the “</w:t>
      </w:r>
      <w:r>
        <w:rPr>
          <w:rFonts w:ascii="Arial" w:cs="Arial" w:eastAsia="Arial" w:hAnsi="Arial"/>
          <w:sz w:val="17"/>
          <w:szCs w:val="17"/>
          <w:i w:val="1"/>
          <w:iCs w:val="1"/>
          <w:color w:val="auto"/>
        </w:rPr>
        <w:t>Closing Date</w:t>
      </w:r>
      <w:r>
        <w:rPr>
          <w:rFonts w:ascii="Arial" w:cs="Arial" w:eastAsia="Arial" w:hAnsi="Arial"/>
          <w:sz w:val="17"/>
          <w:szCs w:val="17"/>
          <w:color w:val="auto"/>
        </w:rPr>
        <w:t>”), the Outstanding Balance due Platinum under the terms of the Notes shall convert into 641,335 shares of Series B Preferred of the Company issued in connection with the Private Financing, in an amount equal to the Outstanding Balance on the Closing Date (the “</w:t>
      </w:r>
      <w:r>
        <w:rPr>
          <w:rFonts w:ascii="Arial" w:cs="Arial" w:eastAsia="Arial" w:hAnsi="Arial"/>
          <w:sz w:val="17"/>
          <w:szCs w:val="17"/>
          <w:i w:val="1"/>
          <w:iCs w:val="1"/>
          <w:color w:val="auto"/>
        </w:rPr>
        <w:t>Conversion Securities</w:t>
      </w:r>
      <w:r>
        <w:rPr>
          <w:rFonts w:ascii="Arial" w:cs="Arial" w:eastAsia="Arial" w:hAnsi="Arial"/>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ind w:firstLine="623"/>
        <w:spacing w:after="0" w:line="262" w:lineRule="auto"/>
        <w:tabs>
          <w:tab w:leader="none" w:pos="139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Manner of Conversion/Termination of Platinum Notes</w:t>
      </w:r>
      <w:r>
        <w:rPr>
          <w:rFonts w:ascii="Arial" w:cs="Arial" w:eastAsia="Arial" w:hAnsi="Arial"/>
          <w:sz w:val="17"/>
          <w:szCs w:val="17"/>
          <w:color w:val="auto"/>
        </w:rPr>
        <w:t>. On the Closing Date, the Company shall deliver to the Company’s transfer agent an irrevocable notice to issue and deliver to Platinum a certificate or certificates or other document evidencing the Conversion Securities (the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Instructions</w:t>
      </w:r>
      <w:r>
        <w:rPr>
          <w:rFonts w:ascii="Arial" w:cs="Arial" w:eastAsia="Arial" w:hAnsi="Arial"/>
          <w:sz w:val="17"/>
          <w:szCs w:val="17"/>
          <w:color w:val="auto"/>
        </w:rPr>
        <w:t>”). Upon receipt by Platinum of the Conversion Instructions and the Conversion Securities, the Platinum Notes shall be deemed paid in full,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interest thereon, and all rights of Platinum under the Platinum Notes shall terminate and be of no further force and effect.</w:t>
      </w:r>
    </w:p>
    <w:p>
      <w:pPr>
        <w:spacing w:after="0" w:line="204" w:lineRule="exact"/>
        <w:rPr>
          <w:rFonts w:ascii="Arial" w:cs="Arial" w:eastAsia="Arial" w:hAnsi="Arial"/>
          <w:sz w:val="17"/>
          <w:szCs w:val="17"/>
          <w:color w:val="auto"/>
        </w:rPr>
      </w:pPr>
    </w:p>
    <w:p>
      <w:pPr>
        <w:jc w:val="both"/>
        <w:ind w:firstLine="623"/>
        <w:spacing w:after="0" w:line="283" w:lineRule="auto"/>
        <w:tabs>
          <w:tab w:leader="none" w:pos="125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Termination of the Security Agreements</w:t>
      </w:r>
      <w:r>
        <w:rPr>
          <w:rFonts w:ascii="Arial" w:cs="Arial" w:eastAsia="Arial" w:hAnsi="Arial"/>
          <w:sz w:val="16"/>
          <w:szCs w:val="16"/>
          <w:color w:val="auto"/>
        </w:rPr>
        <w:t>. On the Closing Date, the Security Agreements shall terminate and be of no further force and effect, and Platinum shall execute any release, termination statement, or other document reasonably requested by the Company necessary to release Platinum’s security or other interest in and to any and all assets of the Company and the Subsidiaries granted or issued to Platinum under the terms of the Security Agreements, including by way of example and not by limitation, Platinum’s security interest in and to any and all intellectual property of VistaGen California.</w:t>
      </w:r>
    </w:p>
    <w:p>
      <w:pPr>
        <w:spacing w:after="0" w:line="190" w:lineRule="exact"/>
        <w:rPr>
          <w:rFonts w:ascii="Arial" w:cs="Arial" w:eastAsia="Arial" w:hAnsi="Arial"/>
          <w:sz w:val="16"/>
          <w:szCs w:val="16"/>
          <w:color w:val="auto"/>
        </w:rPr>
      </w:pPr>
    </w:p>
    <w:p>
      <w:pPr>
        <w:ind w:left="1140" w:hanging="517"/>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Purchase of Investor Notes and Private Financing Securities</w:t>
      </w:r>
      <w:r>
        <w:rPr>
          <w:rFonts w:ascii="Arial" w:cs="Arial" w:eastAsia="Arial" w:hAnsi="Arial"/>
          <w:sz w:val="17"/>
          <w:szCs w:val="17"/>
          <w:color w:val="auto"/>
        </w:rPr>
        <w:t>.</w:t>
      </w:r>
    </w:p>
    <w:p>
      <w:pPr>
        <w:spacing w:after="0" w:line="24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4.1 During the period commencing on the Closing Date and continuing for fifteen (15) days (the “</w:t>
      </w:r>
      <w:r>
        <w:rPr>
          <w:rFonts w:ascii="Arial" w:cs="Arial" w:eastAsia="Arial" w:hAnsi="Arial"/>
          <w:sz w:val="17"/>
          <w:szCs w:val="17"/>
          <w:i w:val="1"/>
          <w:iCs w:val="1"/>
          <w:color w:val="auto"/>
        </w:rPr>
        <w:t>Transfer Period</w:t>
      </w:r>
      <w:r>
        <w:rPr>
          <w:rFonts w:ascii="Arial" w:cs="Arial" w:eastAsia="Arial" w:hAnsi="Arial"/>
          <w:sz w:val="17"/>
          <w:szCs w:val="17"/>
          <w:color w:val="auto"/>
        </w:rPr>
        <w:t xml:space="preserve">”), Platinum shall purchase directly from Note Investors who have elected to sell, transfer and assign to Platinum the Investor Notes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during the Transfer Period, which Investor Notes in aggregate amount equal approximately $1,487,913.73, which amount includes principal and accrued interest thereon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Assignments</w:t>
      </w:r>
      <w:r>
        <w:rPr>
          <w:rFonts w:ascii="Arial" w:cs="Arial" w:eastAsia="Arial" w:hAnsi="Arial"/>
          <w:sz w:val="17"/>
          <w:szCs w:val="17"/>
          <w:color w:val="auto"/>
        </w:rPr>
        <w:t>”). Upon the consummation of such Note Assignments, on the Closing Date, Platinum as the holder of all of the Investor Notes agrees to convert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amount of the Investor Notes purchased by Platinum from the Company and from the Note Investors into the securities issued in connection with the Private Financing under the terms set forth in the Investor Notes.</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4.2 On the Closing Date, Platinum shall execute and deliver a subscription agreement providing for Platinum’s purchase of $1.0 million of Private Financing Securities. Prior to the later of (i) thirty (30) days after the Closing Date, or (ii) as requested by the Company, Platinum shall deliver to the Company by wire transfer or other immediately available funds $1.0 million pursuant to such subscription agreement.</w:t>
      </w:r>
    </w:p>
    <w:p>
      <w:pPr>
        <w:spacing w:after="0" w:line="200" w:lineRule="exact"/>
        <w:rPr>
          <w:sz w:val="20"/>
          <w:szCs w:val="20"/>
          <w:color w:val="auto"/>
        </w:rPr>
      </w:pPr>
    </w:p>
    <w:p>
      <w:pPr>
        <w:spacing w:after="0" w:line="234" w:lineRule="exact"/>
        <w:rPr>
          <w:sz w:val="20"/>
          <w:szCs w:val="20"/>
          <w:color w:val="auto"/>
        </w:rPr>
      </w:pPr>
    </w:p>
    <w:p>
      <w:pPr>
        <w:jc w:val="both"/>
        <w:ind w:firstLine="623"/>
        <w:spacing w:after="0" w:line="275" w:lineRule="auto"/>
        <w:tabs>
          <w:tab w:leader="none" w:pos="113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Amendment to Warrants</w:t>
      </w:r>
      <w:r>
        <w:rPr>
          <w:rFonts w:ascii="Arial" w:cs="Arial" w:eastAsia="Arial" w:hAnsi="Arial"/>
          <w:sz w:val="16"/>
          <w:szCs w:val="16"/>
          <w:color w:val="auto"/>
        </w:rPr>
        <w:t xml:space="preserve">. On the Closing Date, (i) the exercise price of the Warrants shall be fixed at $7.00 per share, and no other adjustments shall be made to the Warrants, including any adjustments to the number of shares exercisable or issuable thereunder, in the event the Company thereafter issues Common Stock at a price less than $7.00 per share, or securities with an exercise or conversion price less than $7.00 per share; </w:t>
      </w:r>
      <w:r>
        <w:rPr>
          <w:rFonts w:ascii="Arial" w:cs="Arial" w:eastAsia="Arial" w:hAnsi="Arial"/>
          <w:sz w:val="16"/>
          <w:szCs w:val="16"/>
          <w:i w:val="1"/>
          <w:iCs w:val="1"/>
          <w:color w:val="auto"/>
        </w:rPr>
        <w:t>provided</w:t>
      </w:r>
      <w:r>
        <w:rPr>
          <w:rFonts w:ascii="Arial" w:cs="Arial" w:eastAsia="Arial" w:hAnsi="Arial"/>
          <w:sz w:val="16"/>
          <w:szCs w:val="16"/>
          <w:color w:val="auto"/>
        </w:rPr>
        <w:t>, that typical adjustments for splits, combinations and dividends shall apply, it being the intent hereof that Sections 4.1, 4.2 and 4.3 of the Warrants shall remain in effect; (ii) subject to the foregoing, any further terms set forth in the Warrants permitting any adjustments to the exercise price thereof or the number of shares issuable upon exercise of such Warrants shall be terminated and deleted; and (iii) any provision set forth in the Warrants permitting the cashless exercise of the Warrants shall be terminated and eliminated, so that all Warrants shall be solely exercised for cash. To the extent of any conflicts between the terms and conditions set forth in the Warrants, and the terms and conditions set forth herein in this Section 5, the terms herein shall control.</w:t>
      </w:r>
    </w:p>
    <w:p>
      <w:pPr>
        <w:spacing w:after="0" w:line="197" w:lineRule="exact"/>
        <w:rPr>
          <w:rFonts w:ascii="Arial" w:cs="Arial" w:eastAsia="Arial" w:hAnsi="Arial"/>
          <w:sz w:val="16"/>
          <w:szCs w:val="16"/>
          <w:color w:val="auto"/>
        </w:rPr>
      </w:pPr>
    </w:p>
    <w:p>
      <w:pPr>
        <w:ind w:firstLine="623"/>
        <w:spacing w:after="0" w:line="312" w:lineRule="auto"/>
        <w:tabs>
          <w:tab w:leader="none" w:pos="12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xml:space="preserve"> For the period commencing upon the Closing Date and continuing until the Registration Statement (as defined in the Securities Purchase Agreement dated May 8, 2015) is deemed effective, Platinum shall not sell any Platinum Common Stock for less than $15.00 per share.</w:t>
      </w:r>
    </w:p>
    <w:p>
      <w:pPr>
        <w:spacing w:after="0" w:line="166" w:lineRule="exact"/>
        <w:rPr>
          <w:rFonts w:ascii="Arial" w:cs="Arial" w:eastAsia="Arial" w:hAnsi="Arial"/>
          <w:sz w:val="16"/>
          <w:szCs w:val="16"/>
          <w:color w:val="auto"/>
        </w:rPr>
      </w:pPr>
    </w:p>
    <w:p>
      <w:pPr>
        <w:jc w:val="both"/>
        <w:ind w:firstLine="623"/>
        <w:spacing w:after="0" w:line="262" w:lineRule="auto"/>
        <w:tabs>
          <w:tab w:leader="none" w:pos="127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For and in consideration for the agreements of Platinum as set forth in this Agreement, effective on the Closing Date, the Company shall issue to Platinum (i) 400,000 shares of Series B Preferred (“</w:t>
      </w:r>
      <w:r>
        <w:rPr>
          <w:rFonts w:ascii="Arial" w:cs="Arial" w:eastAsia="Arial" w:hAnsi="Arial"/>
          <w:sz w:val="17"/>
          <w:szCs w:val="17"/>
          <w:i w:val="1"/>
          <w:iCs w:val="1"/>
          <w:color w:val="auto"/>
        </w:rPr>
        <w:t>New Shares</w:t>
      </w:r>
      <w:r>
        <w:rPr>
          <w:rFonts w:ascii="Arial" w:cs="Arial" w:eastAsia="Arial" w:hAnsi="Arial"/>
          <w:sz w:val="17"/>
          <w:szCs w:val="17"/>
          <w:color w:val="auto"/>
        </w:rPr>
        <w:t>”), and (ii) a warrant to purchase 1.2 million shares of Common Stock at an exercise price equal to $7.00 per share, which price shall equal the fixed exercise price of the warrants issued in connection with the Private Financing, and containing such additional terms and conditions as are set forth therein (“</w:t>
      </w:r>
      <w:r>
        <w:rPr>
          <w:rFonts w:ascii="Arial" w:cs="Arial" w:eastAsia="Arial" w:hAnsi="Arial"/>
          <w:sz w:val="17"/>
          <w:szCs w:val="17"/>
          <w:i w:val="1"/>
          <w:iCs w:val="1"/>
          <w:color w:val="auto"/>
        </w:rPr>
        <w:t>New Warrants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firstLine="623"/>
        <w:spacing w:after="0" w:line="287" w:lineRule="auto"/>
        <w:tabs>
          <w:tab w:leader="none" w:pos="123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 of Platinum</w:t>
      </w:r>
      <w:r>
        <w:rPr>
          <w:rFonts w:ascii="Arial" w:cs="Arial" w:eastAsia="Arial" w:hAnsi="Arial"/>
          <w:sz w:val="17"/>
          <w:szCs w:val="17"/>
          <w:b w:val="1"/>
          <w:bCs w:val="1"/>
          <w:color w:val="auto"/>
        </w:rPr>
        <w:t>.</w:t>
      </w:r>
      <w:r>
        <w:rPr>
          <w:rFonts w:ascii="Arial" w:cs="Arial" w:eastAsia="Arial" w:hAnsi="Arial"/>
          <w:sz w:val="17"/>
          <w:szCs w:val="17"/>
          <w:color w:val="auto"/>
        </w:rPr>
        <w:t xml:space="preserve"> Platinum hereby makes the following representations and warranties to the Company, and covenants for the benefit of the Company:</w:t>
      </w:r>
    </w:p>
    <w:p>
      <w:pPr>
        <w:spacing w:after="0" w:line="183" w:lineRule="exact"/>
        <w:rPr>
          <w:rFonts w:ascii="Arial" w:cs="Arial" w:eastAsia="Arial" w:hAnsi="Arial"/>
          <w:sz w:val="17"/>
          <w:szCs w:val="17"/>
          <w:color w:val="auto"/>
        </w:rPr>
      </w:pPr>
    </w:p>
    <w:p>
      <w:pPr>
        <w:ind w:left="1900" w:hanging="658"/>
        <w:spacing w:after="0"/>
        <w:tabs>
          <w:tab w:leader="none" w:pos="1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Platinum is a limited liability company validly existing and in good standing under the laws of the jurisdiction of its organization.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4" w:name="page25"/>
    <w:bookmarkEnd w:id="24"/>
    <w:p>
      <w:pPr>
        <w:jc w:val="both"/>
        <w:ind w:firstLine="1242"/>
        <w:spacing w:after="0" w:line="283" w:lineRule="auto"/>
        <w:tabs>
          <w:tab w:leader="none" w:pos="2165"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p>
      <w:pPr>
        <w:spacing w:after="0" w:line="190" w:lineRule="exact"/>
        <w:rPr>
          <w:rFonts w:ascii="Arial" w:cs="Arial" w:eastAsia="Arial" w:hAnsi="Arial"/>
          <w:sz w:val="16"/>
          <w:szCs w:val="16"/>
          <w:color w:val="auto"/>
        </w:rPr>
      </w:pPr>
    </w:p>
    <w:p>
      <w:pPr>
        <w:jc w:val="both"/>
        <w:ind w:firstLine="1242"/>
        <w:spacing w:after="0" w:line="262" w:lineRule="auto"/>
        <w:tabs>
          <w:tab w:leader="none" w:pos="1983" w:val="left"/>
        </w:tabs>
        <w:numPr>
          <w:ilvl w:val="1"/>
          <w:numId w:val="24"/>
        </w:numPr>
        <w:rPr>
          <w:rFonts w:ascii="Arial" w:cs="Arial" w:eastAsia="Arial" w:hAnsi="Arial"/>
          <w:sz w:val="17"/>
          <w:szCs w:val="17"/>
          <w:color w:val="auto"/>
        </w:rPr>
      </w:pPr>
      <w:r>
        <w:rPr>
          <w:rFonts w:ascii="Arial" w:cs="Arial" w:eastAsia="Arial" w:hAnsi="Arial"/>
          <w:sz w:val="17"/>
          <w:szCs w:val="17"/>
          <w:color w:val="auto"/>
        </w:rPr>
        <w:t>Platinum understands that the Conversion Securities, New Shares and New Warrants (together, “</w:t>
      </w:r>
      <w:r>
        <w:rPr>
          <w:rFonts w:ascii="Arial" w:cs="Arial" w:eastAsia="Arial" w:hAnsi="Arial"/>
          <w:sz w:val="17"/>
          <w:szCs w:val="17"/>
          <w:i w:val="1"/>
          <w:iCs w:val="1"/>
          <w:color w:val="auto"/>
        </w:rPr>
        <w:t>New Securities</w:t>
      </w:r>
      <w:r>
        <w:rPr>
          <w:rFonts w:ascii="Arial" w:cs="Arial" w:eastAsia="Arial" w:hAnsi="Arial"/>
          <w:sz w:val="17"/>
          <w:szCs w:val="17"/>
          <w:color w:val="auto"/>
        </w:rPr>
        <w:t>”)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qualifying for exemptions from registration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and applicable state securities laws.</w:t>
      </w:r>
    </w:p>
    <w:p>
      <w:pPr>
        <w:spacing w:after="0" w:line="204" w:lineRule="exact"/>
        <w:rPr>
          <w:rFonts w:ascii="Arial" w:cs="Arial" w:eastAsia="Arial" w:hAnsi="Arial"/>
          <w:sz w:val="17"/>
          <w:szCs w:val="17"/>
          <w:color w:val="auto"/>
        </w:rPr>
      </w:pPr>
    </w:p>
    <w:p>
      <w:pPr>
        <w:ind w:left="1920" w:hanging="678"/>
        <w:spacing w:after="0"/>
        <w:tabs>
          <w:tab w:leader="none" w:pos="19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Platinum is an “accredited investor” as defined under Rule 501 of Regulation D promulgated under the Securities Act.</w:t>
      </w:r>
    </w:p>
    <w:p>
      <w:pPr>
        <w:spacing w:after="0" w:line="243" w:lineRule="exact"/>
        <w:rPr>
          <w:rFonts w:ascii="Arial" w:cs="Arial" w:eastAsia="Arial" w:hAnsi="Arial"/>
          <w:sz w:val="17"/>
          <w:szCs w:val="17"/>
          <w:color w:val="auto"/>
        </w:rPr>
      </w:pPr>
    </w:p>
    <w:p>
      <w:pPr>
        <w:jc w:val="both"/>
        <w:ind w:firstLine="1242"/>
        <w:spacing w:after="0" w:line="266" w:lineRule="auto"/>
        <w:tabs>
          <w:tab w:leader="none" w:pos="2002"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Platinum is and will be acquiring the New Securities for Platinum’s own account, for investment purposes, and not with a view to any resale or distribution in whole or in part, in violation of the Securities Act or any applicable securities laws;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Platinum does not covenant to hold the New Securities for any minimum period of time.</w:t>
      </w:r>
    </w:p>
    <w:p>
      <w:pPr>
        <w:spacing w:after="0" w:line="201" w:lineRule="exact"/>
        <w:rPr>
          <w:rFonts w:ascii="Arial" w:cs="Arial" w:eastAsia="Arial" w:hAnsi="Arial"/>
          <w:sz w:val="17"/>
          <w:szCs w:val="17"/>
          <w:color w:val="auto"/>
        </w:rPr>
      </w:pPr>
    </w:p>
    <w:p>
      <w:pPr>
        <w:jc w:val="both"/>
        <w:ind w:firstLine="1242"/>
        <w:spacing w:after="0" w:line="258" w:lineRule="auto"/>
        <w:tabs>
          <w:tab w:leader="none" w:pos="19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offer and sale of the New Securities is intended to be exempt from registration under the Securities Act, by virtue of Section 3(a)(9) and/or 4(2) thereof. Platinum understands that the New Securities are “restricted securities,” as that term is defined in the Securities Act and the rules thereunder, have not been registered under the Securities Act, and that none of the New Securities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New Securities may be sold or transferred only in compliance with such exemption and all applicable state and other securities laws).</w:t>
      </w:r>
    </w:p>
    <w:p>
      <w:pPr>
        <w:spacing w:after="0" w:line="210" w:lineRule="exact"/>
        <w:rPr>
          <w:rFonts w:ascii="Arial" w:cs="Arial" w:eastAsia="Arial" w:hAnsi="Arial"/>
          <w:sz w:val="17"/>
          <w:szCs w:val="17"/>
          <w:color w:val="auto"/>
        </w:rPr>
      </w:pPr>
    </w:p>
    <w:p>
      <w:pPr>
        <w:jc w:val="both"/>
        <w:ind w:firstLine="1242"/>
        <w:spacing w:after="0" w:line="280" w:lineRule="auto"/>
        <w:tabs>
          <w:tab w:leader="none" w:pos="1973" w:val="left"/>
        </w:tabs>
        <w:numPr>
          <w:ilvl w:val="1"/>
          <w:numId w:val="24"/>
        </w:numPr>
        <w:rPr>
          <w:rFonts w:ascii="Arial" w:cs="Arial" w:eastAsia="Arial" w:hAnsi="Arial"/>
          <w:sz w:val="16"/>
          <w:szCs w:val="16"/>
          <w:color w:val="auto"/>
        </w:rPr>
      </w:pPr>
      <w:r>
        <w:rPr>
          <w:rFonts w:ascii="Arial" w:cs="Arial" w:eastAsia="Arial" w:hAnsi="Arial"/>
          <w:sz w:val="16"/>
          <w:szCs w:val="16"/>
          <w:color w:val="auto"/>
        </w:rPr>
        <w:t>Platinum has not assigned, conveyed or otherwise transferred any interest in and to the Platinum Notes to any third party, and owns and holds, beneficially and of record, the entire right, title, and interest in and to the Notes free and clear of all rights and Encumbrances (as defined below). As used herein,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85" w:lineRule="exact"/>
        <w:rPr>
          <w:rFonts w:ascii="Arial" w:cs="Arial" w:eastAsia="Arial" w:hAnsi="Arial"/>
          <w:sz w:val="16"/>
          <w:szCs w:val="16"/>
          <w:color w:val="auto"/>
        </w:rPr>
      </w:pPr>
    </w:p>
    <w:p>
      <w:pPr>
        <w:ind w:firstLine="623"/>
        <w:spacing w:after="0" w:line="287" w:lineRule="auto"/>
        <w:tabs>
          <w:tab w:leader="none" w:pos="127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represents and warrants to Platinum, and covenants for the benefit of Platinum, as follows:</w:t>
      </w:r>
    </w:p>
    <w:p>
      <w:pPr>
        <w:spacing w:after="0" w:line="183" w:lineRule="exact"/>
        <w:rPr>
          <w:rFonts w:ascii="Arial" w:cs="Arial" w:eastAsia="Arial" w:hAnsi="Arial"/>
          <w:sz w:val="17"/>
          <w:szCs w:val="17"/>
          <w:color w:val="auto"/>
        </w:rPr>
      </w:pPr>
    </w:p>
    <w:p>
      <w:pPr>
        <w:jc w:val="both"/>
        <w:ind w:firstLine="1242"/>
        <w:spacing w:after="0" w:line="257" w:lineRule="auto"/>
        <w:tabs>
          <w:tab w:leader="none" w:pos="201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Arial" w:cs="Arial" w:eastAsia="Arial" w:hAnsi="Arial"/>
          <w:sz w:val="17"/>
          <w:szCs w:val="17"/>
          <w:i w:val="1"/>
          <w:iCs w:val="1"/>
          <w:color w:val="auto"/>
        </w:rPr>
        <w:t>Material Adverse Effect</w:t>
      </w:r>
      <w:r>
        <w:rPr>
          <w:rFonts w:ascii="Arial" w:cs="Arial" w:eastAsia="Arial" w:hAnsi="Arial"/>
          <w:sz w:val="17"/>
          <w:szCs w:val="17"/>
          <w:color w:val="auto"/>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spacing w:after="0" w:line="212" w:lineRule="exact"/>
        <w:rPr>
          <w:rFonts w:ascii="Arial" w:cs="Arial" w:eastAsia="Arial" w:hAnsi="Arial"/>
          <w:sz w:val="17"/>
          <w:szCs w:val="17"/>
          <w:color w:val="auto"/>
        </w:rPr>
      </w:pPr>
    </w:p>
    <w:p>
      <w:pPr>
        <w:jc w:val="both"/>
        <w:ind w:firstLine="1242"/>
        <w:spacing w:after="0" w:line="266" w:lineRule="auto"/>
        <w:tabs>
          <w:tab w:leader="none" w:pos="18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New Securities have been duly authorized by all necessary corporate action and, when paid for or issued in accordance with the terms hereof, the New Securities shall be validly issued and outstanding, fully paid and nonassessable, free and clear of all liens, encumbrances and rights of refusal of any kind.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5" w:name="page26"/>
    <w:bookmarkEnd w:id="25"/>
    <w:p>
      <w:pPr>
        <w:jc w:val="both"/>
        <w:ind w:firstLine="1242"/>
        <w:spacing w:after="0" w:line="283" w:lineRule="auto"/>
        <w:tabs>
          <w:tab w:leader="none" w:pos="189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spacing w:after="0" w:line="190" w:lineRule="exact"/>
        <w:rPr>
          <w:rFonts w:ascii="Arial" w:cs="Arial" w:eastAsia="Arial" w:hAnsi="Arial"/>
          <w:sz w:val="16"/>
          <w:szCs w:val="16"/>
          <w:color w:val="auto"/>
        </w:rPr>
      </w:pPr>
    </w:p>
    <w:p>
      <w:pPr>
        <w:jc w:val="both"/>
        <w:ind w:firstLine="1242"/>
        <w:spacing w:after="0" w:line="274" w:lineRule="auto"/>
        <w:tabs>
          <w:tab w:leader="none" w:pos="21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execution and delivery of the Agreement and the consummation of the transactions contemplated by this Agreement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p>
      <w:pPr>
        <w:spacing w:after="0" w:line="200" w:lineRule="exact"/>
        <w:rPr>
          <w:rFonts w:ascii="Arial" w:cs="Arial" w:eastAsia="Arial" w:hAnsi="Arial"/>
          <w:sz w:val="16"/>
          <w:szCs w:val="16"/>
          <w:color w:val="auto"/>
        </w:rPr>
      </w:pPr>
    </w:p>
    <w:p>
      <w:pPr>
        <w:ind w:firstLine="1242"/>
        <w:spacing w:after="0" w:line="280" w:lineRule="auto"/>
        <w:tabs>
          <w:tab w:leader="none" w:pos="21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delivery and issuance of the New Securities in accordance with the terms of and in reliance on the accuracy of Platinum’s representations and warranties set forth in this Agreement will be exempt from the registration requirements of the Securities Act.</w:t>
      </w:r>
    </w:p>
    <w:p>
      <w:pPr>
        <w:spacing w:after="0" w:line="189" w:lineRule="exact"/>
        <w:rPr>
          <w:rFonts w:ascii="Arial" w:cs="Arial" w:eastAsia="Arial" w:hAnsi="Arial"/>
          <w:sz w:val="17"/>
          <w:szCs w:val="17"/>
          <w:color w:val="auto"/>
        </w:rPr>
      </w:pPr>
    </w:p>
    <w:p>
      <w:pPr>
        <w:jc w:val="both"/>
        <w:ind w:firstLine="1242"/>
        <w:spacing w:after="0" w:line="266" w:lineRule="auto"/>
        <w:tabs>
          <w:tab w:leader="none" w:pos="22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authority on the part of the Company is required in connection with the valid execution and delivery of this Agreement or the offer, sale or issuance of the Conversion Shares or the consummation of any other transaction contemplated by this Agreement.</w:t>
      </w:r>
    </w:p>
    <w:p>
      <w:pPr>
        <w:spacing w:after="0" w:line="201" w:lineRule="exact"/>
        <w:rPr>
          <w:rFonts w:ascii="Arial" w:cs="Arial" w:eastAsia="Arial" w:hAnsi="Arial"/>
          <w:sz w:val="17"/>
          <w:szCs w:val="17"/>
          <w:color w:val="auto"/>
        </w:rPr>
      </w:pPr>
    </w:p>
    <w:p>
      <w:pPr>
        <w:ind w:firstLine="1242"/>
        <w:spacing w:after="0" w:line="280" w:lineRule="auto"/>
        <w:tabs>
          <w:tab w:leader="none" w:pos="20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has complied and will comply with all applicable federal and state securities laws in connection with the offer, issuance and delivery of the New Securities hereunder.</w:t>
      </w:r>
    </w:p>
    <w:p>
      <w:pPr>
        <w:spacing w:after="0" w:line="189" w:lineRule="exact"/>
        <w:rPr>
          <w:sz w:val="20"/>
          <w:szCs w:val="20"/>
          <w:color w:val="auto"/>
        </w:rPr>
      </w:pPr>
    </w:p>
    <w:p>
      <w:pPr>
        <w:jc w:val="both"/>
        <w:ind w:firstLine="1287"/>
        <w:spacing w:after="0" w:line="308" w:lineRule="auto"/>
        <w:tabs>
          <w:tab w:leader="none" w:pos="1980" w:val="left"/>
        </w:tabs>
        <w:numPr>
          <w:ilvl w:val="2"/>
          <w:numId w:val="27"/>
        </w:numPr>
        <w:rPr>
          <w:rFonts w:ascii="Arial" w:cs="Arial" w:eastAsia="Arial" w:hAnsi="Arial"/>
          <w:sz w:val="15"/>
          <w:szCs w:val="15"/>
          <w:color w:val="auto"/>
        </w:rPr>
      </w:pPr>
      <w:r>
        <w:rPr>
          <w:rFonts w:ascii="Arial" w:cs="Arial" w:eastAsia="Arial" w:hAnsi="Arial"/>
          <w:sz w:val="15"/>
          <w:szCs w:val="15"/>
          <w:color w:val="auto"/>
        </w:rPr>
        <w:t>The Company shall cause its Common Stock to continue to be registered under Section 12(b) or 12(g) of the Securities Exchange Act of 1934 (the “</w:t>
      </w:r>
      <w:r>
        <w:rPr>
          <w:rFonts w:ascii="Arial" w:cs="Arial" w:eastAsia="Arial" w:hAnsi="Arial"/>
          <w:sz w:val="15"/>
          <w:szCs w:val="15"/>
          <w:i w:val="1"/>
          <w:iCs w:val="1"/>
          <w:color w:val="auto"/>
        </w:rPr>
        <w:t>Exchange Act</w:t>
      </w:r>
      <w:r>
        <w:rPr>
          <w:rFonts w:ascii="Arial" w:cs="Arial" w:eastAsia="Arial" w:hAnsi="Arial"/>
          <w:sz w:val="15"/>
          <w:szCs w:val="15"/>
          <w:color w:val="auto"/>
        </w:rPr>
        <w:t>”), and not take any action or file any document (whether or not permitted by the Securities Act or the rules promulgated thereunder) to terminate or suspend its reporting and filing obligations under the Exchange Act and the Securities Act, except as permitted herein. The Company will take all action necessary to continue the listing or trading of its Common Stock on the OTC Bulletin Board or other exchange or market on which the Common Stock is trading.</w:t>
      </w:r>
    </w:p>
    <w:p>
      <w:pPr>
        <w:spacing w:after="0" w:line="172" w:lineRule="exact"/>
        <w:rPr>
          <w:rFonts w:ascii="Arial" w:cs="Arial" w:eastAsia="Arial" w:hAnsi="Arial"/>
          <w:sz w:val="15"/>
          <w:szCs w:val="15"/>
          <w:color w:val="auto"/>
        </w:rPr>
      </w:pPr>
    </w:p>
    <w:p>
      <w:pPr>
        <w:jc w:val="both"/>
        <w:ind w:firstLine="1242"/>
        <w:spacing w:after="0" w:line="262" w:lineRule="auto"/>
        <w:tabs>
          <w:tab w:leader="none" w:pos="1934"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the event that the New Securities are sold in a manner that complies with an exemption from registration, the Company shall promptly cause its counsel (at its expense) to issue to the transfer agent an opinion permitting removal of the legend (indefinitely if pursuant to Rule 144(k) of the Securities Act (or its successor provisions, including any provision that permits unlimited resales after the relevant holding period set forth in Rule 144), or to permit sales of the New Securities if pursuant to the other provisions of Rule 144 of the Securities Act).</w:t>
      </w:r>
    </w:p>
    <w:p>
      <w:pPr>
        <w:spacing w:after="0" w:line="204" w:lineRule="exact"/>
        <w:rPr>
          <w:rFonts w:ascii="Arial" w:cs="Arial" w:eastAsia="Arial" w:hAnsi="Arial"/>
          <w:sz w:val="17"/>
          <w:szCs w:val="17"/>
          <w:color w:val="auto"/>
        </w:rPr>
      </w:pPr>
    </w:p>
    <w:p>
      <w:pPr>
        <w:jc w:val="both"/>
        <w:ind w:firstLine="623"/>
        <w:spacing w:after="0" w:line="266" w:lineRule="auto"/>
        <w:tabs>
          <w:tab w:leader="none" w:pos="142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Obligation of the Company</w:t>
      </w:r>
      <w:r>
        <w:rPr>
          <w:rFonts w:ascii="Arial" w:cs="Arial" w:eastAsia="Arial" w:hAnsi="Arial"/>
          <w:sz w:val="17"/>
          <w:szCs w:val="17"/>
          <w:color w:val="auto"/>
        </w:rPr>
        <w:t>. The obligation hereunder of the Company to issue and deliver the New Securities to Platinum is subject to the satisfaction or waiver, at or before the Closing Date, of each of the conditions set forth below. These conditions are for the Company’s sole benefit and may be waived by the Company at any time in its sole discretion.</w:t>
      </w:r>
    </w:p>
    <w:p>
      <w:pPr>
        <w:spacing w:after="0" w:line="201" w:lineRule="exact"/>
        <w:rPr>
          <w:rFonts w:ascii="Arial" w:cs="Arial" w:eastAsia="Arial" w:hAnsi="Arial"/>
          <w:sz w:val="17"/>
          <w:szCs w:val="17"/>
          <w:color w:val="auto"/>
        </w:rPr>
      </w:pPr>
    </w:p>
    <w:p>
      <w:pPr>
        <w:ind w:left="1900" w:hanging="658"/>
        <w:spacing w:after="0"/>
        <w:tabs>
          <w:tab w:leader="none" w:pos="1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Platinum shall have executed and delivered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6" w:name="page27"/>
    <w:bookmarkEnd w:id="26"/>
    <w:p>
      <w:pPr>
        <w:ind w:firstLine="1242"/>
        <w:spacing w:after="0" w:line="280" w:lineRule="auto"/>
        <w:tabs>
          <w:tab w:leader="none" w:pos="1957" w:val="left"/>
        </w:tabs>
        <w:numPr>
          <w:ilvl w:val="1"/>
          <w:numId w:val="30"/>
        </w:numPr>
        <w:rPr>
          <w:rFonts w:ascii="Arial" w:cs="Arial" w:eastAsia="Arial" w:hAnsi="Arial"/>
          <w:sz w:val="17"/>
          <w:szCs w:val="17"/>
          <w:color w:val="auto"/>
        </w:rPr>
      </w:pPr>
      <w:r>
        <w:rPr>
          <w:rFonts w:ascii="Arial" w:cs="Arial" w:eastAsia="Arial" w:hAnsi="Arial"/>
          <w:sz w:val="17"/>
          <w:szCs w:val="17"/>
          <w:color w:val="auto"/>
        </w:rPr>
        <w:t>Platinum shall have performed, satisfied and complied in all material respects with all covenants, agreements and conditions required by this Agreement to be performed, satisfied or complied with by Platinum at or prior to the Closing Date.</w:t>
      </w:r>
    </w:p>
    <w:p>
      <w:pPr>
        <w:spacing w:after="0" w:line="189" w:lineRule="exact"/>
        <w:rPr>
          <w:rFonts w:ascii="Arial" w:cs="Arial" w:eastAsia="Arial" w:hAnsi="Arial"/>
          <w:sz w:val="17"/>
          <w:szCs w:val="17"/>
          <w:color w:val="auto"/>
        </w:rPr>
      </w:pPr>
    </w:p>
    <w:p>
      <w:pPr>
        <w:jc w:val="both"/>
        <w:ind w:firstLine="1242"/>
        <w:spacing w:after="0" w:line="266" w:lineRule="auto"/>
        <w:tabs>
          <w:tab w:leader="none" w:pos="198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spacing w:after="0" w:line="201" w:lineRule="exact"/>
        <w:rPr>
          <w:rFonts w:ascii="Arial" w:cs="Arial" w:eastAsia="Arial" w:hAnsi="Arial"/>
          <w:sz w:val="17"/>
          <w:szCs w:val="17"/>
          <w:color w:val="auto"/>
        </w:rPr>
      </w:pPr>
    </w:p>
    <w:p>
      <w:pPr>
        <w:jc w:val="both"/>
        <w:ind w:firstLine="623"/>
        <w:spacing w:after="0" w:line="266" w:lineRule="auto"/>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Obligation of Platinum</w:t>
      </w:r>
      <w:r>
        <w:rPr>
          <w:rFonts w:ascii="Arial" w:cs="Arial" w:eastAsia="Arial" w:hAnsi="Arial"/>
          <w:sz w:val="17"/>
          <w:szCs w:val="17"/>
          <w:color w:val="auto"/>
        </w:rPr>
        <w:t>. The obligation hereunder of Platinum to surrender the Platinum Notes, purchase the Investor Notes and accept the New Securities is subject to the satisfaction or waiver, at or before the Closing Date, of each of the conditions set forth below. These conditions are for Platinum’s sole benefit and may be waived by Platinum at any time in its sole discretion.</w:t>
      </w:r>
    </w:p>
    <w:p>
      <w:pPr>
        <w:spacing w:after="0" w:line="201" w:lineRule="exact"/>
        <w:rPr>
          <w:rFonts w:ascii="Arial" w:cs="Arial" w:eastAsia="Arial" w:hAnsi="Arial"/>
          <w:sz w:val="17"/>
          <w:szCs w:val="17"/>
          <w:color w:val="auto"/>
        </w:rPr>
      </w:pPr>
    </w:p>
    <w:p>
      <w:pPr>
        <w:ind w:left="1900" w:hanging="658"/>
        <w:spacing w:after="0"/>
        <w:tabs>
          <w:tab w:leader="none" w:pos="19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shall have executed and delivered this Agreement.</w:t>
      </w:r>
    </w:p>
    <w:p>
      <w:pPr>
        <w:spacing w:after="0" w:line="243" w:lineRule="exact"/>
        <w:rPr>
          <w:rFonts w:ascii="Arial" w:cs="Arial" w:eastAsia="Arial" w:hAnsi="Arial"/>
          <w:sz w:val="17"/>
          <w:szCs w:val="17"/>
          <w:color w:val="auto"/>
        </w:rPr>
      </w:pPr>
    </w:p>
    <w:p>
      <w:pPr>
        <w:ind w:firstLine="1242"/>
        <w:spacing w:after="0" w:line="280" w:lineRule="auto"/>
        <w:tabs>
          <w:tab w:leader="none" w:pos="2143"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shall have performed, satisfied and complied in all material respects with all covenants, agreements and conditions required by the Agreement to be performed, satisfied or complied with by the Company at or prior to the Closing Date.</w:t>
      </w:r>
    </w:p>
    <w:p>
      <w:pPr>
        <w:spacing w:after="0" w:line="189" w:lineRule="exact"/>
        <w:rPr>
          <w:rFonts w:ascii="Arial" w:cs="Arial" w:eastAsia="Arial" w:hAnsi="Arial"/>
          <w:sz w:val="17"/>
          <w:szCs w:val="17"/>
          <w:color w:val="auto"/>
        </w:rPr>
      </w:pPr>
    </w:p>
    <w:p>
      <w:pPr>
        <w:jc w:val="both"/>
        <w:ind w:firstLine="1242"/>
        <w:spacing w:after="0" w:line="266" w:lineRule="auto"/>
        <w:tabs>
          <w:tab w:leader="none" w:pos="1927"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of the representations and warranties of the Company shall be true and correct in all material respects as of the date when made and as of the Closing Date as though made at that time, except for representations and warranties that speak as of a particular date, which shall be true and correct in all material respects as of such date.</w:t>
      </w:r>
    </w:p>
    <w:p>
      <w:pPr>
        <w:spacing w:after="0" w:line="201" w:lineRule="exact"/>
        <w:rPr>
          <w:rFonts w:ascii="Arial" w:cs="Arial" w:eastAsia="Arial" w:hAnsi="Arial"/>
          <w:sz w:val="17"/>
          <w:szCs w:val="17"/>
          <w:color w:val="auto"/>
        </w:rPr>
      </w:pPr>
    </w:p>
    <w:p>
      <w:pPr>
        <w:jc w:val="both"/>
        <w:ind w:firstLine="1242"/>
        <w:spacing w:after="0" w:line="266" w:lineRule="auto"/>
        <w:tabs>
          <w:tab w:leader="none" w:pos="2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 statute, regulation, executive order, decree, ruling or injunction shall have been enacted, entered, promulgated or endorsed by any court or governmental authority of competent jurisdiction which prohibits the consummation of any of the transactions contemplated by this Agreement at or prior to the Closing Date.</w:t>
      </w:r>
    </w:p>
    <w:p>
      <w:pPr>
        <w:spacing w:after="0" w:line="201" w:lineRule="exact"/>
        <w:rPr>
          <w:rFonts w:ascii="Arial" w:cs="Arial" w:eastAsia="Arial" w:hAnsi="Arial"/>
          <w:sz w:val="17"/>
          <w:szCs w:val="17"/>
          <w:color w:val="auto"/>
        </w:rPr>
      </w:pPr>
    </w:p>
    <w:p>
      <w:pPr>
        <w:jc w:val="both"/>
        <w:ind w:firstLine="1242"/>
        <w:spacing w:after="0" w:line="260" w:lineRule="auto"/>
        <w:tabs>
          <w:tab w:leader="none" w:pos="189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As of the Closing Date, no action, suit or proceeding before or by any court or governmental agency or body, domestic or foreign, shall be pending against or affecting the Company, or any of its properties, which questions the validity of the Agreement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or any of its properties, which, if adversely determined, is reasonably likely to result in a Material Adverse Effect.</w:t>
      </w:r>
    </w:p>
    <w:p>
      <w:pPr>
        <w:spacing w:after="0" w:line="205" w:lineRule="exact"/>
        <w:rPr>
          <w:rFonts w:ascii="Arial" w:cs="Arial" w:eastAsia="Arial" w:hAnsi="Arial"/>
          <w:sz w:val="17"/>
          <w:szCs w:val="17"/>
          <w:color w:val="auto"/>
        </w:rPr>
      </w:pPr>
    </w:p>
    <w:p>
      <w:pPr>
        <w:ind w:firstLine="1242"/>
        <w:spacing w:after="0" w:line="280" w:lineRule="auto"/>
        <w:tabs>
          <w:tab w:leader="none" w:pos="2146"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shall have received confirmation from the Nevada Secretary of State of the filing of the Company’s Certificate of Determination or Rights and Preferences of the Series B Preferred, and shall have delivered to Platinum the Conversion Instructions.</w:t>
      </w:r>
    </w:p>
    <w:p>
      <w:pPr>
        <w:spacing w:after="0" w:line="183" w:lineRule="exact"/>
        <w:rPr>
          <w:rFonts w:ascii="Arial" w:cs="Arial" w:eastAsia="Arial" w:hAnsi="Arial"/>
          <w:sz w:val="17"/>
          <w:szCs w:val="17"/>
          <w:color w:val="auto"/>
        </w:rPr>
      </w:pPr>
    </w:p>
    <w:p>
      <w:pPr>
        <w:jc w:val="both"/>
        <w:ind w:firstLine="623"/>
        <w:spacing w:after="0" w:line="277" w:lineRule="auto"/>
        <w:tabs>
          <w:tab w:leader="none" w:pos="137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shall be governed by and interpreted in accordance with the laws of the State of New York without giving effect conflicts of law principles that would result in the application of the substantive laws of another jurisdiction. Each of the Parties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Arial" w:cs="Arial" w:eastAsia="Arial" w:hAnsi="Arial"/>
          <w:sz w:val="16"/>
          <w:szCs w:val="16"/>
          <w:i w:val="1"/>
          <w:iCs w:val="1"/>
          <w:color w:val="auto"/>
        </w:rPr>
        <w:t>forum non conveniens</w:t>
      </w:r>
      <w:r>
        <w:rPr>
          <w:rFonts w:ascii="Arial" w:cs="Arial" w:eastAsia="Arial" w:hAnsi="Arial"/>
          <w:sz w:val="16"/>
          <w:szCs w:val="16"/>
          <w:color w:val="auto"/>
        </w:rPr>
        <w:t>, to the bringing of any such proceeding in such jurisdictions.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7" w:name="page28"/>
    <w:bookmarkEnd w:id="27"/>
    <w:p>
      <w:pPr>
        <w:jc w:val="both"/>
        <w:ind w:firstLine="623"/>
        <w:spacing w:after="0" w:line="294" w:lineRule="auto"/>
        <w:tabs>
          <w:tab w:leader="none" w:pos="134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All notices and other communications provided for or permitted hereunder shall be made in writing by hand delivery, express overnight courier, registered first class mail, or telecopier (provided that any notice sent by telecopier shall be confirmed by other means pursuant to this Section 8), initially to the address set forth below, and thereafter at such other address, notice of which is given in accordance with the provisions of this Section.</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to the Company:</w:t>
      </w: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VistaGen Therapeutics, Inc.</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Attention: Chief Executive Officer</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343 Allerton Avenue</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South San Francisco, CA 94080</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Tel. No.: (650) 577-3613</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Fax No.: (888) 482-2602</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with a copy to:</w:t>
      </w: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Disclosure Law Group</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600 West Broadway, Suite 700</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San Diego, California 92101</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Attention: Daniel W. Rumsey, Esquire</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Tel No.: (619) 795-1134</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Fax No.: (619) 330-2101</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to Platinum:</w:t>
      </w: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Platinum Long Term Growth VII, LLC</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250 West 55th Street, 14th Floor</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New York, NY 10019</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Attention: David Steinberg</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Tel. No.: (212) 582-2222</w:t>
      </w:r>
    </w:p>
    <w:p>
      <w:pPr>
        <w:spacing w:after="0" w:line="1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Fax No.: (212) 582-2424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All such notices and communications shall be deemed to have been duly given: when delivered by hand, if personally delivered; when receipt is acknowledged, if telecopied; or when actually received or refused if sent by other means.</w:t>
      </w:r>
    </w:p>
    <w:p>
      <w:pPr>
        <w:spacing w:after="0" w:line="189" w:lineRule="exact"/>
        <w:rPr>
          <w:sz w:val="20"/>
          <w:szCs w:val="20"/>
          <w:color w:val="auto"/>
        </w:rPr>
      </w:pPr>
    </w:p>
    <w:p>
      <w:pPr>
        <w:jc w:val="both"/>
        <w:ind w:firstLine="313"/>
        <w:spacing w:after="0" w:line="266" w:lineRule="auto"/>
        <w:tabs>
          <w:tab w:leader="none" w:pos="126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Disclosure of Transaction</w:t>
      </w:r>
      <w:r>
        <w:rPr>
          <w:rFonts w:ascii="Arial" w:cs="Arial" w:eastAsia="Arial" w:hAnsi="Arial"/>
          <w:sz w:val="17"/>
          <w:szCs w:val="17"/>
          <w:color w:val="auto"/>
        </w:rPr>
        <w:t>. The Company shall file with the Securities and Exchange Commission a Current Report on Form 8-K (the “</w:t>
      </w:r>
      <w:r>
        <w:rPr>
          <w:rFonts w:ascii="Arial" w:cs="Arial" w:eastAsia="Arial" w:hAnsi="Arial"/>
          <w:sz w:val="17"/>
          <w:szCs w:val="17"/>
          <w:i w:val="1"/>
          <w:iCs w:val="1"/>
          <w:color w:val="auto"/>
        </w:rPr>
        <w:t>Form 8-K</w:t>
      </w:r>
      <w:r>
        <w:rPr>
          <w:rFonts w:ascii="Arial" w:cs="Arial" w:eastAsia="Arial" w:hAnsi="Arial"/>
          <w:sz w:val="17"/>
          <w:szCs w:val="17"/>
          <w:color w:val="auto"/>
        </w:rPr>
        <w:t>”) describing the material terms of the transactions contemplated hereby as soon as practicable following the Closing Date but in no event more than two (2) business days following the Closing Date.</w:t>
      </w:r>
    </w:p>
    <w:p>
      <w:pPr>
        <w:spacing w:after="0" w:line="195" w:lineRule="exact"/>
        <w:rPr>
          <w:rFonts w:ascii="Arial" w:cs="Arial" w:eastAsia="Arial" w:hAnsi="Arial"/>
          <w:sz w:val="17"/>
          <w:szCs w:val="17"/>
          <w:color w:val="auto"/>
        </w:rPr>
      </w:pPr>
    </w:p>
    <w:p>
      <w:pPr>
        <w:jc w:val="both"/>
        <w:ind w:firstLine="313"/>
        <w:spacing w:after="0" w:line="270" w:lineRule="auto"/>
        <w:tabs>
          <w:tab w:leader="none" w:pos="130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spacing w:after="0" w:line="198" w:lineRule="exact"/>
        <w:rPr>
          <w:rFonts w:ascii="Arial" w:cs="Arial" w:eastAsia="Arial" w:hAnsi="Arial"/>
          <w:sz w:val="17"/>
          <w:szCs w:val="17"/>
          <w:color w:val="auto"/>
        </w:rPr>
      </w:pPr>
    </w:p>
    <w:p>
      <w:pPr>
        <w:ind w:firstLine="313"/>
        <w:spacing w:after="0" w:line="280" w:lineRule="auto"/>
        <w:tabs>
          <w:tab w:leader="none" w:pos="135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facsimile signature and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8" w:name="page29"/>
    <w:bookmarkEnd w:id="28"/>
    <w:p>
      <w:pPr>
        <w:jc w:val="center"/>
        <w:ind w:right="1959"/>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signed this instrument as of the date first set forth above.</w:t>
      </w:r>
    </w:p>
    <w:p>
      <w:pPr>
        <w:spacing w:after="0" w:line="243" w:lineRule="exact"/>
        <w:rPr>
          <w:sz w:val="20"/>
          <w:szCs w:val="20"/>
          <w:color w:val="auto"/>
        </w:rPr>
      </w:pPr>
    </w:p>
    <w:p>
      <w:pPr>
        <w:spacing w:after="0"/>
        <w:tabs>
          <w:tab w:leader="none" w:pos="55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b w:val="1"/>
          <w:bCs w:val="1"/>
          <w:color w:val="auto"/>
        </w:rPr>
        <w:t>VISTAGEN THERAPEUTICS,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343 Allerton Avenue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Shawn K. Singh</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 Shawn K. Singh</w:t>
      </w:r>
    </w:p>
    <w:p>
      <w:pPr>
        <w:spacing w:after="0" w:line="11"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5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b w:val="1"/>
          <w:bCs w:val="1"/>
          <w:color w:val="auto"/>
        </w:rPr>
        <w:t>PLATINUM LONG TERM GROWTH VII,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250 West 55th Street, 14th Floor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10019</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Steinberg</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 David Steinberg</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728"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b w:val="1"/>
          <w:bCs w:val="1"/>
          <w:color w:val="auto"/>
        </w:rPr>
        <w:t>Exhibit 10.2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ACKNOWLEDGEMENT AND AGREEMENT</w:t>
      </w:r>
    </w:p>
    <w:p>
      <w:pPr>
        <w:spacing w:after="0" w:line="200" w:lineRule="exact"/>
        <w:rPr>
          <w:sz w:val="20"/>
          <w:szCs w:val="20"/>
          <w:color w:val="auto"/>
        </w:rPr>
      </w:pPr>
    </w:p>
    <w:p>
      <w:pPr>
        <w:spacing w:after="0" w:line="250" w:lineRule="exact"/>
        <w:rPr>
          <w:sz w:val="20"/>
          <w:szCs w:val="20"/>
          <w:color w:val="auto"/>
        </w:rPr>
      </w:pPr>
    </w:p>
    <w:p>
      <w:pPr>
        <w:ind w:firstLine="620"/>
        <w:spacing w:after="0" w:line="320" w:lineRule="auto"/>
        <w:rPr>
          <w:sz w:val="20"/>
          <w:szCs w:val="20"/>
          <w:color w:val="auto"/>
        </w:rPr>
      </w:pPr>
      <w:r>
        <w:rPr>
          <w:rFonts w:ascii="Arial" w:cs="Arial" w:eastAsia="Arial" w:hAnsi="Arial"/>
          <w:sz w:val="16"/>
          <w:szCs w:val="16"/>
          <w:b w:val="1"/>
          <w:bCs w:val="1"/>
          <w:color w:val="auto"/>
        </w:rPr>
        <w:t xml:space="preserve">THIS ACKNOWLEDGEMENT AND AGREEMENT </w:t>
      </w:r>
      <w:r>
        <w:rPr>
          <w:rFonts w:ascii="Arial" w:cs="Arial" w:eastAsia="Arial" w:hAnsi="Arial"/>
          <w:sz w:val="16"/>
          <w:szCs w:val="16"/>
          <w:color w:val="auto"/>
        </w:rPr>
        <w:t>(this “</w:t>
      </w:r>
      <w:r>
        <w:rPr>
          <w:rFonts w:ascii="Arial" w:cs="Arial" w:eastAsia="Arial" w:hAnsi="Arial"/>
          <w:sz w:val="16"/>
          <w:szCs w:val="16"/>
          <w:i w:val="1"/>
          <w:iCs w:val="1"/>
          <w:color w:val="auto"/>
        </w:rPr>
        <w:t>Acknowledgement</w:t>
      </w:r>
      <w:r>
        <w:rPr>
          <w:rFonts w:ascii="Arial" w:cs="Arial" w:eastAsia="Arial" w:hAnsi="Arial"/>
          <w:sz w:val="16"/>
          <w:szCs w:val="16"/>
          <w:color w:val="auto"/>
        </w:rPr>
        <w:t>”) is entered into on May 12, 2015, by and between VistaGen</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Platinum Long Term Growth VII, LLC, a Delaware limited liability corporation (“</w:t>
      </w:r>
      <w:r>
        <w:rPr>
          <w:rFonts w:ascii="Arial" w:cs="Arial" w:eastAsia="Arial" w:hAnsi="Arial"/>
          <w:sz w:val="16"/>
          <w:szCs w:val="16"/>
          <w:i w:val="1"/>
          <w:iCs w:val="1"/>
          <w:color w:val="auto"/>
        </w:rPr>
        <w:t>Platinum</w:t>
      </w:r>
      <w:r>
        <w:rPr>
          <w:rFonts w:ascii="Arial" w:cs="Arial" w:eastAsia="Arial" w:hAnsi="Arial"/>
          <w:sz w:val="16"/>
          <w:szCs w:val="16"/>
          <w:color w:val="auto"/>
        </w:rPr>
        <w:t>”).</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good and valuable consideration, the receipt and sufficiency of which hereby acknowledged, the parties hereto agree as follows:</w:t>
      </w:r>
    </w:p>
    <w:p>
      <w:pPr>
        <w:spacing w:after="0" w:line="218" w:lineRule="exact"/>
        <w:rPr>
          <w:sz w:val="20"/>
          <w:szCs w:val="20"/>
          <w:color w:val="auto"/>
        </w:rPr>
      </w:pPr>
    </w:p>
    <w:p>
      <w:pPr>
        <w:jc w:val="both"/>
        <w:ind w:firstLine="623"/>
        <w:spacing w:after="0" w:line="262" w:lineRule="auto"/>
        <w:tabs>
          <w:tab w:leader="none" w:pos="16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Platinum and the Company are parties to an Agreement, dated May 5, 2015, a copy of which is attached hereto as Exhibit A (the “</w:t>
      </w:r>
      <w:r>
        <w:rPr>
          <w:rFonts w:ascii="Arial" w:cs="Arial" w:eastAsia="Arial" w:hAnsi="Arial"/>
          <w:sz w:val="17"/>
          <w:szCs w:val="17"/>
          <w:i w:val="1"/>
          <w:iCs w:val="1"/>
          <w:color w:val="auto"/>
        </w:rPr>
        <w:t>Agreement</w:t>
      </w:r>
      <w:r>
        <w:rPr>
          <w:rFonts w:ascii="Arial" w:cs="Arial" w:eastAsia="Arial" w:hAnsi="Arial"/>
          <w:sz w:val="17"/>
          <w:szCs w:val="17"/>
          <w:color w:val="auto"/>
        </w:rPr>
        <w:t>”). The Agreement provides that the Closing Date under the terms thereof shall be the date upon which confirmation is received from the Nevada Secretary of State of the filing of the Company’s Certificate of Determination of Rights and Preferences of the Series B Preferred, as such term is defined in the Agreement. The parties agree and acknowledge that, for purposes of the Agreement, the Closing Date shall be May 12, 2015.</w:t>
      </w:r>
    </w:p>
    <w:p>
      <w:pPr>
        <w:spacing w:after="0" w:line="204" w:lineRule="exact"/>
        <w:rPr>
          <w:rFonts w:ascii="Arial" w:cs="Arial" w:eastAsia="Arial" w:hAnsi="Arial"/>
          <w:sz w:val="17"/>
          <w:szCs w:val="17"/>
          <w:color w:val="auto"/>
        </w:rPr>
      </w:pPr>
    </w:p>
    <w:p>
      <w:pPr>
        <w:jc w:val="both"/>
        <w:ind w:firstLine="623"/>
        <w:spacing w:after="0" w:line="262" w:lineRule="auto"/>
        <w:tabs>
          <w:tab w:leader="none" w:pos="1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provisions of the Agreement, as modified and clarified herein, shall remain in full force and effect in accordance with its terms and are hereby ratified and confirmed. Neither party in any way waives their respective obligations to comply with any of the provisions, covenants and terms of the Agreement and the other agreements referred to in the Agreement. This Agreement shall be governed by the laws of the State of New York without regard to the conflict of laws provisions thereof.</w:t>
      </w:r>
    </w:p>
    <w:p>
      <w:pPr>
        <w:spacing w:after="0" w:line="200" w:lineRule="exact"/>
        <w:rPr>
          <w:sz w:val="20"/>
          <w:szCs w:val="20"/>
          <w:color w:val="auto"/>
        </w:rPr>
      </w:pPr>
    </w:p>
    <w:p>
      <w:pPr>
        <w:spacing w:after="0" w:line="231" w:lineRule="exact"/>
        <w:rPr>
          <w:sz w:val="20"/>
          <w:szCs w:val="20"/>
          <w:color w:val="auto"/>
        </w:rPr>
      </w:pPr>
    </w:p>
    <w:p>
      <w:pPr>
        <w:jc w:val="center"/>
        <w:ind w:right="31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signed this instrument as of the date first set forth above.</w:t>
      </w:r>
    </w:p>
    <w:p>
      <w:pPr>
        <w:spacing w:after="0" w:line="243" w:lineRule="exact"/>
        <w:rPr>
          <w:sz w:val="20"/>
          <w:szCs w:val="20"/>
          <w:color w:val="auto"/>
        </w:rPr>
      </w:pPr>
    </w:p>
    <w:p>
      <w:pPr>
        <w:spacing w:after="0"/>
        <w:tabs>
          <w:tab w:leader="none" w:pos="55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b w:val="1"/>
          <w:bCs w:val="1"/>
          <w:color w:val="auto"/>
        </w:rPr>
        <w:t>VISTAGEN THERAPEUTICS,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343 Allerton Avenue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Shawn K. Singh</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 Shawn K. Singh</w:t>
      </w:r>
    </w:p>
    <w:p>
      <w:pPr>
        <w:spacing w:after="0" w:line="11"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7" w:lineRule="exact"/>
        <w:rPr>
          <w:sz w:val="20"/>
          <w:szCs w:val="20"/>
          <w:color w:val="auto"/>
        </w:rPr>
      </w:pPr>
    </w:p>
    <w:p>
      <w:pPr>
        <w:spacing w:after="0"/>
        <w:tabs>
          <w:tab w:leader="none" w:pos="55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b w:val="1"/>
          <w:bCs w:val="1"/>
          <w:color w:val="auto"/>
        </w:rPr>
        <w:t>PLATINUM LONG TERM GROWTH VII, LLC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250 West 55th Street, 14th Floor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10019</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Steinberg</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Name: David Steinberg</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Title: Authorized Signatory</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b w:val="1"/>
          <w:bCs w:val="1"/>
          <w:color w:val="auto"/>
        </w:rPr>
        <w:t>Exhibit 10.3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PURCHASE AGREEMENT</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This Securities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May __ 2015, between VistaGen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each purchaser identified on the signature pages hereto (each, including its successors and assigns, a “</w:t>
      </w:r>
      <w:r>
        <w:rPr>
          <w:rFonts w:ascii="Arial" w:cs="Arial" w:eastAsia="Arial" w:hAnsi="Arial"/>
          <w:sz w:val="17"/>
          <w:szCs w:val="17"/>
          <w:u w:val="single" w:color="auto"/>
          <w:color w:val="auto"/>
        </w:rPr>
        <w:t>Purchaser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Purchasers</w:t>
      </w:r>
      <w:r>
        <w:rPr>
          <w:rFonts w:ascii="Arial" w:cs="Arial" w:eastAsia="Arial" w:hAnsi="Arial"/>
          <w:sz w:val="17"/>
          <w:szCs w:val="17"/>
          <w:color w:val="auto"/>
        </w:rPr>
        <w:t>”).</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WHEREAS, subject to the terms and conditions set forth in this Agreement and pursuant to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3"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(a) capitalized terms that are not otherwise defined herein have the meanings given to such terms in the Certificate of Designation (as defined herein), and (b) the following terms have the meanings set forth in this Section 1.1:</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shall have the meaning ascribed to such term in Section 4.7.</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shall have the meaning ascribed to such term in Section 3.1(j).</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the board of directors of the Company.</w:t>
      </w:r>
    </w:p>
    <w:p>
      <w:pPr>
        <w:spacing w:after="0" w:line="243" w:lineRule="exact"/>
        <w:rPr>
          <w:sz w:val="20"/>
          <w:szCs w:val="20"/>
          <w:color w:val="auto"/>
        </w:rPr>
      </w:pPr>
    </w:p>
    <w:p>
      <w:pPr>
        <w:jc w:val="both"/>
        <w:ind w:left="620" w:firstLine="662"/>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89" w:lineRule="exact"/>
        <w:rPr>
          <w:sz w:val="20"/>
          <w:szCs w:val="20"/>
          <w:color w:val="auto"/>
        </w:rPr>
      </w:pPr>
    </w:p>
    <w:p>
      <w:pPr>
        <w:jc w:val="both"/>
        <w:ind w:left="620" w:firstLine="68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xml:space="preserve">” means the Certificate of Designation of the Relative Rights and Preferences of the Series B 10% Convertible Preferred Stock of the Company filed with the Secretary of State of Nevada on May 7, 2015,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United States Securities and Exchange Commission.</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 par value $0.001 per share, and any other class of securities into which such securities may hereafter be reclassified or changed.</w:t>
      </w:r>
    </w:p>
    <w:p>
      <w:pPr>
        <w:spacing w:after="0" w:line="189" w:lineRule="exact"/>
        <w:rPr>
          <w:sz w:val="20"/>
          <w:szCs w:val="20"/>
          <w:color w:val="auto"/>
        </w:rPr>
      </w:pPr>
    </w:p>
    <w:p>
      <w:pPr>
        <w:jc w:val="both"/>
        <w:ind w:left="620"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Disclosure Law Group, with offices located at One America Plaza, 600 West Broadway, Suite 700, San Diego, CA</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92101.</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shall have the meaning ascribed to such term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w:t>
      </w:r>
      <w:r>
        <w:rPr>
          <w:rFonts w:ascii="Arial" w:cs="Arial" w:eastAsia="Arial" w:hAnsi="Arial"/>
          <w:sz w:val="17"/>
          <w:szCs w:val="17"/>
          <w:color w:val="auto"/>
        </w:rPr>
        <w:t>” shall have the meaning ascribed to such term in the Certificate of Designation.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shall have the meaning ascribed to such term in Section 3.1.</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earliest of the date that (a) with respect to the Initial Registration Statement required to be filed pursuant to Section 4.12, August 30, 2015 (or, in the event of a “full review” by the Commission, September 30, 2015), and with respect to any additional Registration Statements which may be required pursuant to Section 4.12,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calendar day following the date on which an additional Registration Statement is required to be filed hereunder (or, in the event of a “full review” by the Commission,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calendar day following the date such additional Registration Statement is required to be filed hereunder);, that in the event the Company is notified by the Commission that one or more of the above Registration Statements will not be reviewed or is no longer subject to further review and comments, the Effective Date as to such Registration Statement shall be the fifth Trading Day following the date on which the Company is so notified if such date precedes the dates otherwise required above, provided, further, if such Effective Date falls on a day that is not a Trading Day, then the Effective Date shall be the next succeeding Trading Day, (b) all of the Underlying Shares have been sold pursuant to Rule 144 or may be sold pursuant to Rule 144 without the requirement for the Company to be in compliance with the current public information required under Rule 144 and without volume or manner-of-sale restrictions or (c) following the one year anniversary of the Initial Closing Date provided that a holder of Underlying Shares is not an Affiliate of the Company, all of the Underlying Shares may be sold pursuant to an exemption from registration under Section 4(1) of the Securities Act without volume or manner-of-sale restrictions and Company Counsel has delivered to such holders a standing written unqualified opinion that resales may then be made by such holders of the Underlying Shares pursuant to such exemption which opinion shall be in form and substance reasonably acceptable to such holders.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Evaluation Date</w:t>
      </w:r>
      <w:r>
        <w:rPr>
          <w:rFonts w:ascii="Arial" w:cs="Arial" w:eastAsia="Arial" w:hAnsi="Arial"/>
          <w:sz w:val="17"/>
          <w:szCs w:val="17"/>
          <w:color w:val="auto"/>
        </w:rPr>
        <w:t>” shall have the meaning ascribed to such term in Section 3.1(s).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Indebtedness</w:t>
      </w:r>
      <w:r>
        <w:rPr>
          <w:rFonts w:ascii="Arial" w:cs="Arial" w:eastAsia="Arial" w:hAnsi="Arial"/>
          <w:sz w:val="17"/>
          <w:szCs w:val="17"/>
          <w:color w:val="auto"/>
        </w:rPr>
        <w:t>” means (i) certain Senior Secured Convertible Promissory Notes of the Company issued to Platinum Long Term Growth VII, LLC in the aggregate principal amount of approximately $4.5 million (the “</w:t>
      </w:r>
      <w:r>
        <w:rPr>
          <w:rFonts w:ascii="Arial" w:cs="Arial" w:eastAsia="Arial" w:hAnsi="Arial"/>
          <w:sz w:val="17"/>
          <w:szCs w:val="17"/>
          <w:u w:val="single" w:color="auto"/>
          <w:color w:val="auto"/>
        </w:rPr>
        <w:t>Platinum Notes</w:t>
      </w:r>
      <w:r>
        <w:rPr>
          <w:rFonts w:ascii="Arial" w:cs="Arial" w:eastAsia="Arial" w:hAnsi="Arial"/>
          <w:sz w:val="17"/>
          <w:szCs w:val="17"/>
          <w:color w:val="auto"/>
        </w:rPr>
        <w:t>”); (ii) certain subordinated convertible promissory notes issued by the Company to certain accredited investors in the aggregate principal amount of approximately $4.6 million; (iii) certain unsecured promissory notes issued by the Company to certain strategic partners and service providers in the aggregate principal amount of approximately $6.0 million; and (iv) approximately $2.0 million payable to the Company’s service providers for professional services rendered to the Company in the ordinary course of business prior to the Initial Closing.</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means the Foreign Corrupt Practices Act of 1977, as amended.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FDA</w:t>
      </w:r>
      <w:r>
        <w:rPr>
          <w:rFonts w:ascii="Arial" w:cs="Arial" w:eastAsia="Arial" w:hAnsi="Arial"/>
          <w:sz w:val="17"/>
          <w:szCs w:val="17"/>
          <w:color w:val="auto"/>
        </w:rPr>
        <w:t>” shall have the meaning ascribed to such term in Section 3.1(ll).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FDCA</w:t>
      </w:r>
      <w:r>
        <w:rPr>
          <w:rFonts w:ascii="Arial" w:cs="Arial" w:eastAsia="Arial" w:hAnsi="Arial"/>
          <w:sz w:val="17"/>
          <w:szCs w:val="17"/>
          <w:color w:val="auto"/>
        </w:rPr>
        <w:t>” shall have the meaning ascribed to such term in Section 3.1(ll).</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Filing Date</w:t>
      </w:r>
      <w:r>
        <w:rPr>
          <w:rFonts w:ascii="Arial" w:cs="Arial" w:eastAsia="Arial" w:hAnsi="Arial"/>
          <w:sz w:val="17"/>
          <w:szCs w:val="17"/>
          <w:color w:val="auto"/>
        </w:rPr>
        <w:t>” means, with respect to the Initial Registration Statement required under Section 4.12, June 30, 2015. With respect to any additional Registration Statements that may be required pursuant to Section 4.12, the earliest practical date on which the Company is permitted by SEC Guidance to file such additional Registration Statement related to the Registrable Securities.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have the meaning ascribed to such term in Section 3.1(h).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shall have the meaning ascribed to such term in Section 3.1(bb).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Closing</w:t>
      </w:r>
      <w:r>
        <w:rPr>
          <w:rFonts w:ascii="Arial" w:cs="Arial" w:eastAsia="Arial" w:hAnsi="Arial"/>
          <w:sz w:val="17"/>
          <w:szCs w:val="17"/>
          <w:color w:val="auto"/>
        </w:rPr>
        <w:t>” means the initial closing of the purchase and sale of the Securities pursuant to Section 2.1.1.</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Closing Date</w:t>
      </w:r>
      <w:r>
        <w:rPr>
          <w:rFonts w:ascii="Arial" w:cs="Arial" w:eastAsia="Arial" w:hAnsi="Arial"/>
          <w:sz w:val="17"/>
          <w:szCs w:val="17"/>
          <w:color w:val="auto"/>
        </w:rPr>
        <w:t>” means the Trading Day on which all of the Transaction Documents have been executed and delivered by the applicable parties thereto in connection with the Initial Closing, and all conditions precedent to (i) the Purchasers’ obligations to pay the Subscription Amount and (ii) the Company’s obligations to deliver the Securities, in each case, have been satisfied or waived.</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Registration Statement</w:t>
      </w:r>
      <w:r>
        <w:rPr>
          <w:rFonts w:ascii="Arial" w:cs="Arial" w:eastAsia="Arial" w:hAnsi="Arial"/>
          <w:sz w:val="17"/>
          <w:szCs w:val="17"/>
          <w:color w:val="auto"/>
        </w:rPr>
        <w:t>” means the initial Registration Statement filed pursuant to Section 4.12 of this Agreement.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have the meaning ascribed to such term in Section 3.1(p).</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Legend Removal Date</w:t>
      </w:r>
      <w:r>
        <w:rPr>
          <w:rFonts w:ascii="Arial" w:cs="Arial" w:eastAsia="Arial" w:hAnsi="Arial"/>
          <w:sz w:val="17"/>
          <w:szCs w:val="17"/>
          <w:color w:val="auto"/>
        </w:rPr>
        <w:t>” shall have the meaning ascribed to such term in Section 4.1(c).</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have the meaning assigned to such term in Section 3.1(b).</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Permits</w:t>
      </w:r>
      <w:r>
        <w:rPr>
          <w:rFonts w:ascii="Arial" w:cs="Arial" w:eastAsia="Arial" w:hAnsi="Arial"/>
          <w:sz w:val="17"/>
          <w:szCs w:val="17"/>
          <w:color w:val="auto"/>
        </w:rPr>
        <w:t>” shall have the meaning ascribed to such term in Section 3.1(n).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Rate</w:t>
      </w:r>
      <w:r>
        <w:rPr>
          <w:rFonts w:ascii="Arial" w:cs="Arial" w:eastAsia="Arial" w:hAnsi="Arial"/>
          <w:sz w:val="17"/>
          <w:szCs w:val="17"/>
          <w:color w:val="auto"/>
        </w:rPr>
        <w:t>” shall have the meaning ascribed to such term in Section 5.17.</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Pharmaceutical Product</w:t>
      </w:r>
      <w:r>
        <w:rPr>
          <w:rFonts w:ascii="Arial" w:cs="Arial" w:eastAsia="Arial" w:hAnsi="Arial"/>
          <w:sz w:val="17"/>
          <w:szCs w:val="17"/>
          <w:color w:val="auto"/>
        </w:rPr>
        <w:t>” shall have the meaning ascribed to such term in Section 3.1(ll).</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means the up to 4,000,000 shares of the Company’s 10% Series B Convertible Preferred Stock issued hereunder having the rights, preferences and privileges set forth in the Certificate of Designation,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89"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 action, claim, suit, investigation or proceeding (including, without limitation, an informal investigation or partial proceeding, such as a deposition), whether commenced or threatened.</w:t>
      </w:r>
    </w:p>
    <w:p>
      <w:pPr>
        <w:spacing w:after="0" w:line="189"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Information Failure</w:t>
      </w:r>
      <w:r>
        <w:rPr>
          <w:rFonts w:ascii="Arial" w:cs="Arial" w:eastAsia="Arial" w:hAnsi="Arial"/>
          <w:sz w:val="17"/>
          <w:szCs w:val="17"/>
          <w:color w:val="auto"/>
        </w:rPr>
        <w:t>” shall have the meaning ascribed to such term in Section 4.3(b).</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Information Failure Payments</w:t>
      </w:r>
      <w:r>
        <w:rPr>
          <w:rFonts w:ascii="Arial" w:cs="Arial" w:eastAsia="Arial" w:hAnsi="Arial"/>
          <w:sz w:val="17"/>
          <w:szCs w:val="17"/>
          <w:color w:val="auto"/>
        </w:rPr>
        <w:t>” shall have the meaning ascribed to such term in Section 4.3(b).</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Party</w:t>
      </w:r>
      <w:r>
        <w:rPr>
          <w:rFonts w:ascii="Arial" w:cs="Arial" w:eastAsia="Arial" w:hAnsi="Arial"/>
          <w:sz w:val="17"/>
          <w:szCs w:val="17"/>
          <w:color w:val="auto"/>
        </w:rPr>
        <w:t>” shall have the meaning ascribed to such term in Section 4.10.</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w:t>
      </w:r>
      <w:r>
        <w:rPr>
          <w:rFonts w:ascii="Arial" w:cs="Arial" w:eastAsia="Arial" w:hAnsi="Arial"/>
          <w:sz w:val="17"/>
          <w:szCs w:val="17"/>
          <w:color w:val="auto"/>
        </w:rPr>
        <w:t>” shall have the meaning ascribed to such term in Section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3" w:name="page34"/>
    <w:bookmarkEnd w:id="33"/>
    <w:p>
      <w:pPr>
        <w:jc w:val="both"/>
        <w:ind w:firstLine="619"/>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means, as of any date of determination, (a) all of the shares of Common Stock then issued and issuable upon conversion in full of the Preferred Stock (assuming on such date the shares of Preferred Stock are converted in full without regard to any conversion limitations therein),</w:t>
      </w:r>
    </w:p>
    <w:p>
      <w:pPr>
        <w:spacing w:after="0" w:line="1" w:lineRule="exact"/>
        <w:rPr>
          <w:sz w:val="20"/>
          <w:szCs w:val="20"/>
          <w:color w:val="auto"/>
        </w:rPr>
      </w:pPr>
    </w:p>
    <w:p>
      <w:pPr>
        <w:jc w:val="both"/>
        <w:ind w:firstLine="3"/>
        <w:spacing w:after="0" w:line="272"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all Warrant Shares then issued and issuable upon exercise of the Warrants (assuming on such date the Warrants are exercised in full without regard to any exercise limitations therein), and (c) any securities issued or then issuable upon any stock split, dividend or other distribution, recapitalization or similar event with respect to the foregoing pursuant to Section 7 of the Certificate of Designation; </w:t>
      </w:r>
      <w:r>
        <w:rPr>
          <w:rFonts w:ascii="Arial" w:cs="Arial" w:eastAsia="Arial" w:hAnsi="Arial"/>
          <w:sz w:val="16"/>
          <w:szCs w:val="16"/>
          <w:i w:val="1"/>
          <w:iCs w:val="1"/>
          <w:u w:val="single" w:color="auto"/>
          <w:color w:val="auto"/>
        </w:rPr>
        <w:t>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each of the Warrants), as reasonably determined by the Company, upon the advice of counsel to the Company.</w:t>
      </w:r>
    </w:p>
    <w:p>
      <w:pPr>
        <w:spacing w:after="0" w:line="197"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 registration statement meeting the requirements set forth in Section 4.12 and covering the resale of the Underlying Shares by each Purchaser.</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Approvals</w:t>
      </w:r>
      <w:r>
        <w:rPr>
          <w:rFonts w:ascii="Arial" w:cs="Arial" w:eastAsia="Arial" w:hAnsi="Arial"/>
          <w:sz w:val="17"/>
          <w:szCs w:val="17"/>
          <w:color w:val="auto"/>
        </w:rPr>
        <w:t>” shall have the meaning ascribed to such term in Section 3.1(e).</w:t>
      </w:r>
    </w:p>
    <w:p>
      <w:pPr>
        <w:spacing w:after="0" w:line="243" w:lineRule="exact"/>
        <w:rPr>
          <w:sz w:val="20"/>
          <w:szCs w:val="20"/>
          <w:color w:val="auto"/>
        </w:rPr>
      </w:pPr>
    </w:p>
    <w:p>
      <w:pPr>
        <w:jc w:val="both"/>
        <w:ind w:firstLine="619"/>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Minimum</w:t>
      </w:r>
      <w:r>
        <w:rPr>
          <w:rFonts w:ascii="Arial" w:cs="Arial" w:eastAsia="Arial" w:hAnsi="Arial"/>
          <w:sz w:val="15"/>
          <w:szCs w:val="15"/>
          <w:color w:val="auto"/>
        </w:rPr>
        <w:t>” means, as of any date, the maximum aggregate number of shares of Common Stock then issued or potentially issuable in the future pursuant to the Transaction Documents, including any Underlying Shares issuable upon exercise in full of all Warrants or conversion in full of all shares of Preferred Stock, ignoring any conversion or exercise limits set forth therein, and assuming that any previously unconverted shares of Preferred Stock are held until the third anniversary of the Initial Closing Date and all dividends are paid in shares of Common Stock until such third anniversary.</w:t>
      </w:r>
    </w:p>
    <w:p>
      <w:pPr>
        <w:spacing w:after="0" w:line="17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3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 Reports</w:t>
      </w:r>
      <w:r>
        <w:rPr>
          <w:rFonts w:ascii="Arial" w:cs="Arial" w:eastAsia="Arial" w:hAnsi="Arial"/>
          <w:sz w:val="17"/>
          <w:szCs w:val="17"/>
          <w:color w:val="auto"/>
        </w:rPr>
        <w:t>” shall have the meaning ascribed to such term in Section 3.1(h).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the Preferred Stock, the Warrants, the Warrant Shares and the Underlying Shares.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 Sales</w:t>
      </w:r>
      <w:r>
        <w:rPr>
          <w:rFonts w:ascii="Arial" w:cs="Arial" w:eastAsia="Arial" w:hAnsi="Arial"/>
          <w:sz w:val="17"/>
          <w:szCs w:val="17"/>
          <w:color w:val="auto"/>
        </w:rPr>
        <w:t>” means all “short sales” as defined in Rule 200 of Regulation SHO under the Exchange Act (but shall not be deemed to include the location and/or reservation of borrowable shares of Common Stock).</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Value</w:t>
      </w:r>
      <w:r>
        <w:rPr>
          <w:rFonts w:ascii="Arial" w:cs="Arial" w:eastAsia="Arial" w:hAnsi="Arial"/>
          <w:sz w:val="17"/>
          <w:szCs w:val="17"/>
          <w:color w:val="auto"/>
        </w:rPr>
        <w:t>” means $7.00 per share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553720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4" w:name="page35"/>
    <w:bookmarkEnd w:id="34"/>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Amount</w:t>
      </w:r>
      <w:r>
        <w:rPr>
          <w:rFonts w:ascii="Arial" w:cs="Arial" w:eastAsia="Arial" w:hAnsi="Arial"/>
          <w:sz w:val="17"/>
          <w:szCs w:val="17"/>
          <w:color w:val="auto"/>
        </w:rPr>
        <w:t>” shall mean, as to each Purchaser, the aggregate amount to be paid for the Preferred Stock purchased hereunder as specified below such Purchaser’s name on the signature page of this Agreement and next to the heading “Subscription Amount,” in either (i) United States dollars and in immediately available funds or (ii) through the cancellation of the Existing Indebtedness.</w:t>
      </w:r>
    </w:p>
    <w:p>
      <w:pPr>
        <w:spacing w:after="0" w:line="202"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any subsidiary of the Company as set forth on </w:t>
      </w:r>
      <w:r>
        <w:rPr>
          <w:rFonts w:ascii="Arial" w:cs="Arial" w:eastAsia="Arial" w:hAnsi="Arial"/>
          <w:sz w:val="17"/>
          <w:szCs w:val="17"/>
          <w:u w:val="single" w:color="auto"/>
          <w:color w:val="auto"/>
        </w:rPr>
        <w:t>Schedule 3.1(a)</w:t>
      </w:r>
      <w:r>
        <w:rPr>
          <w:rFonts w:ascii="Arial" w:cs="Arial" w:eastAsia="Arial" w:hAnsi="Arial"/>
          <w:sz w:val="17"/>
          <w:szCs w:val="17"/>
          <w:color w:val="auto"/>
        </w:rPr>
        <w:t xml:space="preserve"> and shall, where applicable, also include any direct or indirect subsidiary of the Company formed or acquired after the date hereof.</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Sheet</w:t>
      </w:r>
      <w:r>
        <w:rPr>
          <w:rFonts w:ascii="Arial" w:cs="Arial" w:eastAsia="Arial" w:hAnsi="Arial"/>
          <w:sz w:val="17"/>
          <w:szCs w:val="17"/>
          <w:color w:val="auto"/>
        </w:rPr>
        <w:t xml:space="preserve">” means the Summary of Terms attached to this Agreement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principal Trading Market is open for trading.</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OTCQB or OTCQX (or any successors to any of the foregoing).</w:t>
      </w:r>
    </w:p>
    <w:p>
      <w:pPr>
        <w:spacing w:after="0" w:line="202"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Certificate of Designation, the Warrants, all exhibits and schedules thereto and hereto and any other documents or agreements executed in connection with the transactions contemplated hereunder.</w:t>
      </w:r>
    </w:p>
    <w:p>
      <w:pPr>
        <w:spacing w:after="0" w:line="188"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Agent</w:t>
      </w:r>
      <w:r>
        <w:rPr>
          <w:rFonts w:ascii="Arial" w:cs="Arial" w:eastAsia="Arial" w:hAnsi="Arial"/>
          <w:sz w:val="17"/>
          <w:szCs w:val="17"/>
          <w:color w:val="auto"/>
        </w:rPr>
        <w:t>” means Computershare, the current transfer agent of the Company, with a mailing address of 480 Washington Blvd., 29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Jersey City, NJ 07310 and a facsimile number of 201-680-2026, and any successor transfer agent of the Company.</w:t>
      </w:r>
    </w:p>
    <w:p>
      <w:pPr>
        <w:spacing w:after="0" w:line="22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Shares</w:t>
      </w:r>
      <w:r>
        <w:rPr>
          <w:rFonts w:ascii="Arial" w:cs="Arial" w:eastAsia="Arial" w:hAnsi="Arial"/>
          <w:sz w:val="17"/>
          <w:szCs w:val="17"/>
          <w:color w:val="auto"/>
        </w:rPr>
        <w:t>” means the shares of Common Stock issued and issuable upon conversion, upon exercise of the Warrants and issued and, except with respect to Registration Rights, Registrable Securities and Registration Statement, issuable in lieu of the cash payment of dividends on the Preferred Stock in accordance with the terms of the Certificate of Designation.</w:t>
      </w:r>
    </w:p>
    <w:p>
      <w:pPr>
        <w:spacing w:after="0" w:line="202" w:lineRule="exact"/>
        <w:rPr>
          <w:sz w:val="20"/>
          <w:szCs w:val="20"/>
          <w:color w:val="auto"/>
        </w:rPr>
      </w:pPr>
    </w:p>
    <w:p>
      <w:pPr>
        <w:jc w:val="both"/>
        <w:ind w:firstLine="675"/>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xml:space="preserve">” means, collectively, the Common Stock purchase warrants delivered to the Purchasers at each Closing in accordance with Section 2.2(a) hereof, which Warrants shall be exercisable immediately and have a term of exercise equal to five years,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553720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5" w:name="page36"/>
    <w:bookmarkEnd w:id="35"/>
    <w:p>
      <w:pPr>
        <w:jc w:val="center"/>
        <w:ind w:right="620"/>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PURCHASE AND SALE</w:t>
      </w:r>
    </w:p>
    <w:p>
      <w:pPr>
        <w:spacing w:after="0" w:line="2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u w:val="single" w:color="auto"/>
          <w:color w:val="auto"/>
        </w:rPr>
        <w:t>Closing</w:t>
      </w:r>
      <w:r>
        <w:rPr>
          <w:rFonts w:ascii="Arial" w:cs="Arial" w:eastAsia="Arial" w:hAnsi="Arial"/>
          <w:sz w:val="15"/>
          <w:szCs w:val="15"/>
          <w:color w:val="auto"/>
        </w:rPr>
        <w:t>.</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Initial Closing</w:t>
      </w:r>
      <w:r>
        <w:rPr>
          <w:rFonts w:ascii="Arial" w:cs="Arial" w:eastAsia="Arial" w:hAnsi="Arial"/>
          <w:sz w:val="16"/>
          <w:szCs w:val="16"/>
          <w:color w:val="auto"/>
        </w:rPr>
        <w:t>. On the Initial Closing Date (the “</w:t>
      </w:r>
      <w:r>
        <w:rPr>
          <w:rFonts w:ascii="Arial" w:cs="Arial" w:eastAsia="Arial" w:hAnsi="Arial"/>
          <w:sz w:val="16"/>
          <w:szCs w:val="16"/>
          <w:u w:val="single" w:color="auto"/>
          <w:color w:val="auto"/>
        </w:rPr>
        <w:t>Initial Closing</w:t>
      </w:r>
      <w:r>
        <w:rPr>
          <w:rFonts w:ascii="Arial" w:cs="Arial" w:eastAsia="Arial" w:hAnsi="Arial"/>
          <w:sz w:val="16"/>
          <w:szCs w:val="16"/>
          <w:color w:val="auto"/>
        </w:rPr>
        <w:t>”), and at each Additional Closing, as such term is defined in Section 2.2.2 below (each a “</w:t>
      </w:r>
      <w:r>
        <w:rPr>
          <w:rFonts w:ascii="Arial" w:cs="Arial" w:eastAsia="Arial" w:hAnsi="Arial"/>
          <w:sz w:val="16"/>
          <w:szCs w:val="16"/>
          <w:u w:val="single" w:color="auto"/>
          <w:color w:val="auto"/>
        </w:rPr>
        <w:t>Closing</w:t>
      </w:r>
      <w:r>
        <w:rPr>
          <w:rFonts w:ascii="Arial" w:cs="Arial" w:eastAsia="Arial" w:hAnsi="Arial"/>
          <w:sz w:val="16"/>
          <w:szCs w:val="16"/>
          <w:color w:val="auto"/>
        </w:rPr>
        <w:t>”), upon the terms and subject to the conditions set forth herein, substantially concurrent with the execution and delivery of this Agreement by the parties hereto, the Company agrees to sell, and the Purchasers, severally and not jointly, agree to purchase, up to an aggregate of $20,000,000 of shares of Preferred Stock with an aggregate Stated Value for each Purchaser equal to such Purchaser’s Subscription Amount as set forth on the signature page hereto executed by such Purchaser, and Warrants as determined pursuant to Section 2.2(a). The aggregate number of shares of Preferred Stock sold hereunder shall be up to 4,000,000. Each Purchaser (other than Purchases to the extent the same are paying their Subscription Amount partly or wholly through cancellation of Existing Indebtedness) shall deliver to the Company, via wire transfer or a certified check, immediately available funds equal to its Subscription Amount and the Company shall deliver to each Purchaser its respective shares of Preferred Stock and Warrants as determined pursuant to Section 2.2(a), and the Company and each Purchaser shall deliver the other items set forth in Section 2.2 deliverable at the Initial Closing. Upon satisfaction of the covenants and conditions set forth in Sections 2.2 and 2.3, the Initial Closing and each additional Closing shall occur at the offices of Company Counsel or such other location as the parties shall mutually agree.</w:t>
      </w:r>
    </w:p>
    <w:p>
      <w:pPr>
        <w:spacing w:after="0" w:line="20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Closings</w:t>
      </w:r>
      <w:r>
        <w:rPr>
          <w:rFonts w:ascii="Arial" w:cs="Arial" w:eastAsia="Arial" w:hAnsi="Arial"/>
          <w:sz w:val="17"/>
          <w:szCs w:val="17"/>
          <w:color w:val="auto"/>
        </w:rPr>
        <w:t>. At any time and from time to time during the sixty (60) day period immediately following the Initial Closing (the “</w:t>
      </w:r>
      <w:r>
        <w:rPr>
          <w:rFonts w:ascii="Arial" w:cs="Arial" w:eastAsia="Arial" w:hAnsi="Arial"/>
          <w:sz w:val="17"/>
          <w:szCs w:val="17"/>
          <w:u w:val="single" w:color="auto"/>
          <w:color w:val="auto"/>
        </w:rPr>
        <w:t>Additional Closing Period</w:t>
      </w:r>
      <w:r>
        <w:rPr>
          <w:rFonts w:ascii="Arial" w:cs="Arial" w:eastAsia="Arial" w:hAnsi="Arial"/>
          <w:sz w:val="17"/>
          <w:szCs w:val="17"/>
          <w:color w:val="auto"/>
        </w:rPr>
        <w:t>”), the Company may, at one or more additional Closings (each, and “</w:t>
      </w:r>
      <w:r>
        <w:rPr>
          <w:rFonts w:ascii="Arial" w:cs="Arial" w:eastAsia="Arial" w:hAnsi="Arial"/>
          <w:sz w:val="17"/>
          <w:szCs w:val="17"/>
          <w:u w:val="single" w:color="auto"/>
          <w:color w:val="auto"/>
        </w:rPr>
        <w:t>Additional Closing</w:t>
      </w:r>
      <w:r>
        <w:rPr>
          <w:rFonts w:ascii="Arial" w:cs="Arial" w:eastAsia="Arial" w:hAnsi="Arial"/>
          <w:sz w:val="17"/>
          <w:szCs w:val="17"/>
          <w:color w:val="auto"/>
        </w:rPr>
        <w:t>” and together with the Initial Closing, each a “</w:t>
      </w:r>
      <w:r>
        <w:rPr>
          <w:rFonts w:ascii="Arial" w:cs="Arial" w:eastAsia="Arial" w:hAnsi="Arial"/>
          <w:sz w:val="17"/>
          <w:szCs w:val="17"/>
          <w:u w:val="single" w:color="auto"/>
          <w:color w:val="auto"/>
        </w:rPr>
        <w:t>Closing</w:t>
      </w:r>
      <w:r>
        <w:rPr>
          <w:rFonts w:ascii="Arial" w:cs="Arial" w:eastAsia="Arial" w:hAnsi="Arial"/>
          <w:sz w:val="17"/>
          <w:szCs w:val="17"/>
          <w:color w:val="auto"/>
        </w:rPr>
        <w:t>”), without obtaining the signature, consent or permission of any of the Purchasers in the Initial Closing or any prior Additional Closing, offer and sell to other investors (the “</w:t>
      </w:r>
      <w:r>
        <w:rPr>
          <w:rFonts w:ascii="Arial" w:cs="Arial" w:eastAsia="Arial" w:hAnsi="Arial"/>
          <w:sz w:val="17"/>
          <w:szCs w:val="17"/>
          <w:u w:val="single" w:color="auto"/>
          <w:color w:val="auto"/>
        </w:rPr>
        <w:t>New Purchasers</w:t>
      </w:r>
      <w:r>
        <w:rPr>
          <w:rFonts w:ascii="Arial" w:cs="Arial" w:eastAsia="Arial" w:hAnsi="Arial"/>
          <w:sz w:val="17"/>
          <w:szCs w:val="17"/>
          <w:color w:val="auto"/>
        </w:rPr>
        <w:t>”), additional shares of Preferred Stock on the same terms and conditions applicable to those Purchasers purchasing Preferred Stock at the Initial Closing. The Company and each of the New Purchasers purchasing shares of Preferred Stock at each Additional Closing will execute counterpart signature pages to this Agreement and each New Purchaser will, upon delivery by such New Purchaser and acceptance by the Company of such New Purchaser’s signature page, become a party to, and bound by, this Agreement to the same extent as if such New Purchaser had been a Purchaser at the Initial Closing and each such New Purchaser shall be deemed to be a Purchaser for all purposes under this Agreement as of the date of the applicable Additional Closing.</w:t>
      </w:r>
    </w:p>
    <w:p>
      <w:pPr>
        <w:spacing w:after="0" w:line="200" w:lineRule="exact"/>
        <w:rPr>
          <w:sz w:val="20"/>
          <w:szCs w:val="20"/>
          <w:color w:val="auto"/>
        </w:rPr>
      </w:pPr>
    </w:p>
    <w:p>
      <w:pPr>
        <w:spacing w:after="0" w:line="24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Deliveries</w:t>
      </w:r>
      <w:r>
        <w:rPr>
          <w:rFonts w:ascii="Arial" w:cs="Arial" w:eastAsia="Arial" w:hAnsi="Arial"/>
          <w:sz w:val="15"/>
          <w:szCs w:val="15"/>
          <w:color w:val="auto"/>
        </w:rPr>
        <w:t>.</w:t>
      </w:r>
    </w:p>
    <w:p>
      <w:pPr>
        <w:spacing w:after="0" w:line="243" w:lineRule="exact"/>
        <w:rPr>
          <w:sz w:val="20"/>
          <w:szCs w:val="20"/>
          <w:color w:val="auto"/>
        </w:rPr>
      </w:pPr>
    </w:p>
    <w:p>
      <w:pPr>
        <w:ind w:left="1280" w:hanging="658"/>
        <w:spacing w:after="0"/>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or prior to each Closing, the Company shall deliver or cause to be delivered to each Purchaser the following:</w:t>
      </w:r>
    </w:p>
    <w:p>
      <w:pPr>
        <w:spacing w:after="0" w:line="243" w:lineRule="exact"/>
        <w:rPr>
          <w:rFonts w:ascii="Arial" w:cs="Arial" w:eastAsia="Arial" w:hAnsi="Arial"/>
          <w:sz w:val="17"/>
          <w:szCs w:val="17"/>
          <w:color w:val="auto"/>
        </w:rPr>
      </w:pPr>
    </w:p>
    <w:p>
      <w:pPr>
        <w:ind w:left="1860" w:hanging="618"/>
        <w:spacing w:after="0"/>
        <w:tabs>
          <w:tab w:leader="none" w:pos="18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this Agreement duly executed by the Company;</w:t>
      </w:r>
    </w:p>
    <w:p>
      <w:pPr>
        <w:spacing w:after="0" w:line="243" w:lineRule="exact"/>
        <w:rPr>
          <w:rFonts w:ascii="Arial" w:cs="Arial" w:eastAsia="Arial" w:hAnsi="Arial"/>
          <w:sz w:val="17"/>
          <w:szCs w:val="17"/>
          <w:color w:val="auto"/>
        </w:rPr>
      </w:pPr>
    </w:p>
    <w:p>
      <w:pPr>
        <w:jc w:val="both"/>
        <w:ind w:left="620" w:firstLine="622"/>
        <w:spacing w:after="0" w:line="260" w:lineRule="auto"/>
        <w:tabs>
          <w:tab w:leader="none" w:pos="195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a legal opinion of Company Counsel,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requirement to deliver a legal opinion under this Section 2.2(a)(ii) shall only apply to the Initial Closing at which the Company is obligated to issue Preferred Stock in connection with the conversion of the Platinum Notes, and at each Additional Closing where the aggregate purchase price paid at such Additional Closing by an Additional Purchaser equals or exceeds at each Additional Closing at least $1.0 million in cash or other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529590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728" w:right="239" w:bottom="1440" w:gutter="0" w:footer="0" w:header="0"/>
        </w:sectPr>
      </w:pPr>
    </w:p>
    <w:bookmarkStart w:id="36" w:name="page37"/>
    <w:bookmarkEnd w:id="36"/>
    <w:p>
      <w:pPr>
        <w:jc w:val="both"/>
        <w:ind w:left="620" w:firstLine="622"/>
        <w:spacing w:after="0" w:line="260" w:lineRule="auto"/>
        <w:tabs>
          <w:tab w:leader="none" w:pos="2059"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a certificate evidencing a number of shares of Preferred Stock equal to such Purchaser’s Subscription Amount divided by the Stated Value, registered in the name of such Purchaser and evidence of the filing and acceptance of the Certificate of Designation from the Secretary of State of Nevada;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requirement to deliver evidence of the filing and acceptance of the Certificate of Designation from the Secretary of State of Nevada under this Section 2.2(a)(ii) shall only apply to the Initial Closing at which the Company is obligated to issue Preferred Stock in connection with the conversion of the Platinum Notes; and</w:t>
      </w:r>
    </w:p>
    <w:p>
      <w:pPr>
        <w:spacing w:after="0" w:line="205" w:lineRule="exact"/>
        <w:rPr>
          <w:rFonts w:ascii="Arial" w:cs="Arial" w:eastAsia="Arial" w:hAnsi="Arial"/>
          <w:sz w:val="17"/>
          <w:szCs w:val="17"/>
          <w:color w:val="auto"/>
        </w:rPr>
      </w:pPr>
    </w:p>
    <w:p>
      <w:pPr>
        <w:jc w:val="both"/>
        <w:ind w:left="620" w:firstLine="622"/>
        <w:spacing w:after="0" w:line="262" w:lineRule="auto"/>
        <w:tabs>
          <w:tab w:leader="none" w:pos="2036"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Warrant registered in the name of such Purchaser to purchase up to a number of shares of Common Stock equal to 100% of such Purchaser’s Conversion Shares, with a fixed exercise price equal to $7.00, subject to adjustment only for stock dividends, stock splits and similar transactions pursuant to Section 7 of the Certificate of Designation (such Warrant certificate may be delivered within three Trading Days of the applicable Closing Date).</w:t>
      </w:r>
    </w:p>
    <w:p>
      <w:pPr>
        <w:spacing w:after="0" w:line="204" w:lineRule="exact"/>
        <w:rPr>
          <w:rFonts w:ascii="Arial" w:cs="Arial" w:eastAsia="Arial" w:hAnsi="Arial"/>
          <w:sz w:val="17"/>
          <w:szCs w:val="17"/>
          <w:color w:val="auto"/>
        </w:rPr>
      </w:pPr>
    </w:p>
    <w:p>
      <w:pPr>
        <w:ind w:left="1300" w:hanging="678"/>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or prior to each Closing, each Purchaser (except as noted) shall deliver or cause to be delivered to the Company, the following:</w:t>
      </w:r>
    </w:p>
    <w:p>
      <w:pPr>
        <w:spacing w:after="0" w:line="254" w:lineRule="exact"/>
        <w:rPr>
          <w:rFonts w:ascii="Arial" w:cs="Arial" w:eastAsia="Arial" w:hAnsi="Arial"/>
          <w:sz w:val="16"/>
          <w:szCs w:val="16"/>
          <w:color w:val="auto"/>
        </w:rPr>
      </w:pPr>
    </w:p>
    <w:p>
      <w:pPr>
        <w:ind w:left="1860" w:hanging="618"/>
        <w:spacing w:after="0"/>
        <w:tabs>
          <w:tab w:leader="none" w:pos="18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this Agreement duly executed by such Purchaser;</w:t>
      </w:r>
    </w:p>
    <w:p>
      <w:pPr>
        <w:spacing w:after="0" w:line="243" w:lineRule="exact"/>
        <w:rPr>
          <w:rFonts w:ascii="Arial" w:cs="Arial" w:eastAsia="Arial" w:hAnsi="Arial"/>
          <w:sz w:val="17"/>
          <w:szCs w:val="17"/>
          <w:color w:val="auto"/>
        </w:rPr>
      </w:pPr>
    </w:p>
    <w:p>
      <w:pPr>
        <w:ind w:left="620" w:firstLine="622"/>
        <w:spacing w:after="0" w:line="280" w:lineRule="auto"/>
        <w:tabs>
          <w:tab w:leader="none" w:pos="220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as to Purchasers whose Subscription Amount is being paid partly or wholly in cash, to the Company, such Purchaser’s Subscription Amount by wire transfer; and</w:t>
      </w:r>
    </w:p>
    <w:p>
      <w:pPr>
        <w:spacing w:after="0" w:line="189" w:lineRule="exact"/>
        <w:rPr>
          <w:rFonts w:ascii="Arial" w:cs="Arial" w:eastAsia="Arial" w:hAnsi="Arial"/>
          <w:sz w:val="17"/>
          <w:szCs w:val="17"/>
          <w:color w:val="auto"/>
        </w:rPr>
      </w:pPr>
    </w:p>
    <w:p>
      <w:pPr>
        <w:jc w:val="both"/>
        <w:ind w:left="620" w:firstLine="622"/>
        <w:spacing w:after="0" w:line="283" w:lineRule="auto"/>
        <w:tabs>
          <w:tab w:leader="none" w:pos="2021"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as to Purchasers whose Subscription Amount is being paid through the cancellation of Existing Indebtedness, to the Company, (A), in the case of an existing promissory note, the original promissory note being cancelled; (B), in the case of any other indebtedness, any settlement agreement executed by the parties providing for the exchange of such indebtedness into Securities offered hereunder, or the termination thereof; and any other agreement required by the Company and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w:t>
      </w:r>
    </w:p>
    <w:p>
      <w:pPr>
        <w:spacing w:after="0" w:line="19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Closing Conditions</w:t>
      </w:r>
      <w:r>
        <w:rPr>
          <w:rFonts w:ascii="Arial" w:cs="Arial" w:eastAsia="Arial" w:hAnsi="Arial"/>
          <w:sz w:val="15"/>
          <w:szCs w:val="15"/>
          <w:color w:val="auto"/>
        </w:rPr>
        <w:t>.</w:t>
      </w:r>
    </w:p>
    <w:p>
      <w:pPr>
        <w:spacing w:after="0" w:line="243" w:lineRule="exact"/>
        <w:rPr>
          <w:sz w:val="20"/>
          <w:szCs w:val="20"/>
          <w:color w:val="auto"/>
        </w:rPr>
      </w:pPr>
    </w:p>
    <w:p>
      <w:pPr>
        <w:ind w:left="1280" w:hanging="658"/>
        <w:spacing w:after="0"/>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each Closing are subject to the following conditions being met:</w:t>
      </w:r>
    </w:p>
    <w:p>
      <w:pPr>
        <w:spacing w:after="0" w:line="243" w:lineRule="exact"/>
        <w:rPr>
          <w:rFonts w:ascii="Arial" w:cs="Arial" w:eastAsia="Arial" w:hAnsi="Arial"/>
          <w:sz w:val="17"/>
          <w:szCs w:val="17"/>
          <w:color w:val="auto"/>
        </w:rPr>
      </w:pPr>
    </w:p>
    <w:p>
      <w:pPr>
        <w:jc w:val="both"/>
        <w:ind w:left="620" w:firstLine="622"/>
        <w:spacing w:after="0" w:line="266" w:lineRule="auto"/>
        <w:tabs>
          <w:tab w:leader="none" w:pos="2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on the applicable Closing Date of the representations and warranties of the Purchasers contained herein (unless as of a specific date therein in which case they shall be accurate as of such date);</w:t>
      </w:r>
    </w:p>
    <w:p>
      <w:pPr>
        <w:spacing w:after="0" w:line="201" w:lineRule="exact"/>
        <w:rPr>
          <w:rFonts w:ascii="Arial" w:cs="Arial" w:eastAsia="Arial" w:hAnsi="Arial"/>
          <w:sz w:val="17"/>
          <w:szCs w:val="17"/>
          <w:color w:val="auto"/>
        </w:rPr>
      </w:pPr>
    </w:p>
    <w:p>
      <w:pPr>
        <w:ind w:left="620" w:firstLine="622"/>
        <w:spacing w:after="0" w:line="280" w:lineRule="auto"/>
        <w:tabs>
          <w:tab w:leader="none" w:pos="19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obligations, covenants and agreements of each Purchaser required to be performed at or prior to the applicable Closing Date shall have been performed; and</w:t>
      </w:r>
    </w:p>
    <w:p>
      <w:pPr>
        <w:spacing w:after="0" w:line="189" w:lineRule="exact"/>
        <w:rPr>
          <w:rFonts w:ascii="Arial" w:cs="Arial" w:eastAsia="Arial" w:hAnsi="Arial"/>
          <w:sz w:val="17"/>
          <w:szCs w:val="17"/>
          <w:color w:val="auto"/>
        </w:rPr>
      </w:pPr>
    </w:p>
    <w:p>
      <w:pPr>
        <w:ind w:left="1980" w:hanging="738"/>
        <w:spacing w:after="0"/>
        <w:tabs>
          <w:tab w:leader="none" w:pos="1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delivery by each Purchaser of the items set forth in Section 2.2(b) of this Agreement.</w:t>
      </w:r>
    </w:p>
    <w:p>
      <w:pPr>
        <w:spacing w:after="0" w:line="243" w:lineRule="exact"/>
        <w:rPr>
          <w:rFonts w:ascii="Arial" w:cs="Arial" w:eastAsia="Arial" w:hAnsi="Arial"/>
          <w:sz w:val="17"/>
          <w:szCs w:val="17"/>
          <w:color w:val="auto"/>
        </w:rPr>
      </w:pPr>
    </w:p>
    <w:p>
      <w:pPr>
        <w:ind w:left="1340" w:hanging="718"/>
        <w:spacing w:after="0"/>
        <w:tabs>
          <w:tab w:leader="none" w:pos="1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respective obligations of the Purchasers hereunder in connection with the applicable Closing are subject to the following conditions</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being met:</w:t>
      </w:r>
    </w:p>
    <w:p>
      <w:pPr>
        <w:spacing w:after="0" w:line="232" w:lineRule="exact"/>
        <w:rPr>
          <w:rFonts w:ascii="Arial" w:cs="Arial" w:eastAsia="Arial" w:hAnsi="Arial"/>
          <w:sz w:val="15"/>
          <w:szCs w:val="15"/>
          <w:color w:val="auto"/>
        </w:rPr>
      </w:pPr>
    </w:p>
    <w:p>
      <w:pPr>
        <w:jc w:val="both"/>
        <w:ind w:left="620" w:firstLine="622"/>
        <w:spacing w:after="0" w:line="266" w:lineRule="auto"/>
        <w:tabs>
          <w:tab w:leader="none" w:pos="2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applicable Closing Date of the representations and warranties of the Company contained herein (unless as of a specific date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527050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7" w:name="page38"/>
    <w:bookmarkEnd w:id="37"/>
    <w:p>
      <w:pPr>
        <w:ind w:left="1240" w:firstLine="622"/>
        <w:spacing w:after="0" w:line="280" w:lineRule="auto"/>
        <w:tabs>
          <w:tab w:leader="none" w:pos="26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obligations, covenants and agreements of the Company required to be performed at or prior to the applicable Closing Date shall have been performed;</w:t>
      </w:r>
    </w:p>
    <w:p>
      <w:pPr>
        <w:spacing w:after="0" w:line="189" w:lineRule="exact"/>
        <w:rPr>
          <w:rFonts w:ascii="Arial" w:cs="Arial" w:eastAsia="Arial" w:hAnsi="Arial"/>
          <w:sz w:val="17"/>
          <w:szCs w:val="17"/>
          <w:color w:val="auto"/>
        </w:rPr>
      </w:pPr>
    </w:p>
    <w:p>
      <w:pPr>
        <w:ind w:left="2600" w:hanging="738"/>
        <w:spacing w:after="0"/>
        <w:tabs>
          <w:tab w:leader="none" w:pos="2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delivery by the Company of the items set forth in Section 2.2(a) of this Agreement;</w:t>
      </w:r>
    </w:p>
    <w:p>
      <w:pPr>
        <w:spacing w:after="0" w:line="243" w:lineRule="exact"/>
        <w:rPr>
          <w:rFonts w:ascii="Arial" w:cs="Arial" w:eastAsia="Arial" w:hAnsi="Arial"/>
          <w:sz w:val="17"/>
          <w:szCs w:val="17"/>
          <w:color w:val="auto"/>
        </w:rPr>
      </w:pPr>
    </w:p>
    <w:p>
      <w:pPr>
        <w:ind w:left="2580" w:hanging="718"/>
        <w:spacing w:after="0"/>
        <w:tabs>
          <w:tab w:leader="none" w:pos="2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shall have been no Material Adverse Effect with respect to the Company since the date hereof; and</w:t>
      </w:r>
    </w:p>
    <w:p>
      <w:pPr>
        <w:spacing w:after="0" w:line="243" w:lineRule="exact"/>
        <w:rPr>
          <w:rFonts w:ascii="Arial" w:cs="Arial" w:eastAsia="Arial" w:hAnsi="Arial"/>
          <w:sz w:val="17"/>
          <w:szCs w:val="17"/>
          <w:color w:val="auto"/>
        </w:rPr>
      </w:pPr>
    </w:p>
    <w:p>
      <w:pPr>
        <w:jc w:val="both"/>
        <w:ind w:left="1240" w:firstLine="622"/>
        <w:spacing w:after="0" w:line="276" w:lineRule="auto"/>
        <w:tabs>
          <w:tab w:leader="none" w:pos="27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from the date hereof to the applicable Closing Date, trading in the Common Stock shall not have been suspended by the Commission or the Company’s principal Trading Market and, at any time prior to the applicable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applicable Closing.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23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202" w:lineRule="exact"/>
        <w:rPr>
          <w:sz w:val="20"/>
          <w:szCs w:val="20"/>
          <w:color w:val="auto"/>
        </w:rPr>
      </w:pPr>
    </w:p>
    <w:p>
      <w:pPr>
        <w:jc w:val="both"/>
        <w:ind w:left="620" w:firstLine="622"/>
        <w:spacing w:after="0" w:line="308" w:lineRule="auto"/>
        <w:tabs>
          <w:tab w:leader="none" w:pos="1929"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All of the direct and indirect subsidiaries of the Company are set forth on </w:t>
      </w:r>
      <w:r>
        <w:rPr>
          <w:rFonts w:ascii="Arial" w:cs="Arial" w:eastAsia="Arial" w:hAnsi="Arial"/>
          <w:sz w:val="15"/>
          <w:szCs w:val="15"/>
          <w:u w:val="single" w:color="auto"/>
          <w:color w:val="auto"/>
        </w:rPr>
        <w:t>Schedule 3.1(a)</w:t>
      </w:r>
      <w:r>
        <w:rPr>
          <w:rFonts w:ascii="Arial" w:cs="Arial" w:eastAsia="Arial" w:hAnsi="Arial"/>
          <w:sz w:val="15"/>
          <w:szCs w:val="15"/>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2" w:lineRule="exact"/>
        <w:rPr>
          <w:rFonts w:ascii="Arial" w:cs="Arial" w:eastAsia="Arial" w:hAnsi="Arial"/>
          <w:sz w:val="15"/>
          <w:szCs w:val="15"/>
          <w:color w:val="auto"/>
        </w:rPr>
      </w:pPr>
    </w:p>
    <w:p>
      <w:pPr>
        <w:jc w:val="both"/>
        <w:ind w:left="620" w:firstLine="622"/>
        <w:spacing w:after="0" w:line="273" w:lineRule="auto"/>
        <w:tabs>
          <w:tab w:leader="none" w:pos="192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8" w:name="page39"/>
    <w:bookmarkEnd w:id="38"/>
    <w:p>
      <w:pPr>
        <w:jc w:val="both"/>
        <w:ind w:left="-580" w:firstLine="622"/>
        <w:spacing w:after="0" w:line="273" w:lineRule="auto"/>
        <w:tabs>
          <w:tab w:leader="none" w:pos="96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1" w:lineRule="exact"/>
        <w:rPr>
          <w:rFonts w:ascii="Arial" w:cs="Arial" w:eastAsia="Arial" w:hAnsi="Arial"/>
          <w:sz w:val="16"/>
          <w:szCs w:val="16"/>
          <w:color w:val="auto"/>
        </w:rPr>
      </w:pPr>
    </w:p>
    <w:p>
      <w:pPr>
        <w:jc w:val="both"/>
        <w:ind w:left="-580" w:firstLine="622"/>
        <w:spacing w:after="0" w:line="293" w:lineRule="auto"/>
        <w:tabs>
          <w:tab w:leader="none" w:pos="855"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7" w:lineRule="exact"/>
        <w:rPr>
          <w:rFonts w:ascii="Arial" w:cs="Arial" w:eastAsia="Arial" w:hAnsi="Arial"/>
          <w:sz w:val="15"/>
          <w:szCs w:val="15"/>
          <w:color w:val="auto"/>
        </w:rPr>
      </w:pPr>
    </w:p>
    <w:p>
      <w:pPr>
        <w:jc w:val="both"/>
        <w:ind w:left="-580" w:firstLine="622"/>
        <w:spacing w:after="0" w:line="257" w:lineRule="auto"/>
        <w:tabs>
          <w:tab w:leader="none" w:pos="75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 of the Registration Statement with the Commission pursuant to Section 4.12, (iii) the notice and/or application(s) to each applicable Trading Market for the issuance and sale of the Securities and the listing of the Underlying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jc w:val="both"/>
        <w:ind w:left="-580" w:firstLine="622"/>
        <w:spacing w:after="0" w:line="258" w:lineRule="auto"/>
        <w:tabs>
          <w:tab w:leader="none" w:pos="68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Issuance of the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Underlying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a number of shares of Common Stock for issuance of the Underlying Shares at least equal to the Required Minimum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532765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39" w:name="page40"/>
    <w:bookmarkEnd w:id="39"/>
    <w:p>
      <w:pPr>
        <w:jc w:val="both"/>
        <w:ind w:left="-580" w:firstLine="622"/>
        <w:spacing w:after="0" w:line="271" w:lineRule="auto"/>
        <w:tabs>
          <w:tab w:leader="none" w:pos="71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and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Arial" w:cs="Arial" w:eastAsia="Arial" w:hAnsi="Arial"/>
          <w:sz w:val="16"/>
          <w:szCs w:val="16"/>
          <w:color w:val="auto"/>
        </w:rPr>
      </w:pPr>
    </w:p>
    <w:p>
      <w:pPr>
        <w:jc w:val="both"/>
        <w:ind w:left="-580" w:firstLine="622"/>
        <w:spacing w:after="0" w:line="292" w:lineRule="auto"/>
        <w:tabs>
          <w:tab w:leader="none" w:pos="739"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SEC Reports; Financial Statements</w:t>
      </w:r>
      <w:r>
        <w:rPr>
          <w:rFonts w:ascii="Arial" w:cs="Arial" w:eastAsia="Arial" w:hAnsi="Arial"/>
          <w:sz w:val="15"/>
          <w:szCs w:val="15"/>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5"/>
          <w:szCs w:val="15"/>
          <w:u w:val="single" w:color="auto"/>
          <w:color w:val="auto"/>
        </w:rPr>
        <w:t>SEC Reports</w:t>
      </w:r>
      <w:r>
        <w:rPr>
          <w:rFonts w:ascii="Arial" w:cs="Arial" w:eastAsia="Arial" w:hAnsi="Arial"/>
          <w:sz w:val="15"/>
          <w:szCs w:val="15"/>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5"/>
          <w:szCs w:val="15"/>
          <w:u w:val="single" w:color="auto"/>
          <w:color w:val="auto"/>
        </w:rPr>
        <w:t>GAAP</w:t>
      </w:r>
      <w:r>
        <w:rPr>
          <w:rFonts w:ascii="Arial" w:cs="Arial" w:eastAsia="Arial" w:hAnsi="Arial"/>
          <w:sz w:val="15"/>
          <w:szCs w:val="15"/>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516890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0" w:name="page41"/>
    <w:bookmarkEnd w:id="40"/>
    <w:p>
      <w:pPr>
        <w:jc w:val="both"/>
        <w:ind w:left="-3" w:firstLine="622"/>
        <w:spacing w:after="0" w:line="291" w:lineRule="auto"/>
        <w:tabs>
          <w:tab w:leader="none" w:pos="1394" w:val="left"/>
        </w:tabs>
        <w:numPr>
          <w:ilvl w:val="1"/>
          <w:numId w:val="44"/>
        </w:numPr>
        <w:rPr>
          <w:rFonts w:ascii="Arial" w:cs="Arial" w:eastAsia="Arial" w:hAnsi="Arial"/>
          <w:sz w:val="15"/>
          <w:szCs w:val="15"/>
          <w:color w:val="auto"/>
        </w:rPr>
      </w:pPr>
      <w:r>
        <w:rPr>
          <w:rFonts w:ascii="Arial" w:cs="Arial" w:eastAsia="Arial" w:hAnsi="Arial"/>
          <w:sz w:val="15"/>
          <w:szCs w:val="15"/>
          <w:u w:val="single" w:color="auto"/>
          <w:color w:val="auto"/>
        </w:rPr>
        <w:t>Material Changes; Undisclosed Events, Liabilities or Developments</w:t>
      </w:r>
      <w:r>
        <w:rPr>
          <w:rFonts w:ascii="Arial" w:cs="Arial" w:eastAsia="Arial" w:hAnsi="Arial"/>
          <w:sz w:val="15"/>
          <w:szCs w:val="15"/>
          <w:color w:val="auto"/>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w:t>
      </w:r>
    </w:p>
    <w:p>
      <w:pPr>
        <w:jc w:val="both"/>
        <w:ind w:left="-3" w:firstLine="3"/>
        <w:spacing w:after="0" w:line="273" w:lineRule="auto"/>
        <w:tabs>
          <w:tab w:leader="none" w:pos="2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6" w:lineRule="exact"/>
        <w:rPr>
          <w:rFonts w:ascii="Arial" w:cs="Arial" w:eastAsia="Arial" w:hAnsi="Arial"/>
          <w:sz w:val="16"/>
          <w:szCs w:val="16"/>
          <w:color w:val="auto"/>
        </w:rPr>
      </w:pPr>
    </w:p>
    <w:p>
      <w:pPr>
        <w:jc w:val="both"/>
        <w:ind w:left="-3" w:firstLine="622"/>
        <w:spacing w:after="0" w:line="274" w:lineRule="auto"/>
        <w:tabs>
          <w:tab w:leader="none" w:pos="126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rFonts w:ascii="Arial" w:cs="Arial" w:eastAsia="Arial" w:hAnsi="Arial"/>
          <w:sz w:val="16"/>
          <w:szCs w:val="16"/>
          <w:color w:val="auto"/>
        </w:rPr>
      </w:pPr>
    </w:p>
    <w:p>
      <w:pPr>
        <w:jc w:val="both"/>
        <w:ind w:left="-3" w:firstLine="622"/>
        <w:spacing w:after="0" w:line="294" w:lineRule="auto"/>
        <w:tabs>
          <w:tab w:leader="none" w:pos="1342"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Labor Relations</w:t>
      </w:r>
      <w:r>
        <w:rPr>
          <w:rFonts w:ascii="Arial" w:cs="Arial" w:eastAsia="Arial" w:hAnsi="Arial"/>
          <w:sz w:val="15"/>
          <w:szCs w:val="15"/>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516255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7"/>
          </w:cols>
          <w:pgMar w:left="863" w:top="501" w:right="239" w:bottom="1440" w:gutter="0" w:footer="0" w:header="0"/>
        </w:sectPr>
      </w:pPr>
    </w:p>
    <w:bookmarkStart w:id="41" w:name="page42"/>
    <w:bookmarkEnd w:id="41"/>
    <w:p>
      <w:pPr>
        <w:jc w:val="both"/>
        <w:ind w:left="-580" w:firstLine="622"/>
        <w:spacing w:after="0" w:line="257" w:lineRule="auto"/>
        <w:tabs>
          <w:tab w:leader="none" w:pos="752"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9" w:lineRule="exact"/>
        <w:rPr>
          <w:rFonts w:ascii="Arial" w:cs="Arial" w:eastAsia="Arial" w:hAnsi="Arial"/>
          <w:sz w:val="17"/>
          <w:szCs w:val="17"/>
          <w:color w:val="auto"/>
        </w:rPr>
      </w:pPr>
    </w:p>
    <w:p>
      <w:pPr>
        <w:jc w:val="both"/>
        <w:ind w:left="-580" w:firstLine="622"/>
        <w:spacing w:after="0" w:line="274" w:lineRule="auto"/>
        <w:tabs>
          <w:tab w:leader="none" w:pos="85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tic induct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rFonts w:ascii="Arial" w:cs="Arial" w:eastAsia="Arial" w:hAnsi="Arial"/>
          <w:sz w:val="16"/>
          <w:szCs w:val="16"/>
          <w:color w:val="auto"/>
        </w:rPr>
      </w:pPr>
    </w:p>
    <w:p>
      <w:pPr>
        <w:jc w:val="both"/>
        <w:ind w:left="-580" w:firstLine="622"/>
        <w:spacing w:after="0" w:line="283" w:lineRule="auto"/>
        <w:tabs>
          <w:tab w:leader="none" w:pos="85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90" w:lineRule="exact"/>
        <w:rPr>
          <w:rFonts w:ascii="Arial" w:cs="Arial" w:eastAsia="Arial" w:hAnsi="Arial"/>
          <w:sz w:val="16"/>
          <w:szCs w:val="16"/>
          <w:color w:val="auto"/>
        </w:rPr>
      </w:pPr>
    </w:p>
    <w:p>
      <w:pPr>
        <w:jc w:val="both"/>
        <w:ind w:left="-580" w:firstLine="622"/>
        <w:spacing w:after="0" w:line="257" w:lineRule="auto"/>
        <w:tabs>
          <w:tab w:leader="none" w:pos="76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534035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2" w:name="page43"/>
    <w:bookmarkEnd w:id="42"/>
    <w:p>
      <w:pPr>
        <w:jc w:val="both"/>
        <w:ind w:left="-580" w:firstLine="622"/>
        <w:spacing w:after="0" w:line="273" w:lineRule="auto"/>
        <w:tabs>
          <w:tab w:leader="none" w:pos="95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their respective businesses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8" w:lineRule="exact"/>
        <w:rPr>
          <w:rFonts w:ascii="Arial" w:cs="Arial" w:eastAsia="Arial" w:hAnsi="Arial"/>
          <w:sz w:val="16"/>
          <w:szCs w:val="16"/>
          <w:color w:val="auto"/>
        </w:rPr>
      </w:pPr>
    </w:p>
    <w:p>
      <w:pPr>
        <w:jc w:val="both"/>
        <w:ind w:left="-580" w:firstLine="622"/>
        <w:spacing w:after="0" w:line="280" w:lineRule="auto"/>
        <w:tabs>
          <w:tab w:leader="none" w:pos="73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91" w:lineRule="exact"/>
        <w:rPr>
          <w:rFonts w:ascii="Arial" w:cs="Arial" w:eastAsia="Arial" w:hAnsi="Arial"/>
          <w:sz w:val="16"/>
          <w:szCs w:val="16"/>
          <w:color w:val="auto"/>
        </w:rPr>
      </w:pPr>
    </w:p>
    <w:p>
      <w:pPr>
        <w:jc w:val="both"/>
        <w:ind w:left="-580" w:firstLine="622"/>
        <w:spacing w:after="0" w:line="296" w:lineRule="auto"/>
        <w:tabs>
          <w:tab w:leader="none" w:pos="723"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Transactions With Affiliates and Employees</w:t>
      </w:r>
      <w:r>
        <w:rPr>
          <w:rFonts w:ascii="Arial" w:cs="Arial" w:eastAsia="Arial" w:hAnsi="Arial"/>
          <w:sz w:val="15"/>
          <w:szCs w:val="15"/>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2" w:lineRule="exact"/>
        <w:rPr>
          <w:rFonts w:ascii="Arial" w:cs="Arial" w:eastAsia="Arial" w:hAnsi="Arial"/>
          <w:sz w:val="15"/>
          <w:szCs w:val="15"/>
          <w:color w:val="auto"/>
        </w:rPr>
      </w:pPr>
    </w:p>
    <w:p>
      <w:pPr>
        <w:jc w:val="both"/>
        <w:ind w:left="-580" w:firstLine="622"/>
        <w:spacing w:after="0" w:line="291" w:lineRule="auto"/>
        <w:tabs>
          <w:tab w:leader="none" w:pos="939"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Sarbanes-Oxley; Internal Accounting Controls</w:t>
      </w:r>
      <w:r>
        <w:rPr>
          <w:rFonts w:ascii="Arial" w:cs="Arial" w:eastAsia="Arial" w:hAnsi="Arial"/>
          <w:sz w:val="15"/>
          <w:szCs w:val="15"/>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applicable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5"/>
          <w:szCs w:val="15"/>
          <w:u w:val="single" w:color="auto"/>
          <w:color w:val="auto"/>
        </w:rPr>
        <w:t>Evaluation Date</w:t>
      </w:r>
      <w:r>
        <w:rPr>
          <w:rFonts w:ascii="Arial" w:cs="Arial" w:eastAsia="Arial" w:hAnsi="Arial"/>
          <w:sz w:val="15"/>
          <w:szCs w:val="15"/>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519430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3" w:name="page44"/>
    <w:bookmarkEnd w:id="43"/>
    <w:p>
      <w:pPr>
        <w:jc w:val="both"/>
        <w:ind w:left="-580" w:firstLine="622"/>
        <w:spacing w:after="0" w:line="283" w:lineRule="auto"/>
        <w:tabs>
          <w:tab w:leader="none" w:pos="81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No brokerage or finder’s fees or commissions are or will be payable by the Company or any Subsidiary to any broker, financial advisor,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90" w:lineRule="exact"/>
        <w:rPr>
          <w:rFonts w:ascii="Arial" w:cs="Arial" w:eastAsia="Arial" w:hAnsi="Arial"/>
          <w:sz w:val="16"/>
          <w:szCs w:val="16"/>
          <w:color w:val="auto"/>
        </w:rPr>
      </w:pPr>
    </w:p>
    <w:p>
      <w:pPr>
        <w:jc w:val="both"/>
        <w:ind w:left="-580" w:firstLine="622"/>
        <w:spacing w:after="0" w:line="266"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201" w:lineRule="exact"/>
        <w:rPr>
          <w:rFonts w:ascii="Arial" w:cs="Arial" w:eastAsia="Arial" w:hAnsi="Arial"/>
          <w:sz w:val="17"/>
          <w:szCs w:val="17"/>
          <w:color w:val="auto"/>
        </w:rPr>
      </w:pPr>
    </w:p>
    <w:p>
      <w:pPr>
        <w:jc w:val="both"/>
        <w:ind w:left="-580" w:firstLine="622"/>
        <w:spacing w:after="0" w:line="318" w:lineRule="auto"/>
        <w:tabs>
          <w:tab w:leader="none" w:pos="713"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Investment Company.</w:t>
      </w:r>
      <w:r>
        <w:rPr>
          <w:rFonts w:ascii="Arial" w:cs="Arial" w:eastAsia="Arial" w:hAnsi="Arial"/>
          <w:sz w:val="15"/>
          <w:szCs w:val="15"/>
          <w:color w:val="auto"/>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66" w:lineRule="exact"/>
        <w:rPr>
          <w:rFonts w:ascii="Arial" w:cs="Arial" w:eastAsia="Arial" w:hAnsi="Arial"/>
          <w:sz w:val="15"/>
          <w:szCs w:val="15"/>
          <w:color w:val="auto"/>
        </w:rPr>
      </w:pPr>
    </w:p>
    <w:p>
      <w:pPr>
        <w:ind w:left="-580" w:firstLine="622"/>
        <w:spacing w:after="0" w:line="280" w:lineRule="auto"/>
        <w:tabs>
          <w:tab w:leader="none" w:pos="76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Other Registration Rights</w:t>
      </w:r>
      <w:r>
        <w:rPr>
          <w:rFonts w:ascii="Arial" w:cs="Arial" w:eastAsia="Arial" w:hAnsi="Arial"/>
          <w:sz w:val="17"/>
          <w:szCs w:val="17"/>
          <w:color w:val="auto"/>
        </w:rPr>
        <w:t>. Other than each of the Purchasers, no Person has any right to cause the Company to effect the registration under the Securities Act of any securities of the Company or any Subsidiary.</w:t>
      </w:r>
    </w:p>
    <w:p>
      <w:pPr>
        <w:spacing w:after="0" w:line="189" w:lineRule="exact"/>
        <w:rPr>
          <w:rFonts w:ascii="Arial" w:cs="Arial" w:eastAsia="Arial" w:hAnsi="Arial"/>
          <w:sz w:val="17"/>
          <w:szCs w:val="17"/>
          <w:color w:val="auto"/>
        </w:rPr>
      </w:pPr>
    </w:p>
    <w:p>
      <w:pPr>
        <w:jc w:val="both"/>
        <w:ind w:left="-580" w:firstLine="622"/>
        <w:spacing w:after="0" w:line="296" w:lineRule="auto"/>
        <w:tabs>
          <w:tab w:leader="none" w:pos="790"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Listing and Maintenance Requirements</w:t>
      </w:r>
      <w:r>
        <w:rPr>
          <w:rFonts w:ascii="Arial" w:cs="Arial" w:eastAsia="Arial" w:hAnsi="Arial"/>
          <w:sz w:val="15"/>
          <w:szCs w:val="15"/>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2" w:lineRule="exact"/>
        <w:rPr>
          <w:rFonts w:ascii="Arial" w:cs="Arial" w:eastAsia="Arial" w:hAnsi="Arial"/>
          <w:sz w:val="15"/>
          <w:szCs w:val="15"/>
          <w:color w:val="auto"/>
        </w:rPr>
      </w:pPr>
    </w:p>
    <w:p>
      <w:pPr>
        <w:jc w:val="both"/>
        <w:ind w:left="-580" w:firstLine="622"/>
        <w:spacing w:after="0" w:line="302" w:lineRule="auto"/>
        <w:tabs>
          <w:tab w:leader="none" w:pos="739"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Application of Takeover Protections</w:t>
      </w:r>
      <w:r>
        <w:rPr>
          <w:rFonts w:ascii="Arial" w:cs="Arial" w:eastAsia="Arial" w:hAnsi="Arial"/>
          <w:sz w:val="15"/>
          <w:szCs w:val="15"/>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79" w:lineRule="exact"/>
        <w:rPr>
          <w:rFonts w:ascii="Arial" w:cs="Arial" w:eastAsia="Arial" w:hAnsi="Arial"/>
          <w:sz w:val="15"/>
          <w:szCs w:val="15"/>
          <w:color w:val="auto"/>
        </w:rPr>
      </w:pPr>
    </w:p>
    <w:p>
      <w:pPr>
        <w:jc w:val="both"/>
        <w:ind w:left="-580" w:firstLine="622"/>
        <w:spacing w:after="0" w:line="293" w:lineRule="auto"/>
        <w:tabs>
          <w:tab w:leader="none" w:pos="729"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518160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4" w:name="page45"/>
    <w:bookmarkEnd w:id="44"/>
    <w:p>
      <w:pPr>
        <w:jc w:val="both"/>
        <w:ind w:left="-580" w:firstLine="622"/>
        <w:spacing w:after="0" w:line="280" w:lineRule="auto"/>
        <w:tabs>
          <w:tab w:leader="none" w:pos="89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91" w:lineRule="exact"/>
        <w:rPr>
          <w:rFonts w:ascii="Arial" w:cs="Arial" w:eastAsia="Arial" w:hAnsi="Arial"/>
          <w:sz w:val="16"/>
          <w:szCs w:val="16"/>
          <w:color w:val="auto"/>
        </w:rPr>
      </w:pPr>
    </w:p>
    <w:p>
      <w:pPr>
        <w:jc w:val="both"/>
        <w:ind w:left="-580" w:firstLine="622"/>
        <w:spacing w:after="0" w:line="291" w:lineRule="auto"/>
        <w:tabs>
          <w:tab w:leader="none" w:pos="889"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Solvency</w:t>
      </w:r>
      <w:r>
        <w:rPr>
          <w:rFonts w:ascii="Arial" w:cs="Arial" w:eastAsia="Arial" w:hAnsi="Arial"/>
          <w:sz w:val="15"/>
          <w:szCs w:val="15"/>
          <w:color w:val="auto"/>
        </w:rPr>
        <w:t xml:space="preserve">. Based on the consolidated financial condition of the Company as of the applicable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that lead it to believe that it will file for reorganization or liquidation under the bankruptcy or reorganization laws of any jurisdiction within one year from the Initial Closing Date. </w:t>
      </w:r>
      <w:r>
        <w:rPr>
          <w:rFonts w:ascii="Arial" w:cs="Arial" w:eastAsia="Arial" w:hAnsi="Arial"/>
          <w:sz w:val="15"/>
          <w:szCs w:val="15"/>
          <w:u w:val="single" w:color="auto"/>
          <w:color w:val="auto"/>
        </w:rPr>
        <w:t>Schedule 3.1(bb)</w:t>
      </w:r>
      <w:r>
        <w:rPr>
          <w:rFonts w:ascii="Arial" w:cs="Arial" w:eastAsia="Arial" w:hAnsi="Arial"/>
          <w:sz w:val="15"/>
          <w:szCs w:val="15"/>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5"/>
          <w:szCs w:val="15"/>
          <w:u w:val="single" w:color="auto"/>
          <w:color w:val="auto"/>
        </w:rPr>
        <w:t>Indebtedness</w:t>
      </w:r>
      <w:r>
        <w:rPr>
          <w:rFonts w:ascii="Arial" w:cs="Arial" w:eastAsia="Arial" w:hAnsi="Arial"/>
          <w:sz w:val="15"/>
          <w:szCs w:val="15"/>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7" w:lineRule="exact"/>
        <w:rPr>
          <w:rFonts w:ascii="Arial" w:cs="Arial" w:eastAsia="Arial" w:hAnsi="Arial"/>
          <w:sz w:val="15"/>
          <w:szCs w:val="15"/>
          <w:color w:val="auto"/>
        </w:rPr>
      </w:pPr>
    </w:p>
    <w:p>
      <w:pPr>
        <w:jc w:val="both"/>
        <w:ind w:left="-580" w:firstLine="622"/>
        <w:spacing w:after="0" w:line="257" w:lineRule="auto"/>
        <w:tabs>
          <w:tab w:leader="none" w:pos="85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12" w:lineRule="exact"/>
        <w:rPr>
          <w:rFonts w:ascii="Arial" w:cs="Arial" w:eastAsia="Arial" w:hAnsi="Arial"/>
          <w:sz w:val="17"/>
          <w:szCs w:val="17"/>
          <w:color w:val="auto"/>
        </w:rPr>
      </w:pPr>
    </w:p>
    <w:p>
      <w:pPr>
        <w:jc w:val="both"/>
        <w:ind w:left="-580" w:firstLine="622"/>
        <w:spacing w:after="0" w:line="266" w:lineRule="auto"/>
        <w:tabs>
          <w:tab w:leader="none" w:pos="79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General Solicitation</w:t>
      </w:r>
      <w:r>
        <w:rPr>
          <w:rFonts w:ascii="Arial" w:cs="Arial" w:eastAsia="Arial" w:hAnsi="Arial"/>
          <w:sz w:val="17"/>
          <w:szCs w:val="17"/>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527050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5" w:name="page46"/>
    <w:bookmarkEnd w:id="45"/>
    <w:p>
      <w:pPr>
        <w:jc w:val="both"/>
        <w:ind w:firstLine="622"/>
        <w:spacing w:after="0" w:line="258"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10" w:lineRule="exact"/>
        <w:rPr>
          <w:rFonts w:ascii="Arial" w:cs="Arial" w:eastAsia="Arial" w:hAnsi="Arial"/>
          <w:sz w:val="17"/>
          <w:szCs w:val="17"/>
          <w:color w:val="auto"/>
        </w:rPr>
      </w:pPr>
    </w:p>
    <w:p>
      <w:pPr>
        <w:jc w:val="both"/>
        <w:ind w:firstLine="622"/>
        <w:spacing w:after="0" w:line="266" w:lineRule="auto"/>
        <w:tabs>
          <w:tab w:leader="none" w:pos="134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xml:space="preserve">. The Company’s accounting firm is set forth on </w:t>
      </w:r>
      <w:r>
        <w:rPr>
          <w:rFonts w:ascii="Arial" w:cs="Arial" w:eastAsia="Arial" w:hAnsi="Arial"/>
          <w:sz w:val="17"/>
          <w:szCs w:val="17"/>
          <w:u w:val="single" w:color="auto"/>
          <w:color w:val="auto"/>
        </w:rPr>
        <w:t>Schedule 3.1(ff)</w:t>
      </w:r>
      <w:r>
        <w:rPr>
          <w:rFonts w:ascii="Arial" w:cs="Arial" w:eastAsia="Arial" w:hAnsi="Arial"/>
          <w:sz w:val="17"/>
          <w:szCs w:val="17"/>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March 31, 2015.</w:t>
      </w:r>
    </w:p>
    <w:p>
      <w:pPr>
        <w:spacing w:after="0" w:line="201" w:lineRule="exact"/>
        <w:rPr>
          <w:rFonts w:ascii="Arial" w:cs="Arial" w:eastAsia="Arial" w:hAnsi="Arial"/>
          <w:sz w:val="17"/>
          <w:szCs w:val="17"/>
          <w:color w:val="auto"/>
        </w:rPr>
      </w:pPr>
    </w:p>
    <w:p>
      <w:pPr>
        <w:jc w:val="both"/>
        <w:ind w:firstLine="622"/>
        <w:spacing w:after="0" w:line="262" w:lineRule="auto"/>
        <w:tabs>
          <w:tab w:leader="none" w:pos="146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Seniority</w:t>
      </w:r>
      <w:r>
        <w:rPr>
          <w:rFonts w:ascii="Arial" w:cs="Arial" w:eastAsia="Arial" w:hAnsi="Arial"/>
          <w:sz w:val="17"/>
          <w:szCs w:val="17"/>
          <w:color w:val="auto"/>
        </w:rPr>
        <w:t>. As of the applicable Closing Date, no Indebtedness or other claim against the Company is senior to the Preferred Stock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spacing w:after="0" w:line="204" w:lineRule="exact"/>
        <w:rPr>
          <w:rFonts w:ascii="Arial" w:cs="Arial" w:eastAsia="Arial" w:hAnsi="Arial"/>
          <w:sz w:val="17"/>
          <w:szCs w:val="17"/>
          <w:color w:val="auto"/>
        </w:rPr>
      </w:pPr>
    </w:p>
    <w:p>
      <w:pPr>
        <w:jc w:val="both"/>
        <w:ind w:firstLine="622"/>
        <w:spacing w:after="0" w:line="262" w:lineRule="auto"/>
        <w:tabs>
          <w:tab w:leader="none" w:pos="139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Disagreements with Accountants and Lawyers.</w:t>
      </w:r>
      <w:r>
        <w:rPr>
          <w:rFonts w:ascii="Arial" w:cs="Arial" w:eastAsia="Arial" w:hAnsi="Arial"/>
          <w:sz w:val="17"/>
          <w:szCs w:val="17"/>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204" w:lineRule="exact"/>
        <w:rPr>
          <w:rFonts w:ascii="Arial" w:cs="Arial" w:eastAsia="Arial" w:hAnsi="Arial"/>
          <w:sz w:val="17"/>
          <w:szCs w:val="17"/>
          <w:color w:val="auto"/>
        </w:rPr>
      </w:pPr>
    </w:p>
    <w:p>
      <w:pPr>
        <w:jc w:val="both"/>
        <w:ind w:firstLine="622"/>
        <w:spacing w:after="0" w:line="297" w:lineRule="auto"/>
        <w:tabs>
          <w:tab w:leader="none" w:pos="1354"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Acknowledgment Regarding Purchasers’ Purchase of Securities</w:t>
      </w:r>
      <w:r>
        <w:rPr>
          <w:rFonts w:ascii="Arial" w:cs="Arial" w:eastAsia="Arial" w:hAnsi="Arial"/>
          <w:sz w:val="15"/>
          <w:szCs w:val="15"/>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4" w:lineRule="exact"/>
        <w:rPr>
          <w:rFonts w:ascii="Arial" w:cs="Arial" w:eastAsia="Arial" w:hAnsi="Arial"/>
          <w:sz w:val="15"/>
          <w:szCs w:val="15"/>
          <w:color w:val="auto"/>
        </w:rPr>
      </w:pPr>
    </w:p>
    <w:p>
      <w:pPr>
        <w:ind w:left="1540" w:hanging="918"/>
        <w:spacing w:after="0"/>
        <w:tabs>
          <w:tab w:leader="none" w:pos="15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Acknowledgment Regarding Purchaser’s Trading Activity</w:t>
      </w:r>
      <w:r>
        <w:rPr>
          <w:rFonts w:ascii="Arial" w:cs="Arial" w:eastAsia="Arial" w:hAnsi="Arial"/>
          <w:sz w:val="19"/>
          <w:szCs w:val="19"/>
          <w:color w:val="auto"/>
        </w:rPr>
        <w:t>. Anything in this Agreement or elsewhere herein to</w:t>
      </w:r>
    </w:p>
    <w:p>
      <w:pPr>
        <w:spacing w:after="0" w:line="3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contrary notwithstanding (except for Sections 3.2(g) and 4.15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520700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6" w:name="page47"/>
    <w:bookmarkEnd w:id="46"/>
    <w:p>
      <w:pPr>
        <w:jc w:val="both"/>
        <w:ind w:left="-580" w:firstLine="622"/>
        <w:spacing w:after="0" w:line="262" w:lineRule="auto"/>
        <w:tabs>
          <w:tab w:leader="none" w:pos="82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204" w:lineRule="exact"/>
        <w:rPr>
          <w:rFonts w:ascii="Arial" w:cs="Arial" w:eastAsia="Arial" w:hAnsi="Arial"/>
          <w:sz w:val="17"/>
          <w:szCs w:val="17"/>
          <w:color w:val="auto"/>
        </w:rPr>
      </w:pPr>
    </w:p>
    <w:p>
      <w:pPr>
        <w:jc w:val="both"/>
        <w:ind w:left="-580" w:firstLine="622"/>
        <w:spacing w:after="0" w:line="290" w:lineRule="auto"/>
        <w:tabs>
          <w:tab w:leader="none" w:pos="800"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FDA</w:t>
      </w:r>
      <w:r>
        <w:rPr>
          <w:rFonts w:ascii="Arial" w:cs="Arial" w:eastAsia="Arial" w:hAnsi="Arial"/>
          <w:sz w:val="15"/>
          <w:szCs w:val="15"/>
          <w:color w:val="auto"/>
        </w:rPr>
        <w:t>. As to each product subject to the jurisdiction of the U.S. Food and Drug Administration (“</w:t>
      </w:r>
      <w:r>
        <w:rPr>
          <w:rFonts w:ascii="Arial" w:cs="Arial" w:eastAsia="Arial" w:hAnsi="Arial"/>
          <w:sz w:val="15"/>
          <w:szCs w:val="15"/>
          <w:u w:val="single" w:color="auto"/>
          <w:color w:val="auto"/>
        </w:rPr>
        <w:t>FDA</w:t>
      </w:r>
      <w:r>
        <w:rPr>
          <w:rFonts w:ascii="Arial" w:cs="Arial" w:eastAsia="Arial" w:hAnsi="Arial"/>
          <w:sz w:val="15"/>
          <w:szCs w:val="15"/>
          <w:color w:val="auto"/>
        </w:rPr>
        <w:t>”) under the Federal Food, Drug and Cosmetic Act, as amended, and the regulations thereunder (“</w:t>
      </w:r>
      <w:r>
        <w:rPr>
          <w:rFonts w:ascii="Arial" w:cs="Arial" w:eastAsia="Arial" w:hAnsi="Arial"/>
          <w:sz w:val="15"/>
          <w:szCs w:val="15"/>
          <w:u w:val="single" w:color="auto"/>
          <w:color w:val="auto"/>
        </w:rPr>
        <w:t>FDCA</w:t>
      </w:r>
      <w:r>
        <w:rPr>
          <w:rFonts w:ascii="Arial" w:cs="Arial" w:eastAsia="Arial" w:hAnsi="Arial"/>
          <w:sz w:val="15"/>
          <w:szCs w:val="15"/>
          <w:color w:val="auto"/>
        </w:rPr>
        <w:t>”) that is manufactured, packaged, labeled, tested, distributed, sold, and/or marketed by the Company or any of its Subsidiaries (each such product, a “</w:t>
      </w:r>
      <w:r>
        <w:rPr>
          <w:rFonts w:ascii="Arial" w:cs="Arial" w:eastAsia="Arial" w:hAnsi="Arial"/>
          <w:sz w:val="15"/>
          <w:szCs w:val="15"/>
          <w:u w:val="single" w:color="auto"/>
          <w:color w:val="auto"/>
        </w:rPr>
        <w:t>Pharmaceutical Product</w:t>
      </w:r>
      <w:r>
        <w:rPr>
          <w:rFonts w:ascii="Arial" w:cs="Arial" w:eastAsia="Arial" w:hAnsi="Arial"/>
          <w:sz w:val="15"/>
          <w:szCs w:val="15"/>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95" w:lineRule="exact"/>
        <w:rPr>
          <w:rFonts w:ascii="Arial" w:cs="Arial" w:eastAsia="Arial" w:hAnsi="Arial"/>
          <w:sz w:val="15"/>
          <w:szCs w:val="15"/>
          <w:color w:val="auto"/>
        </w:rPr>
      </w:pPr>
    </w:p>
    <w:p>
      <w:pPr>
        <w:jc w:val="both"/>
        <w:ind w:left="-580" w:firstLine="622"/>
        <w:spacing w:after="0" w:line="258" w:lineRule="auto"/>
        <w:tabs>
          <w:tab w:leader="none" w:pos="93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10" w:lineRule="exact"/>
        <w:rPr>
          <w:rFonts w:ascii="Arial" w:cs="Arial" w:eastAsia="Arial" w:hAnsi="Arial"/>
          <w:sz w:val="17"/>
          <w:szCs w:val="17"/>
          <w:color w:val="auto"/>
        </w:rPr>
      </w:pPr>
    </w:p>
    <w:p>
      <w:pPr>
        <w:jc w:val="both"/>
        <w:ind w:left="-580" w:firstLine="622"/>
        <w:spacing w:after="0" w:line="266" w:lineRule="auto"/>
        <w:tabs>
          <w:tab w:leader="none" w:pos="92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Office of Foreign Assets Control</w:t>
      </w:r>
      <w:r>
        <w:rPr>
          <w:rFonts w:ascii="Arial" w:cs="Arial" w:eastAsia="Arial" w:hAnsi="Arial"/>
          <w:sz w:val="17"/>
          <w:szCs w:val="17"/>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527050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7" w:name="page48"/>
    <w:bookmarkEnd w:id="47"/>
    <w:p>
      <w:pPr>
        <w:ind w:left="620" w:firstLine="622"/>
        <w:spacing w:after="0" w:line="312" w:lineRule="auto"/>
        <w:tabs>
          <w:tab w:leader="none" w:pos="207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6" w:lineRule="exact"/>
        <w:rPr>
          <w:rFonts w:ascii="Arial" w:cs="Arial" w:eastAsia="Arial" w:hAnsi="Arial"/>
          <w:sz w:val="16"/>
          <w:szCs w:val="16"/>
          <w:color w:val="auto"/>
        </w:rPr>
      </w:pPr>
    </w:p>
    <w:p>
      <w:pPr>
        <w:jc w:val="both"/>
        <w:ind w:left="620" w:firstLine="622"/>
        <w:spacing w:after="0" w:line="258" w:lineRule="auto"/>
        <w:tabs>
          <w:tab w:leader="none" w:pos="208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210" w:lineRule="exact"/>
        <w:rPr>
          <w:rFonts w:ascii="Arial" w:cs="Arial" w:eastAsia="Arial" w:hAnsi="Arial"/>
          <w:sz w:val="17"/>
          <w:szCs w:val="17"/>
          <w:color w:val="auto"/>
        </w:rPr>
      </w:pPr>
    </w:p>
    <w:p>
      <w:pPr>
        <w:jc w:val="both"/>
        <w:ind w:left="620" w:firstLine="622"/>
        <w:spacing w:after="0" w:line="260" w:lineRule="auto"/>
        <w:tabs>
          <w:tab w:leader="none" w:pos="207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and any Subsidiary with respect to the Money Laundering Laws is pending or, to the knowledge of the Company or any Subsidiary, threatened.</w:t>
      </w:r>
    </w:p>
    <w:p>
      <w:pPr>
        <w:spacing w:after="0" w:line="205" w:lineRule="exact"/>
        <w:rPr>
          <w:rFonts w:ascii="Arial" w:cs="Arial" w:eastAsia="Arial" w:hAnsi="Arial"/>
          <w:sz w:val="17"/>
          <w:szCs w:val="17"/>
          <w:color w:val="auto"/>
        </w:rPr>
      </w:pPr>
    </w:p>
    <w:p>
      <w:pPr>
        <w:jc w:val="both"/>
        <w:ind w:left="620" w:firstLine="622"/>
        <w:spacing w:after="0" w:line="296" w:lineRule="auto"/>
        <w:tabs>
          <w:tab w:leader="none" w:pos="198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No Disqualification Events</w:t>
      </w:r>
      <w:r>
        <w:rPr>
          <w:rFonts w:ascii="Arial" w:cs="Arial" w:eastAsia="Arial" w:hAnsi="Arial"/>
          <w:sz w:val="15"/>
          <w:szCs w:val="15"/>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5"/>
          <w:szCs w:val="15"/>
          <w:u w:val="single" w:color="auto"/>
          <w:color w:val="auto"/>
        </w:rPr>
        <w:t>Issuer</w:t>
      </w:r>
      <w:r>
        <w:rPr>
          <w:rFonts w:ascii="Arial" w:cs="Arial" w:eastAsia="Arial" w:hAnsi="Arial"/>
          <w:sz w:val="15"/>
          <w:szCs w:val="15"/>
          <w:color w:val="auto"/>
        </w:rPr>
        <w:t xml:space="preserve"> </w:t>
      </w:r>
      <w:r>
        <w:rPr>
          <w:rFonts w:ascii="Arial" w:cs="Arial" w:eastAsia="Arial" w:hAnsi="Arial"/>
          <w:sz w:val="15"/>
          <w:szCs w:val="15"/>
          <w:u w:val="single" w:color="auto"/>
          <w:color w:val="auto"/>
        </w:rPr>
        <w:t>Covered Person</w:t>
      </w:r>
      <w:r>
        <w:rPr>
          <w:rFonts w:ascii="Arial" w:cs="Arial" w:eastAsia="Arial" w:hAnsi="Arial"/>
          <w:sz w:val="15"/>
          <w:szCs w:val="15"/>
          <w:color w:val="auto"/>
        </w:rPr>
        <w:t>" and, together, "</w:t>
      </w:r>
      <w:r>
        <w:rPr>
          <w:rFonts w:ascii="Arial" w:cs="Arial" w:eastAsia="Arial" w:hAnsi="Arial"/>
          <w:sz w:val="15"/>
          <w:szCs w:val="15"/>
          <w:u w:val="single" w:color="auto"/>
          <w:color w:val="auto"/>
        </w:rPr>
        <w:t>Issuer Covered Persons</w:t>
      </w:r>
      <w:r>
        <w:rPr>
          <w:rFonts w:ascii="Arial" w:cs="Arial" w:eastAsia="Arial" w:hAnsi="Arial"/>
          <w:sz w:val="15"/>
          <w:szCs w:val="15"/>
          <w:color w:val="auto"/>
        </w:rPr>
        <w:t>") is subject to any of the "Bad Actor" disqualifications described in Rule 506(d)(1)(i) to (viii) under the Securities Act (a "</w:t>
      </w:r>
      <w:r>
        <w:rPr>
          <w:rFonts w:ascii="Arial" w:cs="Arial" w:eastAsia="Arial" w:hAnsi="Arial"/>
          <w:sz w:val="15"/>
          <w:szCs w:val="15"/>
          <w:u w:val="single" w:color="auto"/>
          <w:color w:val="auto"/>
        </w:rPr>
        <w:t>Disqualification Event</w:t>
      </w:r>
      <w:r>
        <w:rPr>
          <w:rFonts w:ascii="Arial" w:cs="Arial" w:eastAsia="Arial" w:hAnsi="Arial"/>
          <w:sz w:val="15"/>
          <w:szCs w:val="15"/>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2" w:lineRule="exact"/>
        <w:rPr>
          <w:rFonts w:ascii="Arial" w:cs="Arial" w:eastAsia="Arial" w:hAnsi="Arial"/>
          <w:sz w:val="15"/>
          <w:szCs w:val="15"/>
          <w:color w:val="auto"/>
        </w:rPr>
      </w:pPr>
    </w:p>
    <w:p>
      <w:pPr>
        <w:ind w:left="620" w:firstLine="622"/>
        <w:spacing w:after="0" w:line="280" w:lineRule="auto"/>
        <w:tabs>
          <w:tab w:leader="none" w:pos="202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Other Covered Persons</w:t>
      </w:r>
      <w:r>
        <w:rPr>
          <w:rFonts w:ascii="Arial" w:cs="Arial" w:eastAsia="Arial" w:hAnsi="Arial"/>
          <w:sz w:val="17"/>
          <w:szCs w:val="17"/>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89" w:lineRule="exact"/>
        <w:rPr>
          <w:rFonts w:ascii="Arial" w:cs="Arial" w:eastAsia="Arial" w:hAnsi="Arial"/>
          <w:sz w:val="17"/>
          <w:szCs w:val="17"/>
          <w:color w:val="auto"/>
        </w:rPr>
      </w:pPr>
    </w:p>
    <w:p>
      <w:pPr>
        <w:jc w:val="both"/>
        <w:ind w:left="620" w:firstLine="622"/>
        <w:spacing w:after="0" w:line="266" w:lineRule="auto"/>
        <w:tabs>
          <w:tab w:leader="none" w:pos="205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Notice of Disqualification Events</w:t>
      </w:r>
      <w:r>
        <w:rPr>
          <w:rFonts w:ascii="Arial" w:cs="Arial" w:eastAsia="Arial" w:hAnsi="Arial"/>
          <w:sz w:val="17"/>
          <w:szCs w:val="17"/>
          <w:color w:val="auto"/>
        </w:rPr>
        <w:t>. The Company will notify the Purchasers in writing, prior to the applicable Closing Date of (i) any Disqualification Event relating to any Issuer Covered Person and (ii) any event that would, with the passage of time, become a Disqualification Event relating to any Issuer Covered Person.</w:t>
      </w:r>
    </w:p>
    <w:p>
      <w:pPr>
        <w:spacing w:after="0" w:line="202"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Representations and Warranties of the Purchasers</w:t>
      </w:r>
      <w:r>
        <w:rPr>
          <w:rFonts w:ascii="Arial" w:cs="Arial" w:eastAsia="Arial" w:hAnsi="Arial"/>
          <w:sz w:val="17"/>
          <w:szCs w:val="17"/>
          <w:color w:val="auto"/>
        </w:rPr>
        <w:t>. Each Purchaser, for itself and for no other Purchaser, hereby represents and warrants as of the date hereof and as of the applicable Closing Date to the Company as follows (unless as of a specific date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8" w:name="page49"/>
    <w:bookmarkEnd w:id="48"/>
    <w:p>
      <w:pPr>
        <w:jc w:val="both"/>
        <w:ind w:left="-580" w:firstLine="622"/>
        <w:spacing w:after="0" w:line="294" w:lineRule="auto"/>
        <w:tabs>
          <w:tab w:leader="none" w:pos="806"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Organization; Authority</w:t>
      </w:r>
      <w:r>
        <w:rPr>
          <w:rFonts w:ascii="Arial" w:cs="Arial" w:eastAsia="Arial" w:hAnsi="Arial"/>
          <w:sz w:val="15"/>
          <w:szCs w:val="15"/>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4" w:lineRule="exact"/>
        <w:rPr>
          <w:rFonts w:ascii="Arial" w:cs="Arial" w:eastAsia="Arial" w:hAnsi="Arial"/>
          <w:sz w:val="15"/>
          <w:szCs w:val="15"/>
          <w:color w:val="auto"/>
        </w:rPr>
      </w:pPr>
    </w:p>
    <w:p>
      <w:pPr>
        <w:jc w:val="both"/>
        <w:ind w:left="-580" w:firstLine="622"/>
        <w:spacing w:after="0" w:line="297" w:lineRule="auto"/>
        <w:tabs>
          <w:tab w:leader="none" w:pos="713"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Own Account</w:t>
      </w:r>
      <w:r>
        <w:rPr>
          <w:rFonts w:ascii="Arial" w:cs="Arial" w:eastAsia="Arial" w:hAnsi="Arial"/>
          <w:sz w:val="15"/>
          <w:szCs w:val="15"/>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3" w:lineRule="exact"/>
        <w:rPr>
          <w:rFonts w:ascii="Arial" w:cs="Arial" w:eastAsia="Arial" w:hAnsi="Arial"/>
          <w:sz w:val="15"/>
          <w:szCs w:val="15"/>
          <w:color w:val="auto"/>
        </w:rPr>
      </w:pPr>
    </w:p>
    <w:p>
      <w:pPr>
        <w:jc w:val="both"/>
        <w:ind w:left="-580" w:firstLine="666"/>
        <w:spacing w:after="0" w:line="266" w:lineRule="auto"/>
        <w:tabs>
          <w:tab w:leader="none" w:pos="759"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Purchaser Status</w:t>
      </w:r>
      <w:r>
        <w:rPr>
          <w:rFonts w:ascii="Arial" w:cs="Arial" w:eastAsia="Arial" w:hAnsi="Arial"/>
          <w:sz w:val="17"/>
          <w:szCs w:val="17"/>
          <w:color w:val="auto"/>
        </w:rPr>
        <w:t>. At the time such Purchaser was offered the Securities, it was, and as of the date hereof it is, and on each date on which it exercises any Warrants or converts any shares of Preferred Stock, it will be an “accredited investor” as defined in Rule 501(a)(1), (a)(2), (a)(3), (a)(7) or (a)(8) under the Securities Act.</w:t>
      </w:r>
    </w:p>
    <w:p>
      <w:pPr>
        <w:spacing w:after="0" w:line="202" w:lineRule="exact"/>
        <w:rPr>
          <w:sz w:val="20"/>
          <w:szCs w:val="20"/>
          <w:color w:val="auto"/>
        </w:rPr>
      </w:pPr>
    </w:p>
    <w:p>
      <w:pPr>
        <w:jc w:val="both"/>
        <w:ind w:left="-580" w:firstLine="622"/>
        <w:spacing w:after="0" w:line="262"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Experience of Such Purchaser</w:t>
      </w:r>
      <w:r>
        <w:rPr>
          <w:rFonts w:ascii="Arial" w:cs="Arial" w:eastAsia="Arial" w:hAnsi="Arial"/>
          <w:sz w:val="17"/>
          <w:szCs w:val="17"/>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204" w:lineRule="exact"/>
        <w:rPr>
          <w:rFonts w:ascii="Arial" w:cs="Arial" w:eastAsia="Arial" w:hAnsi="Arial"/>
          <w:sz w:val="17"/>
          <w:szCs w:val="17"/>
          <w:color w:val="auto"/>
        </w:rPr>
      </w:pPr>
    </w:p>
    <w:p>
      <w:pPr>
        <w:jc w:val="both"/>
        <w:ind w:left="-580" w:firstLine="622"/>
        <w:spacing w:after="0" w:line="266" w:lineRule="auto"/>
        <w:tabs>
          <w:tab w:leader="none" w:pos="78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201" w:lineRule="exact"/>
        <w:rPr>
          <w:rFonts w:ascii="Arial" w:cs="Arial" w:eastAsia="Arial" w:hAnsi="Arial"/>
          <w:sz w:val="17"/>
          <w:szCs w:val="17"/>
          <w:color w:val="auto"/>
        </w:rPr>
      </w:pPr>
    </w:p>
    <w:p>
      <w:pPr>
        <w:jc w:val="both"/>
        <w:ind w:left="-580" w:firstLine="622"/>
        <w:spacing w:after="0" w:line="257" w:lineRule="auto"/>
        <w:tabs>
          <w:tab w:leader="none" w:pos="73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the SEC Reports and the Term Sheet, and has been afforded (i) the opportunity to ask such questions as it has deemed necessary of, and to receive answers from, representatives of the Company concerning the terms and conditions of the offering of the Shares, including the revised terms and conditions reflected in the Term Sheet, which terms and conditions may be different than those originally presented to the Purchaser,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532130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9" w:name="page50"/>
    <w:bookmarkEnd w:id="49"/>
    <w:p>
      <w:pPr>
        <w:jc w:val="both"/>
        <w:ind w:left="620" w:firstLine="622"/>
        <w:spacing w:after="0" w:line="272" w:lineRule="auto"/>
        <w:tabs>
          <w:tab w:leader="none" w:pos="204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AGREEMENTS OF THE PARTIES</w:t>
      </w:r>
    </w:p>
    <w:p>
      <w:pPr>
        <w:spacing w:after="0" w:line="233"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Transfer Restrictions</w:t>
      </w:r>
      <w:r>
        <w:rPr>
          <w:rFonts w:ascii="Arial" w:cs="Arial" w:eastAsia="Arial" w:hAnsi="Arial"/>
          <w:sz w:val="15"/>
          <w:szCs w:val="15"/>
          <w:color w:val="auto"/>
        </w:rPr>
        <w:t>.</w:t>
      </w:r>
    </w:p>
    <w:p>
      <w:pPr>
        <w:spacing w:after="0" w:line="243" w:lineRule="exact"/>
        <w:rPr>
          <w:sz w:val="20"/>
          <w:szCs w:val="20"/>
          <w:color w:val="auto"/>
        </w:rPr>
      </w:pPr>
    </w:p>
    <w:p>
      <w:pPr>
        <w:jc w:val="both"/>
        <w:ind w:left="620" w:firstLine="622"/>
        <w:spacing w:after="0" w:line="299" w:lineRule="auto"/>
        <w:tabs>
          <w:tab w:leader="none" w:pos="191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Purchaser under this Agreement.</w:t>
      </w:r>
    </w:p>
    <w:p>
      <w:pPr>
        <w:spacing w:after="0" w:line="181" w:lineRule="exact"/>
        <w:rPr>
          <w:rFonts w:ascii="Arial" w:cs="Arial" w:eastAsia="Arial" w:hAnsi="Arial"/>
          <w:sz w:val="15"/>
          <w:szCs w:val="15"/>
          <w:color w:val="auto"/>
        </w:rPr>
      </w:pPr>
    </w:p>
    <w:p>
      <w:pPr>
        <w:ind w:left="2000" w:hanging="758"/>
        <w:spacing w:after="0"/>
        <w:tabs>
          <w:tab w:leader="none" w:pos="20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Purchasers agree to the imprinting, so long as is required by this Section 4.1, of a legend on any of the Securities in the following</w:t>
      </w:r>
    </w:p>
    <w:p>
      <w:pPr>
        <w:spacing w:after="0" w:line="44"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form:</w:t>
      </w:r>
    </w:p>
    <w:p>
      <w:pPr>
        <w:spacing w:after="0" w:line="233" w:lineRule="exact"/>
        <w:rPr>
          <w:sz w:val="20"/>
          <w:szCs w:val="20"/>
          <w:color w:val="auto"/>
        </w:rPr>
      </w:pPr>
    </w:p>
    <w:p>
      <w:pPr>
        <w:jc w:val="both"/>
        <w:ind w:left="620" w:firstLine="45"/>
        <w:spacing w:after="0" w:line="256" w:lineRule="auto"/>
        <w:rPr>
          <w:sz w:val="20"/>
          <w:szCs w:val="20"/>
          <w:color w:val="auto"/>
        </w:rPr>
      </w:pPr>
      <w:r>
        <w:rPr>
          <w:rFonts w:ascii="Arial" w:cs="Arial" w:eastAsia="Arial" w:hAnsi="Arial"/>
          <w:sz w:val="17"/>
          <w:szCs w:val="17"/>
          <w:color w:val="auto"/>
        </w:rPr>
        <w:t>[NEITHER] THIS SECURITY [NOR THE SECURITIES INTO WHICH THIS SECURITY IS [EXERCISABLE] [CONVERTIBLE]]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0" w:name="page51"/>
    <w:bookmarkEnd w:id="50"/>
    <w:p>
      <w:pPr>
        <w:jc w:val="both"/>
        <w:ind w:firstLine="619"/>
        <w:spacing w:after="0" w:line="295" w:lineRule="auto"/>
        <w:rPr>
          <w:sz w:val="20"/>
          <w:szCs w:val="20"/>
          <w:color w:val="auto"/>
        </w:rPr>
      </w:pPr>
      <w:r>
        <w:rPr>
          <w:rFonts w:ascii="Arial" w:cs="Arial" w:eastAsia="Arial" w:hAnsi="Arial"/>
          <w:sz w:val="15"/>
          <w:szCs w:val="15"/>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Section 4.12, the preparation and filing of any required prospectus supplement under Rule 424(b)(3) under the Securities Act or other applicable provision of the Securities Act to appropriately amend the list of Selling Stockholders (as defined in Section 4.12) thereunder.</w:t>
      </w:r>
    </w:p>
    <w:p>
      <w:pPr>
        <w:spacing w:after="0" w:line="183" w:lineRule="exact"/>
        <w:rPr>
          <w:sz w:val="20"/>
          <w:szCs w:val="20"/>
          <w:color w:val="auto"/>
        </w:rPr>
      </w:pPr>
    </w:p>
    <w:p>
      <w:pPr>
        <w:jc w:val="both"/>
        <w:ind w:firstLine="622"/>
        <w:spacing w:after="0" w:line="271" w:lineRule="auto"/>
        <w:tabs>
          <w:tab w:leader="none" w:pos="1383" w:val="left"/>
        </w:tabs>
        <w:numPr>
          <w:ilvl w:val="1"/>
          <w:numId w:val="57"/>
        </w:numPr>
        <w:rPr>
          <w:rFonts w:ascii="Arial" w:cs="Arial" w:eastAsia="Arial" w:hAnsi="Arial"/>
          <w:sz w:val="16"/>
          <w:szCs w:val="16"/>
          <w:color w:val="auto"/>
        </w:rPr>
      </w:pPr>
      <w:r>
        <w:rPr>
          <w:rFonts w:ascii="Arial" w:cs="Arial" w:eastAsia="Arial" w:hAnsi="Arial"/>
          <w:sz w:val="16"/>
          <w:szCs w:val="16"/>
          <w:color w:val="auto"/>
        </w:rPr>
        <w:t>Certificates evidencing the Underlying Shares shall not contain any legend (including the legend set forth in Section 4.1(b) hereof): (i) while a registration statement (including the Registration Statement) covering the resale of such security is effective under the Securities Act, (ii) following any sale of such Underlying Shares pursuant to Rule 144, (iii) if such Underlying Shares are eligible for sale under Rule 144 or (iv) if such legend is not required under applicable requirements of the Securities Act (including judicial interpretations and pronouncements issued by the staff of the Commission). The Company shall cause its counsel to issue a legal opinion to the Transfer Agent promptly if required by the Transfer Agent to effect the removal of the legend hereunder. If all or any shares of Preferred Stock are converted or any portion of a Warrant is exercised at a time when there is an effective registration statement to cover the resale of the Underlying Shares, or if such Underlying Shares may be sold under Rule 144 and the Company is then in compliance with the current public information required under Rule 144, or if the Underlying Shares may be sold under Rule 144 without the requirement for the Company to be in compliance with the current public information required under Rule 144 as to such Underlying Shares and without volume or manner-of-sale restrictions or if such legend is not otherwise required under applicable requirements of the Securities Act (including judicial interpretations and pronouncements issued by the staff of the Commission) then such Underlying Shares shall be issued free of all legends. The Company agrees that following the Effective Date or at such time as such legend is no longer required under this Section 4.1(c), it will, no later than three Trading Days following the delivery by a Purchaser to the Company or the Transfer Agent of a certificate representing Underlying Shares, as applicable, issued with a restrictive legend (such third Trading Day,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subject to legend removal hereunder shall be transmitted by the Transfer Agent to the Purchaser by crediting the account of the Purchaser’s prime broker with the Depository Trust Company System as directed by such Purchaser.</w:t>
      </w:r>
    </w:p>
    <w:p>
      <w:pPr>
        <w:spacing w:after="0" w:line="209" w:lineRule="exact"/>
        <w:rPr>
          <w:rFonts w:ascii="Arial" w:cs="Arial" w:eastAsia="Arial" w:hAnsi="Arial"/>
          <w:sz w:val="16"/>
          <w:szCs w:val="16"/>
          <w:color w:val="auto"/>
        </w:rPr>
      </w:pPr>
    </w:p>
    <w:p>
      <w:pPr>
        <w:jc w:val="both"/>
        <w:ind w:firstLine="622"/>
        <w:spacing w:after="0" w:line="288" w:lineRule="auto"/>
        <w:tabs>
          <w:tab w:leader="none" w:pos="1469" w:val="left"/>
        </w:tabs>
        <w:numPr>
          <w:ilvl w:val="1"/>
          <w:numId w:val="57"/>
        </w:numPr>
        <w:rPr>
          <w:rFonts w:ascii="Arial" w:cs="Arial" w:eastAsia="Arial" w:hAnsi="Arial"/>
          <w:sz w:val="15"/>
          <w:szCs w:val="15"/>
          <w:color w:val="auto"/>
        </w:rPr>
      </w:pPr>
      <w:r>
        <w:rPr>
          <w:rFonts w:ascii="Arial" w:cs="Arial" w:eastAsia="Arial" w:hAnsi="Arial"/>
          <w:sz w:val="15"/>
          <w:szCs w:val="15"/>
          <w:color w:val="auto"/>
        </w:rPr>
        <w:t>In addition to such Purchaser’s other available remedies, the Company shall pay to a Purchaser, in cash, the greater of (i) as partial liquidated damages and not as a penalty, for each $1,000 of Underlying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(i) issue and deliver (or cause to be delivered) to a Purchaser by the Required Delivery Date a certificate representing the Securities so delivered to the Company by such Purchaser that is free from all restrictive and other legends or (ii) if after the Required Delivery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5"/>
          <w:szCs w:val="15"/>
          <w:u w:val="single" w:color="auto"/>
          <w:color w:val="auto"/>
        </w:rPr>
        <w:t>Buy-In Price</w:t>
      </w:r>
      <w:r>
        <w:rPr>
          <w:rFonts w:ascii="Arial" w:cs="Arial" w:eastAsia="Arial" w:hAnsi="Arial"/>
          <w:sz w:val="15"/>
          <w:szCs w:val="15"/>
          <w:color w:val="auto"/>
        </w:rPr>
        <w:t>”) over the product of</w:t>
      </w:r>
    </w:p>
    <w:p>
      <w:pPr>
        <w:spacing w:after="0" w:line="5" w:lineRule="exact"/>
        <w:rPr>
          <w:rFonts w:ascii="Arial" w:cs="Arial" w:eastAsia="Arial" w:hAnsi="Arial"/>
          <w:sz w:val="15"/>
          <w:szCs w:val="15"/>
          <w:color w:val="auto"/>
        </w:rPr>
      </w:pPr>
    </w:p>
    <w:p>
      <w:pPr>
        <w:jc w:val="both"/>
        <w:ind w:firstLine="3"/>
        <w:spacing w:after="0" w:line="284" w:lineRule="auto"/>
        <w:tabs>
          <w:tab w:leader="none" w:pos="29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such number of Underlying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Underlying Shares (as the case may be) and ending on the date of such delivery and payment under this clause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518160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51" w:name="page52"/>
    <w:bookmarkEnd w:id="51"/>
    <w:p>
      <w:pPr>
        <w:jc w:val="both"/>
        <w:ind w:left="620" w:firstLine="622"/>
        <w:spacing w:after="0" w:line="260" w:lineRule="auto"/>
        <w:tabs>
          <w:tab w:leader="none" w:pos="19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206"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Acknowledgment of Dilution</w:t>
      </w:r>
      <w:r>
        <w:rPr>
          <w:rFonts w:ascii="Arial" w:cs="Arial" w:eastAsia="Arial" w:hAnsi="Arial"/>
          <w:sz w:val="17"/>
          <w:szCs w:val="17"/>
          <w:color w:val="auto"/>
        </w:rPr>
        <w:t>. The Company acknowledges that the issuance of the Securities will result in substantial dilution of the outstanding shares of Common Stock. The Company further acknowledges that its obligations under the Transaction Documents, including, without limitation, its obligation to issue the Underlying Shares pursuant to the Transaction Documents, are unconditional and absolute and not subject to any right of set off, counterclaim, delay or reduction, regardless of the effect of any such dilution or any claim the Company may have against any Purchaser and regardless of the substantial dilutive effect that such issuance may have on the ownership of the other stockholders of the Company.</w:t>
      </w:r>
    </w:p>
    <w:p>
      <w:pPr>
        <w:spacing w:after="0" w:line="206"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u w:val="single" w:color="auto"/>
          <w:color w:val="auto"/>
        </w:rPr>
        <w:t>Furnishing of Information; Public Information</w:t>
      </w:r>
      <w:r>
        <w:rPr>
          <w:rFonts w:ascii="Arial" w:cs="Arial" w:eastAsia="Arial" w:hAnsi="Arial"/>
          <w:sz w:val="16"/>
          <w:szCs w:val="16"/>
          <w:color w:val="auto"/>
        </w:rPr>
        <w:t>.</w:t>
      </w:r>
    </w:p>
    <w:p>
      <w:pPr>
        <w:spacing w:after="0" w:line="243" w:lineRule="exact"/>
        <w:rPr>
          <w:sz w:val="20"/>
          <w:szCs w:val="20"/>
          <w:color w:val="auto"/>
        </w:rPr>
      </w:pPr>
    </w:p>
    <w:p>
      <w:pPr>
        <w:jc w:val="both"/>
        <w:ind w:left="620" w:firstLine="3"/>
        <w:spacing w:after="0" w:line="262" w:lineRule="auto"/>
        <w:tabs>
          <w:tab w:leader="none" w:pos="14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204" w:lineRule="exact"/>
        <w:rPr>
          <w:rFonts w:ascii="Arial" w:cs="Arial" w:eastAsia="Arial" w:hAnsi="Arial"/>
          <w:sz w:val="17"/>
          <w:szCs w:val="17"/>
          <w:color w:val="auto"/>
        </w:rPr>
      </w:pPr>
    </w:p>
    <w:p>
      <w:pPr>
        <w:jc w:val="both"/>
        <w:ind w:left="620" w:firstLine="622"/>
        <w:spacing w:after="0" w:line="291" w:lineRule="auto"/>
        <w:tabs>
          <w:tab w:leader="none" w:pos="1967" w:val="left"/>
        </w:tabs>
        <w:numPr>
          <w:ilvl w:val="1"/>
          <w:numId w:val="60"/>
        </w:numPr>
        <w:rPr>
          <w:rFonts w:ascii="Arial" w:cs="Arial" w:eastAsia="Arial" w:hAnsi="Arial"/>
          <w:sz w:val="15"/>
          <w:szCs w:val="15"/>
          <w:color w:val="auto"/>
        </w:rPr>
      </w:pPr>
      <w:r>
        <w:rPr>
          <w:rFonts w:ascii="Arial" w:cs="Arial" w:eastAsia="Arial" w:hAnsi="Arial"/>
          <w:sz w:val="15"/>
          <w:szCs w:val="15"/>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w:t>
      </w:r>
    </w:p>
    <w:p>
      <w:pPr>
        <w:jc w:val="both"/>
        <w:ind w:left="620"/>
        <w:spacing w:after="0" w:line="254" w:lineRule="auto"/>
        <w:rPr>
          <w:rFonts w:ascii="Arial" w:cs="Arial" w:eastAsia="Arial" w:hAnsi="Arial"/>
          <w:sz w:val="15"/>
          <w:szCs w:val="15"/>
          <w:color w:val="auto"/>
        </w:rPr>
      </w:pPr>
      <w:r>
        <w:rPr>
          <w:rFonts w:ascii="Arial" w:cs="Arial" w:eastAsia="Arial" w:hAnsi="Arial"/>
          <w:sz w:val="16"/>
          <w:szCs w:val="16"/>
          <w:color w:val="auto"/>
        </w:rPr>
        <w:t>(2)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on the day of a Public Information Failure and on every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(pro rated for periods totaling less than thirty days) thereafter until the earlier of (a) the date such Public Information Failure is cured and (b) such time that such public information is no longer required for the Purchasers to transfer the Underlying Shares pursuant to Rule 144. The payments to which a Purchaser shall be entitled pursuant to this Section 4.3(b)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 be paid on the earlier of (i) the last day of the calendar month during which such Public Information Failure Payments are incurred and (ii) the third (3</w:t>
      </w:r>
      <w:r>
        <w:rPr>
          <w:rFonts w:ascii="Arial" w:cs="Arial" w:eastAsia="Arial" w:hAnsi="Arial"/>
          <w:sz w:val="22"/>
          <w:szCs w:val="22"/>
          <w:color w:val="auto"/>
          <w:vertAlign w:val="superscript"/>
        </w:rPr>
        <w:t>rd</w:t>
      </w:r>
      <w:r>
        <w:rPr>
          <w:rFonts w:ascii="Arial" w:cs="Arial" w:eastAsia="Arial" w:hAnsi="Arial"/>
          <w:sz w:val="16"/>
          <w:szCs w:val="16"/>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536575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2" w:name="page53"/>
    <w:bookmarkEnd w:id="52"/>
    <w:p>
      <w:pPr>
        <w:jc w:val="both"/>
        <w:ind w:firstLine="620"/>
        <w:spacing w:after="0" w:line="26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6"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Conversion and Exercise Procedures</w:t>
      </w:r>
      <w:r>
        <w:rPr>
          <w:rFonts w:ascii="Arial" w:cs="Arial" w:eastAsia="Arial" w:hAnsi="Arial"/>
          <w:sz w:val="17"/>
          <w:szCs w:val="17"/>
          <w:color w:val="auto"/>
        </w:rPr>
        <w:t>. Each of the form of Notice of Exercise included in the Warrants and the form of Notice of Conversion included in the Certificate of Designation set forth the totality of the procedures required of the Purchasers in order to exercise the Warrants or convert the Preferred Stock. Without limiting the preceding sentences, no ink-original Notice of Exercise or Notice of Conversion shall be required, nor shall any medallion guarantee (or other type of guarantee or notarization) of any Notice of Exercise or Notice of Conversion form be required in order to exercise the Warrants or convert the Preferred Stock. No additional legal opinion, other information or instructions shall be required of the Purchasers to exercise their Warrants or convert their Preferred Stock. The Company shall honor exercises of the Warrants and conversions of the Preferred Stock and shall deliver Underlying Shares in accordance with the terms, conditions and time periods set forth in the Transaction Documents.</w:t>
      </w:r>
    </w:p>
    <w:p>
      <w:pPr>
        <w:spacing w:after="0" w:line="212" w:lineRule="exact"/>
        <w:rPr>
          <w:sz w:val="20"/>
          <w:szCs w:val="20"/>
          <w:color w:val="auto"/>
        </w:rPr>
      </w:pPr>
    </w:p>
    <w:p>
      <w:pPr>
        <w:jc w:val="both"/>
        <w:ind w:firstLine="620"/>
        <w:spacing w:after="0" w:line="27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9:30 a.m. (New York City time) on the Trading Day immediately following the date hereof,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Section 4.12 and (ii)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8"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Shareholder Rights Plan</w:t>
      </w:r>
      <w:r>
        <w:rPr>
          <w:rFonts w:ascii="Arial" w:cs="Arial" w:eastAsia="Arial" w:hAnsi="Arial"/>
          <w:sz w:val="15"/>
          <w:szCs w:val="15"/>
          <w:color w:val="auto"/>
        </w:rPr>
        <w:t>. No claim will be made or enforced by the Company or, with the consent of the Company, any other Person, that any Purchaser is an “</w:t>
      </w:r>
      <w:r>
        <w:rPr>
          <w:rFonts w:ascii="Arial" w:cs="Arial" w:eastAsia="Arial" w:hAnsi="Arial"/>
          <w:sz w:val="15"/>
          <w:szCs w:val="15"/>
          <w:u w:val="single" w:color="auto"/>
          <w:color w:val="auto"/>
        </w:rPr>
        <w:t>Acquiring Person</w:t>
      </w:r>
      <w:r>
        <w:rPr>
          <w:rFonts w:ascii="Arial" w:cs="Arial" w:eastAsia="Arial" w:hAnsi="Arial"/>
          <w:sz w:val="15"/>
          <w:szCs w:val="15"/>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508635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3" w:name="page54"/>
    <w:bookmarkEnd w:id="53"/>
    <w:p>
      <w:pPr>
        <w:jc w:val="both"/>
        <w:ind w:firstLine="620"/>
        <w:spacing w:after="0" w:line="27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Company, any of its Subsidiaries, or any of their respective officers, directors, agents, employees or Affiliates, or a duty to the Company, and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9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shall use the net proceeds from the sale of the Securities hereunder for working capital purposes including for the satisfaction of any portion of the Company’s Existing Indebtedness. However, the Company shall not use any portion of the net proceeds for the redemption of any Common Stock or Common Stock Equivalents, for the settlement of any outstanding litigation, if any, or in violation of FCPA or OFAC regulations.</w:t>
      </w:r>
    </w:p>
    <w:p>
      <w:pPr>
        <w:spacing w:after="0" w:line="183"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Indemnification of Purchasers</w:t>
      </w:r>
      <w:r>
        <w:rPr>
          <w:rFonts w:ascii="Arial" w:cs="Arial" w:eastAsia="Arial" w:hAnsi="Arial"/>
          <w:sz w:val="15"/>
          <w:szCs w:val="15"/>
          <w:color w:val="auto"/>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5"/>
          <w:szCs w:val="15"/>
          <w:u w:val="single" w:color="auto"/>
          <w:color w:val="auto"/>
        </w:rPr>
        <w:t>Purchaser Party</w:t>
      </w:r>
      <w:r>
        <w:rPr>
          <w:rFonts w:ascii="Arial" w:cs="Arial" w:eastAsia="Arial" w:hAnsi="Arial"/>
          <w:sz w:val="15"/>
          <w:szCs w:val="15"/>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648335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4" w:name="page55"/>
    <w:bookmarkEnd w:id="54"/>
    <w:p>
      <w:pPr>
        <w:ind w:left="620"/>
        <w:spacing w:after="0"/>
        <w:tabs>
          <w:tab w:leader="none" w:pos="138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5"/>
          <w:szCs w:val="15"/>
          <w:u w:val="single" w:color="auto"/>
          <w:color w:val="auto"/>
        </w:rPr>
        <w:t>Reservation and Listing of Securities</w:t>
      </w:r>
      <w:r>
        <w:rPr>
          <w:rFonts w:ascii="Arial" w:cs="Arial" w:eastAsia="Arial" w:hAnsi="Arial"/>
          <w:sz w:val="15"/>
          <w:szCs w:val="15"/>
          <w:color w:val="auto"/>
        </w:rPr>
        <w:t>.</w:t>
      </w:r>
    </w:p>
    <w:p>
      <w:pPr>
        <w:spacing w:after="0" w:line="243" w:lineRule="exact"/>
        <w:rPr>
          <w:sz w:val="20"/>
          <w:szCs w:val="20"/>
          <w:color w:val="auto"/>
        </w:rPr>
      </w:pPr>
    </w:p>
    <w:p>
      <w:pPr>
        <w:ind w:left="620" w:firstLine="622"/>
        <w:spacing w:after="0" w:line="312" w:lineRule="auto"/>
        <w:tabs>
          <w:tab w:leader="none" w:pos="1914"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shall maintain a reserve of the Required Minimum from its duly authorized shares of Common Stock for issuance pursuant to the Transaction Documents in such amount as may then be required to fulfill its obligations in full under the Transaction Documents.</w:t>
      </w:r>
    </w:p>
    <w:p>
      <w:pPr>
        <w:spacing w:after="0" w:line="166" w:lineRule="exact"/>
        <w:rPr>
          <w:rFonts w:ascii="Arial" w:cs="Arial" w:eastAsia="Arial" w:hAnsi="Arial"/>
          <w:sz w:val="16"/>
          <w:szCs w:val="16"/>
          <w:color w:val="auto"/>
        </w:rPr>
      </w:pPr>
    </w:p>
    <w:p>
      <w:pPr>
        <w:jc w:val="both"/>
        <w:ind w:left="620" w:firstLine="622"/>
        <w:spacing w:after="0" w:line="260" w:lineRule="auto"/>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on any date, the number of authorized but unissued (and otherwise unreserved) shares of Common Stock is less than 110% of (i) the Required Minimum on such date, minus (ii) the number of shares of Common Stock previously issued pursuant to the Transaction Documents, then the Board of Directors shall use commercially reasonable efforts to amend the Company’s certificate or articles of incorporation to increase the number of authorized but unissued shares of Common Stock to at least the Required Minimum at such time (minus the number of shares of Common Stock previously issued pursuant to the Transaction Documents), as soon as possible and in any event not later than the 180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such date, provided that the Company will not be required at any time to authorize a number of shares of Common Stock greater than the maximum remaining number of shares of Common Stock that could possibly be issued after such time pursuant to the Transaction Documents.</w:t>
      </w:r>
    </w:p>
    <w:p>
      <w:pPr>
        <w:spacing w:after="0" w:line="207" w:lineRule="exact"/>
        <w:rPr>
          <w:rFonts w:ascii="Arial" w:cs="Arial" w:eastAsia="Arial" w:hAnsi="Arial"/>
          <w:sz w:val="16"/>
          <w:szCs w:val="16"/>
          <w:color w:val="auto"/>
        </w:rPr>
      </w:pPr>
    </w:p>
    <w:p>
      <w:pPr>
        <w:jc w:val="both"/>
        <w:ind w:left="620" w:firstLine="622"/>
        <w:spacing w:after="0" w:line="257" w:lineRule="auto"/>
        <w:tabs>
          <w:tab w:leader="none" w:pos="19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5"/>
          <w:szCs w:val="15"/>
          <w:u w:val="single" w:color="auto"/>
          <w:color w:val="auto"/>
        </w:rPr>
        <w:t>Registration Rights</w:t>
      </w:r>
      <w:r>
        <w:rPr>
          <w:rFonts w:ascii="Arial" w:cs="Arial" w:eastAsia="Arial" w:hAnsi="Arial"/>
          <w:sz w:val="15"/>
          <w:szCs w:val="15"/>
          <w:color w:val="auto"/>
        </w:rPr>
        <w:t>.</w:t>
      </w:r>
    </w:p>
    <w:p>
      <w:pPr>
        <w:spacing w:after="0" w:line="243" w:lineRule="exact"/>
        <w:rPr>
          <w:sz w:val="20"/>
          <w:szCs w:val="20"/>
          <w:color w:val="auto"/>
        </w:rPr>
      </w:pPr>
    </w:p>
    <w:p>
      <w:pPr>
        <w:jc w:val="both"/>
        <w:ind w:left="620" w:firstLine="622"/>
        <w:spacing w:after="0" w:line="291" w:lineRule="auto"/>
        <w:tabs>
          <w:tab w:leader="none" w:pos="1903"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On or prior to the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Holder shall be required to be named as an “underwriter” without such Holder’s express prior written consent. The Company shall use its best efforts to cause a Registration Statement filed under this Agreement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(i) the three-year anniversary of the date hereof, or (ii) the date that all Registrable Securities covered by such Registration Statement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5"/>
          <w:szCs w:val="15"/>
          <w:u w:val="single" w:color="auto"/>
          <w:color w:val="auto"/>
        </w:rPr>
        <w:t>Effectiveness Period</w:t>
      </w:r>
      <w:r>
        <w:rPr>
          <w:rFonts w:ascii="Arial" w:cs="Arial" w:eastAsia="Arial" w:hAnsi="Arial"/>
          <w:sz w:val="15"/>
          <w:szCs w:val="15"/>
          <w:color w:val="auto"/>
        </w:rPr>
        <w:t>”). The Company shall telephonically request effectiveness of a Registration Statement as of 5:00 p.m. Eastern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Eastern Time on the Trading Day after the Effective Date, file a final Prospectus with the Commission as required by Rule 424. Failure to so notify the Purchasers within one (1) Trading Day of such notification of effectiveness or failure to file a final Prospectus as foresaid shall be deemed an Event under Section 4.12(d).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667385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5" w:name="page56"/>
    <w:bookmarkEnd w:id="55"/>
    <w:p>
      <w:pPr>
        <w:jc w:val="both"/>
        <w:ind w:firstLine="622"/>
        <w:spacing w:after="0" w:line="256" w:lineRule="auto"/>
        <w:tabs>
          <w:tab w:leader="none" w:pos="161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Notwithstanding the registration obligations set forth in Section 4.12(a), if the Commission informs the Company that all of the Registrable Securities cannot, as a result of the application of Rule 415, be registered for resale as a secondary offering on a single registration statement, the Company agrees to promptly inform each of the Purchasers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4.12(e); with respect to filing on Form S-3 or other appropriate form, and subject to the provisions of Section 4.12(d) with respect to the payment of liquidated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1700" w:hanging="1078"/>
        <w:spacing w:after="0"/>
        <w:tabs>
          <w:tab w:leader="none" w:pos="17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and subject to the payment of liquidated damages</w:t>
      </w:r>
    </w:p>
    <w:p>
      <w:pPr>
        <w:spacing w:after="0" w:line="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pursuant to Section 4.12(d),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Purchaser as to its Registrable Securities, the number of Registrable Securities to be registered on such Registration Statement will be reduced as follows:</w:t>
      </w:r>
    </w:p>
    <w:p>
      <w:pPr>
        <w:spacing w:after="0" w:line="200" w:lineRule="exact"/>
        <w:rPr>
          <w:sz w:val="20"/>
          <w:szCs w:val="20"/>
          <w:color w:val="auto"/>
        </w:rPr>
      </w:pPr>
    </w:p>
    <w:p>
      <w:pPr>
        <w:spacing w:after="0" w:line="238" w:lineRule="exact"/>
        <w:rPr>
          <w:sz w:val="20"/>
          <w:szCs w:val="20"/>
          <w:color w:val="auto"/>
        </w:rPr>
      </w:pPr>
    </w:p>
    <w:p>
      <w:pPr>
        <w:ind w:left="620" w:hanging="308"/>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First, the Company shall reduce or eliminate any securities to be included other than Registrable Securities;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620" w:hanging="308"/>
        <w:spacing w:after="0" w:line="312"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Second, the Company shall reduce Registrable Securities represented by Warrant Shares (applied, in the case that some Warrant Shares may be registered, to the Purchasers on a pro rata basis based on the total number of unregistered Warrant Shares held by such Purchasers); and</w:t>
      </w:r>
    </w:p>
    <w:p>
      <w:pPr>
        <w:spacing w:after="0" w:line="399" w:lineRule="exact"/>
        <w:rPr>
          <w:rFonts w:ascii="Arial" w:cs="Arial" w:eastAsia="Arial" w:hAnsi="Arial"/>
          <w:sz w:val="16"/>
          <w:szCs w:val="16"/>
          <w:color w:val="auto"/>
        </w:rPr>
      </w:pPr>
    </w:p>
    <w:p>
      <w:pPr>
        <w:ind w:left="620" w:hanging="308"/>
        <w:spacing w:after="0" w:line="349" w:lineRule="auto"/>
        <w:tabs>
          <w:tab w:leader="none" w:pos="6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Third, the Company shall reduce Registrable Securities represented by Conversion Shares (applied, in the case that some Conversion Shares may be registered, to the Purchasers on a pro rata basis based on the total number of unregistered Conversion Shares held by such Purchasers).</w:t>
      </w: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the event of a cutback hereunder, the Company shall give the Purchaser at least five (5) Trading Days prior written notice along with the calculations as to such Purchaser’s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200" w:lineRule="exact"/>
        <w:rPr>
          <w:sz w:val="20"/>
          <w:szCs w:val="20"/>
          <w:color w:val="auto"/>
        </w:rPr>
      </w:pPr>
    </w:p>
    <w:p>
      <w:pPr>
        <w:spacing w:after="0" w:line="210" w:lineRule="exact"/>
        <w:rPr>
          <w:sz w:val="20"/>
          <w:szCs w:val="20"/>
          <w:color w:val="auto"/>
        </w:rPr>
      </w:pPr>
    </w:p>
    <w:p>
      <w:pPr>
        <w:jc w:val="both"/>
        <w:ind w:firstLine="622"/>
        <w:spacing w:after="0" w:line="288" w:lineRule="auto"/>
        <w:tabs>
          <w:tab w:leader="none" w:pos="1364" w:val="left"/>
        </w:tabs>
        <w:numPr>
          <w:ilvl w:val="1"/>
          <w:numId w:val="65"/>
        </w:numPr>
        <w:rPr>
          <w:rFonts w:ascii="Arial" w:cs="Arial" w:eastAsia="Arial" w:hAnsi="Arial"/>
          <w:sz w:val="15"/>
          <w:szCs w:val="15"/>
          <w:color w:val="auto"/>
        </w:rPr>
      </w:pPr>
      <w:r>
        <w:rPr>
          <w:rFonts w:ascii="Arial" w:cs="Arial" w:eastAsia="Arial" w:hAnsi="Arial"/>
          <w:sz w:val="15"/>
          <w:szCs w:val="15"/>
          <w:color w:val="auto"/>
        </w:rPr>
        <w:t>If: (i) the Initial Registration Statement is not filed on or prior to its Filing Date (if the Company files the Initial Registration Statement without affording the Purchasers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Purchasers are otherwise not permitted to utilize the Prospectus therein to resell such Registrable Securities, for more than ten</w:t>
      </w:r>
    </w:p>
    <w:p>
      <w:pPr>
        <w:spacing w:after="0" w:line="5" w:lineRule="exact"/>
        <w:rPr>
          <w:rFonts w:ascii="Arial" w:cs="Arial" w:eastAsia="Arial" w:hAnsi="Arial"/>
          <w:sz w:val="15"/>
          <w:szCs w:val="15"/>
          <w:color w:val="auto"/>
        </w:rPr>
      </w:pPr>
    </w:p>
    <w:p>
      <w:pPr>
        <w:jc w:val="both"/>
        <w:ind w:firstLine="3"/>
        <w:spacing w:after="0" w:line="273" w:lineRule="auto"/>
        <w:tabs>
          <w:tab w:leader="none" w:pos="333"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consecutive calendar days or more than an aggregate of fifteen (15) calendar days (which need not be consecutive calendar days) during any 12-month period (any such failure or breach being referred to as an “</w:t>
      </w:r>
      <w:r>
        <w:rPr>
          <w:rFonts w:ascii="Arial" w:cs="Arial" w:eastAsia="Arial" w:hAnsi="Arial"/>
          <w:sz w:val="16"/>
          <w:szCs w:val="16"/>
          <w:u w:val="single" w:color="auto"/>
          <w:color w:val="auto"/>
        </w:rPr>
        <w:t>Event</w:t>
      </w:r>
      <w:r>
        <w:rPr>
          <w:rFonts w:ascii="Arial" w:cs="Arial" w:eastAsia="Arial" w:hAnsi="Arial"/>
          <w:sz w:val="16"/>
          <w:szCs w:val="16"/>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Arial" w:cs="Arial" w:eastAsia="Arial" w:hAnsi="Arial"/>
          <w:sz w:val="16"/>
          <w:szCs w:val="16"/>
          <w:u w:val="single" w:color="auto"/>
          <w:color w:val="auto"/>
        </w:rPr>
        <w:t>Event Date</w:t>
      </w:r>
      <w:r>
        <w:rPr>
          <w:rFonts w:ascii="Arial" w:cs="Arial" w:eastAsia="Arial" w:hAnsi="Arial"/>
          <w:sz w:val="16"/>
          <w:szCs w:val="16"/>
          <w:color w:val="auto"/>
        </w:rPr>
        <w:t>”), then, in addition to any other rights the Purchasers may have hereunder or under applicable law, on each such Event Date and on each monthly anniversary of each such Event Date (if the applicable Event shall not have been cured by such date) until the applicable Event is cured, the Company shall pay to each Purchaser an amount in cash, as partial liquidated damages and not as a penalty, equal to the product of 2.0% multiplied by the aggregate Subscription Amount paid by such Purchaser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673100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56" w:name="page57"/>
    <w:bookmarkEnd w:id="56"/>
    <w:p>
      <w:pPr>
        <w:jc w:val="both"/>
        <w:ind w:firstLine="620"/>
        <w:spacing w:after="0" w:line="260"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206"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Certain Transactions and Confidentiality</w:t>
      </w:r>
      <w:r>
        <w:rPr>
          <w:rFonts w:ascii="Arial" w:cs="Arial" w:eastAsia="Arial" w:hAnsi="Arial"/>
          <w:sz w:val="15"/>
          <w:szCs w:val="15"/>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4.6.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Transaction Documents and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or its Subsidiaries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each Closing under applicable securities or “Blue Sky” laws of the states of the United States, and shall provide evidence of such actions promptly upon request of any Purchaser.</w:t>
      </w:r>
    </w:p>
    <w:p>
      <w:pPr>
        <w:spacing w:after="0" w:line="205"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Lock-Ups</w:t>
      </w:r>
      <w:r>
        <w:rPr>
          <w:rFonts w:ascii="Arial" w:cs="Arial" w:eastAsia="Arial" w:hAnsi="Arial"/>
          <w:sz w:val="16"/>
          <w:szCs w:val="16"/>
          <w:color w:val="auto"/>
        </w:rPr>
        <w:t>. In the event of a Registered Offering (as defined in the Certificate of Designation) and if reasonably requested by the lead underwriter or placement agent of such Registered Offering, each Purchaser, separately and not jointly, shall enter into a lock-up agreement, which such lock-up agreement shall: (i) only apply to such Purchaser’s then held or then issuable Underlying Shares at the time of the Registered Offering, (ii) include a term of lock-up of no more than 45 calendar days from the date of the Registered Offering and (iii) include customary exemptions from lock-up.</w:t>
      </w:r>
    </w:p>
    <w:p>
      <w:pPr>
        <w:spacing w:after="0" w:line="19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Capital Changes</w:t>
      </w:r>
      <w:r>
        <w:rPr>
          <w:rFonts w:ascii="Arial" w:cs="Arial" w:eastAsia="Arial" w:hAnsi="Arial"/>
          <w:sz w:val="17"/>
          <w:szCs w:val="17"/>
          <w:color w:val="auto"/>
        </w:rPr>
        <w:t>. Until the one-year anniversary of the Effective Date, the Company shall not undertake a reverse stock split or reclassification of the Common Stock without the prior written consent of the Purchasers holding a majority in interest of the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33"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Initial Closing has not been consummated on or before May 15, 2015;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termination will not affect the right of any party to sue for any breach by any other party (or parties).</w:t>
      </w:r>
    </w:p>
    <w:p>
      <w:pPr>
        <w:spacing w:after="0" w:line="166"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202"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as set forth on the signature pages attached hereto at or prior to 5:30 p.m. (New York City time) on a Trading Day, (b) the next Trading Day after the date of transmission, if such notice or communication is delivered via facsimile at the facsimile number or email attachment as set forth on the signature pages attached hereto on a day that is not a Trading Day or later than 5:30 p.m. (New York City time) on any Trading Day, (c) the second (2</w:t>
      </w:r>
      <w:r>
        <w:rPr>
          <w:rFonts w:ascii="Arial" w:cs="Arial" w:eastAsia="Arial" w:hAnsi="Arial"/>
          <w:sz w:val="22"/>
          <w:szCs w:val="22"/>
          <w:color w:val="auto"/>
          <w:vertAlign w:val="superscript"/>
        </w:rPr>
        <w:t>nd</w:t>
      </w:r>
      <w:r>
        <w:rPr>
          <w:rFonts w:ascii="Arial" w:cs="Arial" w:eastAsia="Arial" w:hAnsi="Arial"/>
          <w:sz w:val="16"/>
          <w:szCs w:val="16"/>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Commission pursuant to a Current Report on Form 8-K.</w:t>
      </w:r>
    </w:p>
    <w:p>
      <w:pPr>
        <w:spacing w:after="0" w:line="208"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the Purchasers holding at least a majority in interest of the Securities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accordance with this Section 5.5 shall be binding upon each Purchase and holder of Securities and the Company.</w:t>
      </w:r>
    </w:p>
    <w:p>
      <w:pPr>
        <w:spacing w:after="0" w:line="21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herein are for convenience only, do not constitute a part of this Agreement and shall not be deemed to limit or affect any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8" w:name="page59"/>
    <w:bookmarkEnd w:id="58"/>
    <w:p>
      <w:pPr>
        <w:jc w:val="both"/>
        <w:ind w:firstLine="620"/>
        <w:spacing w:after="0" w:line="26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206"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intended for the benefit of the parties hereto and their respective successors and permitted assigns and is not for the benefit of, nor may any provision hereof be enforced by, any other Person, except as otherwise set forth in Section 4.10 and this Section 5.8.</w:t>
      </w:r>
    </w:p>
    <w:p>
      <w:pPr>
        <w:spacing w:after="0" w:line="167" w:lineRule="exact"/>
        <w:rPr>
          <w:sz w:val="20"/>
          <w:szCs w:val="20"/>
          <w:color w:val="auto"/>
        </w:rPr>
      </w:pPr>
    </w:p>
    <w:p>
      <w:pPr>
        <w:jc w:val="both"/>
        <w:ind w:firstLine="620"/>
        <w:spacing w:after="0" w:line="27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hereto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2"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 The representations and warranties contained herein shall survive the each Closing and the delivery of the Securities.</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9" w:name="page60"/>
    <w:bookmarkEnd w:id="59"/>
    <w:p>
      <w:pPr>
        <w:jc w:val="both"/>
        <w:ind w:firstLine="620"/>
        <w:spacing w:after="0" w:line="257"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 conversion of the Preferred Stock or exercise of a Warrant, the applicable Purchaser shall be required to return any shares of Common Stock subject to any such rescinded conversion or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Replacement of Securities</w:t>
      </w:r>
      <w:r>
        <w:rPr>
          <w:rFonts w:ascii="Arial" w:cs="Arial" w:eastAsia="Arial" w:hAnsi="Arial"/>
          <w:sz w:val="17"/>
          <w:szCs w:val="17"/>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93" w:lineRule="exact"/>
        <w:rPr>
          <w:sz w:val="20"/>
          <w:szCs w:val="20"/>
          <w:color w:val="auto"/>
        </w:rPr>
      </w:pPr>
    </w:p>
    <w:p>
      <w:pPr>
        <w:jc w:val="both"/>
        <w:ind w:firstLine="620"/>
        <w:spacing w:after="0" w:line="292" w:lineRule="auto"/>
        <w:rPr>
          <w:sz w:val="20"/>
          <w:szCs w:val="20"/>
          <w:color w:val="auto"/>
        </w:rPr>
      </w:pPr>
      <w:r>
        <w:rPr>
          <w:rFonts w:ascii="Arial" w:cs="Arial" w:eastAsia="Arial" w:hAnsi="Arial"/>
          <w:sz w:val="15"/>
          <w:szCs w:val="15"/>
          <w:color w:val="auto"/>
        </w:rPr>
        <w:t xml:space="preserve">5.17 </w:t>
      </w:r>
      <w:r>
        <w:rPr>
          <w:rFonts w:ascii="Arial" w:cs="Arial" w:eastAsia="Arial" w:hAnsi="Arial"/>
          <w:sz w:val="15"/>
          <w:szCs w:val="15"/>
          <w:u w:val="single" w:color="auto"/>
          <w:color w:val="auto"/>
        </w:rPr>
        <w:t>Usury</w:t>
      </w:r>
      <w:r>
        <w:rPr>
          <w:rFonts w:ascii="Arial" w:cs="Arial" w:eastAsia="Arial" w:hAnsi="Arial"/>
          <w:sz w:val="15"/>
          <w:szCs w:val="15"/>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Arial" w:cs="Arial" w:eastAsia="Arial" w:hAnsi="Arial"/>
          <w:sz w:val="15"/>
          <w:szCs w:val="15"/>
          <w:u w:val="single" w:color="auto"/>
          <w:color w:val="auto"/>
        </w:rPr>
        <w:t>Maximum Rate</w:t>
      </w:r>
      <w:r>
        <w:rPr>
          <w:rFonts w:ascii="Arial" w:cs="Arial" w:eastAsia="Arial" w:hAnsi="Arial"/>
          <w:sz w:val="15"/>
          <w:szCs w:val="15"/>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Independent Nature of Purchasers’ Obligations and Rights</w:t>
      </w:r>
      <w:r>
        <w:rPr>
          <w:rFonts w:ascii="Arial" w:cs="Arial" w:eastAsia="Arial" w:hAnsi="Arial"/>
          <w:sz w:val="17"/>
          <w:szCs w:val="17"/>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200" w:lineRule="exact"/>
        <w:rPr>
          <w:sz w:val="20"/>
          <w:szCs w:val="20"/>
          <w:color w:val="auto"/>
        </w:rPr>
      </w:pPr>
    </w:p>
    <w:p>
      <w:pPr>
        <w:ind w:left="620"/>
        <w:spacing w:after="0"/>
        <w:tabs>
          <w:tab w:leader="none" w:pos="1480"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IN ANY ACTION, SUIT, OR PROCEEDING IN ANY JURISDICTION BROUGHT BY ANY PARTY</w:t>
      </w:r>
    </w:p>
    <w:p>
      <w:pPr>
        <w:spacing w:after="0" w:line="2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812" w:gutter="0" w:footer="0" w:header="0"/>
        </w:sectPr>
      </w:pPr>
    </w:p>
    <w:bookmarkStart w:id="60" w:name="page61"/>
    <w:bookmarkEnd w:id="60"/>
    <w:p>
      <w:pPr>
        <w:ind w:firstLine="620"/>
        <w:spacing w:after="0" w:line="280" w:lineRule="auto"/>
        <w:rPr>
          <w:sz w:val="20"/>
          <w:szCs w:val="20"/>
          <w:color w:val="auto"/>
        </w:rPr>
      </w:pPr>
      <w:r>
        <w:rPr>
          <w:rFonts w:ascii="Arial" w:cs="Arial" w:eastAsia="Arial" w:hAnsi="Arial"/>
          <w:sz w:val="17"/>
          <w:szCs w:val="17"/>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20"/>
                <w:szCs w:val="20"/>
                <w:color w:val="auto"/>
              </w:rPr>
            </w:pPr>
            <w:r>
              <w:rPr>
                <w:rFonts w:ascii="Arial" w:cs="Arial" w:eastAsia="Arial" w:hAnsi="Arial"/>
                <w:sz w:val="17"/>
                <w:szCs w:val="17"/>
                <w:b w:val="1"/>
                <w:bCs w:val="1"/>
                <w:color w:val="auto"/>
              </w:rPr>
              <w:t>VISTAGEN THERAPEUTICS, INC.</w:t>
            </w: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2"/>
              </w:rPr>
              <w:t>Address for Notice:</w:t>
            </w:r>
          </w:p>
        </w:tc>
        <w:tc>
          <w:tcPr>
            <w:tcW w:w="860" w:type="dxa"/>
            <w:vAlign w:val="bottom"/>
            <w:gridSpan w:val="2"/>
          </w:tcPr>
          <w:p>
            <w:pPr>
              <w:spacing w:after="0"/>
              <w:rPr>
                <w:sz w:val="16"/>
                <w:szCs w:val="16"/>
                <w:color w:val="auto"/>
              </w:rPr>
            </w:pPr>
          </w:p>
        </w:tc>
      </w:tr>
      <w:tr>
        <w:trPr>
          <w:trHeight w:val="393"/>
        </w:trPr>
        <w:tc>
          <w:tcPr>
            <w:tcW w:w="7000" w:type="dxa"/>
            <w:vAlign w:val="bottom"/>
          </w:tcPr>
          <w:p>
            <w:pPr>
              <w:spacing w:after="0"/>
              <w:rPr>
                <w:sz w:val="24"/>
                <w:szCs w:val="2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2"/>
              </w:rPr>
              <w:t>343 Allerton Avenue</w:t>
            </w:r>
          </w:p>
        </w:tc>
        <w:tc>
          <w:tcPr>
            <w:tcW w:w="780" w:type="dxa"/>
            <w:vAlign w:val="bottom"/>
          </w:tcPr>
          <w:p>
            <w:pPr>
              <w:spacing w:after="0"/>
              <w:rPr>
                <w:sz w:val="24"/>
                <w:szCs w:val="24"/>
                <w:color w:val="auto"/>
              </w:rPr>
            </w:pPr>
          </w:p>
        </w:tc>
      </w:tr>
      <w:tr>
        <w:trPr>
          <w:trHeight w:val="186"/>
        </w:trPr>
        <w:tc>
          <w:tcPr>
            <w:tcW w:w="7000" w:type="dxa"/>
            <w:vAlign w:val="bottom"/>
          </w:tcPr>
          <w:p>
            <w:pPr>
              <w:spacing w:after="0"/>
              <w:rPr>
                <w:sz w:val="16"/>
                <w:szCs w:val="16"/>
                <w:color w:val="auto"/>
              </w:rPr>
            </w:pPr>
          </w:p>
        </w:tc>
        <w:tc>
          <w:tcPr>
            <w:tcW w:w="2220" w:type="dxa"/>
            <w:vAlign w:val="bottom"/>
            <w:tcBorders>
              <w:bottom w:val="single" w:sz="8" w:color="auto"/>
            </w:tcBorders>
            <w:gridSpan w:val="5"/>
          </w:tcPr>
          <w:p>
            <w:pPr>
              <w:spacing w:after="0" w:line="186" w:lineRule="exact"/>
              <w:rPr>
                <w:sz w:val="20"/>
                <w:szCs w:val="20"/>
                <w:color w:val="auto"/>
              </w:rPr>
            </w:pPr>
            <w:r>
              <w:rPr>
                <w:rFonts w:ascii="Arial" w:cs="Arial" w:eastAsia="Arial" w:hAnsi="Arial"/>
                <w:sz w:val="17"/>
                <w:szCs w:val="17"/>
                <w:color w:val="auto"/>
                <w:w w:val="90"/>
              </w:rPr>
              <w:t>South San Francisco, CA 94080</w:t>
            </w:r>
          </w:p>
        </w:tc>
      </w:tr>
      <w:tr>
        <w:trPr>
          <w:trHeight w:val="186"/>
        </w:trPr>
        <w:tc>
          <w:tcPr>
            <w:tcW w:w="7000" w:type="dxa"/>
            <w:vAlign w:val="bottom"/>
          </w:tcPr>
          <w:p>
            <w:pPr>
              <w:spacing w:after="0" w:line="186" w:lineRule="exact"/>
              <w:rPr>
                <w:sz w:val="20"/>
                <w:szCs w:val="20"/>
                <w:color w:val="auto"/>
              </w:rPr>
            </w:pPr>
            <w:r>
              <w:rPr>
                <w:rFonts w:ascii="Arial" w:cs="Arial" w:eastAsia="Arial" w:hAnsi="Arial"/>
                <w:sz w:val="17"/>
                <w:szCs w:val="17"/>
                <w:color w:val="auto"/>
              </w:rPr>
              <w:t>By:__________________________________________</w:t>
            </w:r>
          </w:p>
        </w:tc>
        <w:tc>
          <w:tcPr>
            <w:tcW w:w="2220" w:type="dxa"/>
            <w:vAlign w:val="bottom"/>
            <w:gridSpan w:val="5"/>
          </w:tcPr>
          <w:p>
            <w:pPr>
              <w:spacing w:after="0" w:line="186" w:lineRule="exact"/>
              <w:rPr>
                <w:sz w:val="20"/>
                <w:szCs w:val="20"/>
                <w:color w:val="auto"/>
              </w:rPr>
            </w:pPr>
            <w:r>
              <w:rPr>
                <w:rFonts w:ascii="Arial" w:cs="Arial" w:eastAsia="Arial" w:hAnsi="Arial"/>
                <w:sz w:val="17"/>
                <w:szCs w:val="17"/>
                <w:color w:val="auto"/>
              </w:rPr>
              <w:t>Fax: (888) 482-2602</w:t>
            </w:r>
          </w:p>
        </w:tc>
      </w:tr>
      <w:tr>
        <w:trPr>
          <w:trHeight w:val="213"/>
        </w:trPr>
        <w:tc>
          <w:tcPr>
            <w:tcW w:w="7000" w:type="dxa"/>
            <w:vAlign w:val="bottom"/>
          </w:tcPr>
          <w:p>
            <w:pPr>
              <w:ind w:left="220"/>
              <w:spacing w:after="0"/>
              <w:rPr>
                <w:sz w:val="20"/>
                <w:szCs w:val="20"/>
                <w:color w:val="auto"/>
              </w:rPr>
            </w:pPr>
            <w:r>
              <w:rPr>
                <w:rFonts w:ascii="Arial" w:cs="Arial" w:eastAsia="Arial" w:hAnsi="Arial"/>
                <w:sz w:val="17"/>
                <w:szCs w:val="17"/>
                <w:color w:val="auto"/>
              </w:rPr>
              <w:t>Name: Shawn K. Singh</w:t>
            </w: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0"/>
        </w:trPr>
        <w:tc>
          <w:tcPr>
            <w:tcW w:w="7000" w:type="dxa"/>
            <w:vAlign w:val="bottom"/>
          </w:tcPr>
          <w:p>
            <w:pPr>
              <w:ind w:left="220"/>
              <w:spacing w:after="0" w:line="180" w:lineRule="exact"/>
              <w:rPr>
                <w:sz w:val="20"/>
                <w:szCs w:val="20"/>
                <w:color w:val="auto"/>
              </w:rPr>
            </w:pPr>
            <w:r>
              <w:rPr>
                <w:rFonts w:ascii="Arial" w:cs="Arial" w:eastAsia="Arial" w:hAnsi="Arial"/>
                <w:sz w:val="17"/>
                <w:szCs w:val="17"/>
                <w:color w:val="auto"/>
              </w:rPr>
              <w:t>Title:  Chief Executive Officer</w:t>
            </w:r>
          </w:p>
        </w:tc>
        <w:tc>
          <w:tcPr>
            <w:tcW w:w="2220" w:type="dxa"/>
            <w:vAlign w:val="bottom"/>
            <w:gridSpan w:val="5"/>
          </w:tcPr>
          <w:p>
            <w:pPr>
              <w:spacing w:after="0" w:line="180" w:lineRule="exact"/>
              <w:rPr>
                <w:sz w:val="20"/>
                <w:szCs w:val="20"/>
                <w:color w:val="auto"/>
              </w:rPr>
            </w:pPr>
            <w:r>
              <w:rPr>
                <w:rFonts w:ascii="Arial" w:cs="Arial" w:eastAsia="Arial" w:hAnsi="Arial"/>
                <w:sz w:val="17"/>
                <w:szCs w:val="17"/>
                <w:color w:val="auto"/>
              </w:rPr>
              <w:t>Email: ssingh@vistagen.com</w:t>
            </w:r>
          </w:p>
        </w:tc>
      </w:tr>
      <w:tr>
        <w:trPr>
          <w:trHeight w:val="20"/>
        </w:trPr>
        <w:tc>
          <w:tcPr>
            <w:tcW w:w="7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1" w:name="page62"/>
    <w:bookmarkEnd w:id="61"/>
    <w:p>
      <w:pPr>
        <w:jc w:val="center"/>
        <w:ind w:left="620"/>
        <w:spacing w:after="0"/>
        <w:rPr>
          <w:sz w:val="20"/>
          <w:szCs w:val="20"/>
          <w:color w:val="auto"/>
        </w:rPr>
      </w:pPr>
      <w:r>
        <w:rPr>
          <w:rFonts w:ascii="Arial" w:cs="Arial" w:eastAsia="Arial" w:hAnsi="Arial"/>
          <w:sz w:val="17"/>
          <w:szCs w:val="17"/>
          <w:color w:val="auto"/>
        </w:rPr>
        <w:t>[PURCHASER SIGNATURE PAGES TO VSTA SECURITIES PURCHASE AGREEMENT]</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Name of Purchaser: ___________________________________________________________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Authorized Signatory of Purchaser</w:t>
      </w:r>
      <w:r>
        <w:rPr>
          <w:rFonts w:ascii="Arial" w:cs="Arial" w:eastAsia="Arial" w:hAnsi="Arial"/>
          <w:sz w:val="17"/>
          <w:szCs w:val="17"/>
          <w:color w:val="auto"/>
        </w:rPr>
        <w:t>: 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Authorized Signatory: 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of Authorized Signatory: 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Email Address of Authorized Signatory: 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Facsimile Number of Authorized Signatory: 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Subscription Amount: $___________________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plus accrued but unpaid interest of Existing Note: $__________________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Shares of Preferred Stock: 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Warrant Shares: 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EIN Number: _______________________</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CONTINUE]</w:t>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650"/>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lvl w:ilvl="1">
      <w:lvlJc w:val="left"/>
      <w:lvlText w:val="o"/>
      <w:numFmt w:val="bullet"/>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3"/>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1)"/>
      <w:numFmt w:val="lowerLetter"/>
      <w:start w:val="2"/>
    </w:lvl>
    <w:lvl w:ilvl="1">
      <w:lvlJc w:val="left"/>
      <w:lvlText w:val="%2."/>
      <w:numFmt w:val="lowerRoman"/>
      <w:start w:val="1"/>
    </w:lvl>
  </w:abstractNum>
  <w:abstractNum w:abstractNumId="8">
    <w:nsid w:val="7724C67E"/>
    <w:multiLevelType w:val="hybridMultilevel"/>
    <w:lvl w:ilvl="0">
      <w:lvlJc w:val="left"/>
      <w:lvlText w:val="%1"/>
      <w:numFmt w:val="decimal"/>
      <w:start w:val="1"/>
    </w:lvl>
    <w:lvl w:ilvl="1">
      <w:lvlJc w:val="left"/>
      <w:lvlText w:val="%2."/>
      <w:numFmt w:val="lowerRoman"/>
      <w:start w:val="4"/>
    </w:lvl>
  </w:abstractNum>
  <w:abstractNum w:abstractNumId="9">
    <w:nsid w:val="5C482A97"/>
    <w:multiLevelType w:val="hybridMultilevel"/>
    <w:lvl w:ilvl="0">
      <w:lvlJc w:val="left"/>
      <w:lvlText w:val="(%1)"/>
      <w:numFmt w:val="decimal"/>
      <w:start w:val="2"/>
    </w:lvl>
    <w:lvl w:ilvl="1">
      <w:lvlJc w:val="left"/>
      <w:lvlText w:val="%2."/>
      <w:numFmt w:val="lowerRoman"/>
      <w:start w:val="5"/>
    </w:lvl>
  </w:abstractNum>
  <w:abstractNum w:abstractNumId="10">
    <w:nsid w:val="2463B9EA"/>
    <w:multiLevelType w:val="hybridMultilevel"/>
    <w:lvl w:ilvl="0">
      <w:lvlJc w:val="left"/>
      <w:lvlText w:val="%1"/>
      <w:numFmt w:val="lowerLetter"/>
      <w:start w:val="1"/>
    </w:lvl>
    <w:lvl w:ilvl="1">
      <w:lvlJc w:val="left"/>
      <w:lvlText w:val="%2."/>
      <w:numFmt w:val="lowerRoman"/>
      <w:start w:val="7"/>
    </w:lvl>
  </w:abstractNum>
  <w:abstractNum w:abstractNumId="11">
    <w:nsid w:val="5E884ADC"/>
    <w:multiLevelType w:val="hybridMultilevel"/>
    <w:lvl w:ilvl="0">
      <w:lvlJc w:val="left"/>
      <w:lvlText w:val="%1)"/>
      <w:numFmt w:val="lowerLetter"/>
      <w:start w:val="4"/>
    </w:lvl>
    <w:lvl w:ilvl="1">
      <w:lvlJc w:val="left"/>
      <w:lvlText w:val="%2"/>
      <w:numFmt w:val="lowerRoman"/>
      <w:start w:val="1"/>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3"/>
    </w:lvl>
  </w:abstractNum>
  <w:abstractNum w:abstractNumId="14">
    <w:nsid w:val="580BD78F"/>
    <w:multiLevelType w:val="hybridMultilevel"/>
    <w:lvl w:ilvl="0">
      <w:lvlJc w:val="left"/>
      <w:lvlText w:val="%1)"/>
      <w:numFmt w:val="lowerLetter"/>
      <w:start w:val="4"/>
    </w:lvl>
    <w:lvl w:ilvl="1">
      <w:lvlJc w:val="left"/>
      <w:lvlText w:val="%2."/>
      <w:numFmt w:val="lowerRoman"/>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2"/>
    </w:lvl>
  </w:abstractNum>
  <w:abstractNum w:abstractNumId="19">
    <w:nsid w:val="2A487CB0"/>
    <w:multiLevelType w:val="hybridMultilevel"/>
    <w:lvl w:ilvl="0">
      <w:lvlJc w:val="left"/>
      <w:lvlText w:val="%1)"/>
      <w:numFmt w:val="lowerLetter"/>
      <w:start w:val="8"/>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2"/>
    </w:lvl>
  </w:abstractNum>
  <w:abstractNum w:abstractNumId="22">
    <w:nsid w:val="2CD89A32"/>
    <w:multiLevelType w:val="hybridMultilevel"/>
    <w:lvl w:ilvl="0">
      <w:lvlJc w:val="left"/>
      <w:lvlText w:val="%1."/>
      <w:numFmt w:val="decimal"/>
      <w:start w:val="5"/>
    </w:lvl>
    <w:lvl w:ilvl="1">
      <w:lvlJc w:val="left"/>
      <w:lvlText w:val="(%2)"/>
      <w:numFmt w:val="lowerLetter"/>
      <w:start w:val="1"/>
    </w:lvl>
  </w:abstractNum>
  <w:abstractNum w:abstractNumId="23">
    <w:nsid w:val="57E4CCAF"/>
    <w:multiLevelType w:val="hybridMultilevel"/>
    <w:lvl w:ilvl="0">
      <w:lvlJc w:val="left"/>
      <w:lvlText w:val="%1"/>
      <w:numFmt w:val="decimal"/>
      <w:start w:val="1"/>
    </w:lvl>
    <w:lvl w:ilvl="1">
      <w:lvlJc w:val="left"/>
      <w:lvlText w:val="(%2)"/>
      <w:numFmt w:val="lowerLetter"/>
      <w:start w:val="2"/>
    </w:lvl>
  </w:abstractNum>
  <w:abstractNum w:abstractNumId="24">
    <w:nsid w:val="7A6D8D3C"/>
    <w:multiLevelType w:val="hybridMultilevel"/>
    <w:lvl w:ilvl="0">
      <w:lvlJc w:val="left"/>
      <w:lvlText w:val="%1."/>
      <w:numFmt w:val="decimal"/>
      <w:start w:val="9"/>
    </w:lvl>
    <w:lvl w:ilvl="1">
      <w:lvlJc w:val="left"/>
      <w:lvlText w:val="(%2)"/>
      <w:numFmt w:val="lowerLetter"/>
      <w:start w:val="8"/>
    </w:lvl>
  </w:abstractNum>
  <w:abstractNum w:abstractNumId="25">
    <w:nsid w:val="4B588F54"/>
    <w:multiLevelType w:val="hybridMultilevel"/>
    <w:lvl w:ilvl="0">
      <w:lvlJc w:val="left"/>
      <w:lvlText w:val="(%1)"/>
      <w:numFmt w:val="lowerLetter"/>
      <w:start w:val="10"/>
    </w:lvl>
  </w:abstractNum>
  <w:abstractNum w:abstractNumId="26">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5"/>
    </w:lvl>
  </w:abstractNum>
  <w:abstractNum w:abstractNumId="27">
    <w:nsid w:val="6DE91B18"/>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28">
    <w:nsid w:val="38437FD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9">
    <w:nsid w:val="7644A45C"/>
    <w:multiLevelType w:val="hybridMultilevel"/>
    <w:lvl w:ilvl="0">
      <w:lvlJc w:val="left"/>
      <w:lvlText w:val="%1"/>
      <w:numFmt w:val="decimal"/>
      <w:start w:val="1"/>
    </w:lvl>
    <w:lvl w:ilvl="1">
      <w:lvlJc w:val="left"/>
      <w:lvlText w:val="(%2)"/>
      <w:numFmt w:val="lowerLetter"/>
      <w:start w:val="2"/>
    </w:lvl>
  </w:abstractNum>
  <w:abstractNum w:abstractNumId="30">
    <w:nsid w:val="32FFF902"/>
    <w:multiLevelType w:val="hybridMultilevel"/>
    <w:lvl w:ilvl="0">
      <w:lvlJc w:val="left"/>
      <w:lvlText w:val="%1."/>
      <w:numFmt w:val="decimal"/>
      <w:start w:val="11"/>
    </w:lvl>
    <w:lvl w:ilvl="1">
      <w:lvlJc w:val="left"/>
      <w:lvlText w:val="(%2)"/>
      <w:numFmt w:val="lowerLetter"/>
      <w:start w:val="1"/>
    </w:lvl>
  </w:abstractNum>
  <w:abstractNum w:abstractNumId="31">
    <w:nsid w:val="684A481A"/>
    <w:multiLevelType w:val="hybridMultilevel"/>
    <w:lvl w:ilvl="0">
      <w:lvlJc w:val="left"/>
      <w:lvlText w:val="%1."/>
      <w:numFmt w:val="decimal"/>
      <w:start w:val="13"/>
    </w:lvl>
  </w:abstractNum>
  <w:abstractNum w:abstractNumId="32">
    <w:nsid w:val="579478FE"/>
    <w:multiLevelType w:val="hybridMultilevel"/>
    <w:lvl w:ilvl="0">
      <w:lvlJc w:val="left"/>
      <w:lvlText w:val="%1."/>
      <w:numFmt w:val="decimal"/>
      <w:start w:val="14"/>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lowerLetter"/>
      <w:start w:val="2"/>
    </w:lvl>
  </w:abstractNum>
  <w:abstractNum w:abstractNumId="35">
    <w:nsid w:val="1BA026FA"/>
    <w:multiLevelType w:val="hybridMultilevel"/>
    <w:lvl w:ilvl="0">
      <w:lvlJc w:val="left"/>
      <w:lvlText w:val="(%1)"/>
      <w:numFmt w:val="lowerLetter"/>
      <w:start w:val="1"/>
    </w:lvl>
    <w:lvl w:ilvl="1">
      <w:lvlJc w:val="left"/>
      <w:lvlText w:val="(%2)"/>
      <w:numFmt w:val="lowerRoman"/>
      <w:start w:val="1"/>
    </w:lvl>
  </w:abstractNum>
  <w:abstractNum w:abstractNumId="36">
    <w:nsid w:val="79A1DEAA"/>
    <w:multiLevelType w:val="hybridMultilevel"/>
    <w:lvl w:ilvl="0">
      <w:lvlJc w:val="left"/>
      <w:lvlText w:val="%1"/>
      <w:numFmt w:val="lowerLetter"/>
      <w:start w:val="1"/>
    </w:lvl>
    <w:lvl w:ilvl="1">
      <w:lvlJc w:val="left"/>
      <w:lvlText w:val="(%2)"/>
      <w:numFmt w:val="lowerRoman"/>
      <w:start w:val="3"/>
    </w:lvl>
  </w:abstractNum>
  <w:abstractNum w:abstractNumId="37">
    <w:nsid w:val="75C6C33A"/>
    <w:multiLevelType w:val="hybridMultilevel"/>
    <w:lvl w:ilvl="0">
      <w:lvlJc w:val="left"/>
      <w:lvlText w:val="(%1)"/>
      <w:numFmt w:val="lowerLetter"/>
      <w:start w:val="2"/>
    </w:lvl>
    <w:lvl w:ilvl="1">
      <w:lvlJc w:val="left"/>
      <w:lvlText w:val="(%2)"/>
      <w:numFmt w:val="lowerRoman"/>
      <w:start w:val="1"/>
    </w:lvl>
  </w:abstractNum>
  <w:abstractNum w:abstractNumId="38">
    <w:nsid w:val="12E685FB"/>
    <w:multiLevelType w:val="hybridMultilevel"/>
    <w:lvl w:ilvl="0">
      <w:lvlJc w:val="left"/>
      <w:lvlText w:val="(%1)"/>
      <w:numFmt w:val="lowerLetter"/>
      <w:start w:val="1"/>
    </w:lvl>
    <w:lvl w:ilvl="1">
      <w:lvlJc w:val="left"/>
      <w:lvlText w:val="(%2)"/>
      <w:numFmt w:val="lowerRoman"/>
      <w:start w:val="1"/>
    </w:lvl>
  </w:abstractNum>
  <w:abstractNum w:abstractNumId="39">
    <w:nsid w:val="70C6A529"/>
    <w:multiLevelType w:val="hybridMultilevel"/>
    <w:lvl w:ilvl="0">
      <w:lvlJc w:val="left"/>
      <w:lvlText w:val="(%1)"/>
      <w:numFmt w:val="lowerRoman"/>
      <w:start w:val="2"/>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3"/>
    </w:lvl>
  </w:abstractNum>
  <w:abstractNum w:abstractNumId="42">
    <w:nsid w:val="4F4EF005"/>
    <w:multiLevelType w:val="hybridMultilevel"/>
    <w:lvl w:ilvl="0">
      <w:lvlJc w:val="left"/>
      <w:lvlText w:val="(%1)"/>
      <w:numFmt w:val="lowerLetter"/>
      <w:start w:val="7"/>
    </w:lvl>
  </w:abstractNum>
  <w:abstractNum w:abstractNumId="43">
    <w:nsid w:val="23F9C13C"/>
    <w:multiLevelType w:val="hybridMultilevel"/>
    <w:lvl w:ilvl="0">
      <w:lvlJc w:val="left"/>
      <w:lvlText w:val="%1"/>
      <w:numFmt w:val="upperLetter"/>
      <w:start w:val="1"/>
    </w:lvl>
    <w:lvl w:ilvl="1">
      <w:lvlJc w:val="left"/>
      <w:lvlText w:val="(%2)"/>
      <w:numFmt w:val="lowerLetter"/>
      <w:start w:val="9"/>
    </w:lvl>
  </w:abstractNum>
  <w:abstractNum w:abstractNumId="44">
    <w:nsid w:val="649BB77C"/>
    <w:multiLevelType w:val="hybridMultilevel"/>
    <w:lvl w:ilvl="0">
      <w:lvlJc w:val="left"/>
      <w:lvlText w:val="(%1)"/>
      <w:numFmt w:val="upperLetter"/>
      <w:start w:val="2"/>
    </w:lvl>
    <w:lvl w:ilvl="1">
      <w:lvlJc w:val="left"/>
      <w:lvlText w:val="(%2)"/>
      <w:numFmt w:val="lowerLetter"/>
      <w:start w:val="10"/>
    </w:lvl>
  </w:abstractNum>
  <w:abstractNum w:abstractNumId="45">
    <w:nsid w:val="275AC794"/>
    <w:multiLevelType w:val="hybridMultilevel"/>
    <w:lvl w:ilvl="0">
      <w:lvlJc w:val="left"/>
      <w:lvlText w:val="(%1)"/>
      <w:numFmt w:val="lowerLetter"/>
      <w:start w:val="12"/>
    </w:lvl>
  </w:abstractNum>
  <w:abstractNum w:abstractNumId="46">
    <w:nsid w:val="39386575"/>
    <w:multiLevelType w:val="hybridMultilevel"/>
    <w:lvl w:ilvl="0">
      <w:lvlJc w:val="left"/>
      <w:lvlText w:val="(%1)"/>
      <w:numFmt w:val="lowerLetter"/>
      <w:start w:val="16"/>
    </w:lvl>
  </w:abstractNum>
  <w:abstractNum w:abstractNumId="47">
    <w:nsid w:val="1CF10FD8"/>
    <w:multiLevelType w:val="hybridMultilevel"/>
    <w:lvl w:ilvl="0">
      <w:lvlJc w:val="left"/>
      <w:lvlText w:val="(%1)"/>
      <w:numFmt w:val="lowerLetter"/>
      <w:start w:val="20"/>
    </w:lvl>
  </w:abstractNum>
  <w:abstractNum w:abstractNumId="48">
    <w:nsid w:val="180115BE"/>
    <w:multiLevelType w:val="hybridMultilevel"/>
    <w:lvl w:ilvl="0">
      <w:lvlJc w:val="left"/>
      <w:lvlText w:val="(%1)"/>
      <w:numFmt w:val="lowerLetter"/>
      <w:start w:val="27"/>
    </w:lvl>
  </w:abstractNum>
  <w:abstractNum w:abstractNumId="49">
    <w:nsid w:val="235BA861"/>
    <w:multiLevelType w:val="hybridMultilevel"/>
    <w:lvl w:ilvl="0">
      <w:lvlJc w:val="left"/>
      <w:lvlText w:val="(%1)"/>
      <w:numFmt w:val="lowerLetter"/>
      <w:start w:val="31"/>
    </w:lvl>
  </w:abstractNum>
  <w:abstractNum w:abstractNumId="50">
    <w:nsid w:val="47398C89"/>
    <w:multiLevelType w:val="hybridMultilevel"/>
    <w:lvl w:ilvl="0">
      <w:lvlJc w:val="left"/>
      <w:lvlText w:val="(%1)"/>
      <w:numFmt w:val="lowerLetter"/>
      <w:start w:val="37"/>
    </w:lvl>
  </w:abstractNum>
  <w:abstractNum w:abstractNumId="51">
    <w:nsid w:val="354FE9F9"/>
    <w:multiLevelType w:val="hybridMultilevel"/>
    <w:lvl w:ilvl="0">
      <w:lvlJc w:val="left"/>
      <w:lvlText w:val="(%1)"/>
      <w:numFmt w:val="lowerLetter"/>
      <w:start w:val="41"/>
    </w:lvl>
  </w:abstractNum>
  <w:abstractNum w:abstractNumId="52">
    <w:nsid w:val="15B5AF5C"/>
    <w:multiLevelType w:val="hybridMultilevel"/>
    <w:lvl w:ilvl="0">
      <w:lvlJc w:val="left"/>
      <w:lvlText w:val="(%1)"/>
      <w:numFmt w:val="lowerLetter"/>
      <w:start w:val="1"/>
    </w:lvl>
    <w:lvl w:ilvl="1">
      <w:lvlJc w:val="left"/>
      <w:lvlText w:val="(%2)"/>
      <w:numFmt w:val="lowerLetter"/>
      <w:start w:val="3"/>
    </w:lvl>
  </w:abstractNum>
  <w:abstractNum w:abstractNumId="53">
    <w:nsid w:val="741226BB"/>
    <w:multiLevelType w:val="hybridMultilevel"/>
    <w:lvl w:ilvl="0">
      <w:lvlJc w:val="left"/>
      <w:lvlText w:val="(%1)"/>
      <w:numFmt w:val="lowerLetter"/>
      <w:start w:val="4"/>
    </w:lvl>
  </w:abstractNum>
  <w:abstractNum w:abstractNumId="54">
    <w:nsid w:val="D34B6A8"/>
    <w:multiLevelType w:val="hybridMultilevel"/>
    <w:lvl w:ilvl="0">
      <w:lvlJc w:val="left"/>
      <w:lvlText w:val="(%1)"/>
      <w:numFmt w:val="lowerLetter"/>
      <w:start w:val="7"/>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upperLetter"/>
      <w:start w:val="1"/>
    </w:lvl>
    <w:lvl w:ilvl="1">
      <w:lvlJc w:val="left"/>
      <w:lvlText w:val="(%2)"/>
      <w:numFmt w:val="lowerLetter"/>
      <w:start w:val="3"/>
    </w:lvl>
  </w:abstractNum>
  <w:abstractNum w:abstractNumId="57">
    <w:nsid w:val="61574095"/>
    <w:multiLevelType w:val="hybridMultilevel"/>
    <w:lvl w:ilvl="0">
      <w:lvlJc w:val="left"/>
      <w:lvlText w:val="(%1)"/>
      <w:numFmt w:val="upperLetter"/>
      <w:start w:val="1"/>
    </w:lvl>
    <w:lvl w:ilvl="1">
      <w:lvlJc w:val="left"/>
      <w:lvlText w:val="%2"/>
      <w:numFmt w:val="lowerLetter"/>
      <w:start w:val="1"/>
    </w:lvl>
  </w:abstractNum>
  <w:abstractNum w:abstractNumId="58">
    <w:nsid w:val="7E0C57B1"/>
    <w:multiLevelType w:val="hybridMultilevel"/>
    <w:lvl w:ilvl="0">
      <w:lvlJc w:val="left"/>
      <w:lvlText w:val="(%1)"/>
      <w:numFmt w:val="lowerLetter"/>
      <w:start w:val="5"/>
    </w:lvl>
  </w:abstractNum>
  <w:abstractNum w:abstractNumId="59">
    <w:nsid w:val="77AE35EB"/>
    <w:multiLevelType w:val="hybridMultilevel"/>
    <w:lvl w:ilvl="0">
      <w:lvlJc w:val="left"/>
      <w:lvlText w:val="(%1)"/>
      <w:numFmt w:val="lowerLetter"/>
      <w:start w:val="1"/>
    </w:lvl>
    <w:lvl w:ilvl="1">
      <w:lvlJc w:val="left"/>
      <w:lvlText w:val="(%2)"/>
      <w:numFmt w:val="lowerLetter"/>
      <w:start w:val="2"/>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4"/>
    </w:lvl>
  </w:abstractNum>
  <w:abstractNum w:abstractNumId="65">
    <w:nsid w:val="1DBABF00"/>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2020-01-23T13:06:28Z</dcterms:created>
  <dcterms:modified xsi:type="dcterms:W3CDTF">2020-01-23T13:06:28Z</dcterms:modified>
</cp:coreProperties>
</file>