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2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Venrock Healthcare Capital Partners II,</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L.P.</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14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94304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40" w:type="dxa"/>
            <w:vAlign w:val="bottom"/>
            <w:tcBorders>
              <w:bottom w:val="single" w:sz="8" w:color="2C2C2C"/>
            </w:tcBorders>
          </w:tcPr>
          <w:p>
            <w:pPr>
              <w:spacing w:after="0"/>
              <w:rPr>
                <w:sz w:val="16"/>
                <w:szCs w:val="16"/>
                <w:color w:val="auto"/>
              </w:rPr>
            </w:pPr>
          </w:p>
        </w:tc>
        <w:tc>
          <w:tcPr>
            <w:tcW w:w="13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2"/>
                <w:szCs w:val="12"/>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200" w:type="dxa"/>
            <w:vAlign w:val="bottom"/>
            <w:gridSpan w:val="2"/>
            <w:vMerge w:val="continue"/>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07/12/2022</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spacing w:after="0" w:line="78"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4"/>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7"/>
                <w:szCs w:val="17"/>
                <w:color w:val="0000FF"/>
              </w:rPr>
              <w:t>07/12/2022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60,000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000" w:type="dxa"/>
            <w:vAlign w:val="bottom"/>
            <w:gridSpan w:val="5"/>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0.89</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20,637,286</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0" w:type="dxa"/>
            <w:vAlign w:val="bottom"/>
            <w:gridSpan w:val="5"/>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Funds</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4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Venrock Healthcare Capital Partners II, L.P.</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94304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VHCP Co-Investment Holdings II, LLC</w:t>
              </w:r>
            </w:hyperlink>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94304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VHCP Management II, 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C/O VENROCK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3340 HILLVIEW AVENUE</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94304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Venrock Healthcare Capital Partners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00"/>
              <w:spacing w:after="0"/>
              <w:rPr>
                <w:sz w:val="20"/>
                <w:szCs w:val="20"/>
                <w:color w:val="auto"/>
              </w:rPr>
            </w:pPr>
            <w:r>
              <w:rPr>
                <w:rFonts w:ascii="Arial" w:cs="Arial" w:eastAsia="Arial" w:hAnsi="Arial"/>
                <w:sz w:val="13"/>
                <w:szCs w:val="13"/>
                <w:color w:val="auto"/>
              </w:rPr>
              <w:t>(First)</w:t>
            </w:r>
          </w:p>
        </w:tc>
        <w:tc>
          <w:tcPr>
            <w:tcW w:w="178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17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69"/>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0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94304</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00"/>
              <w:spacing w:after="0"/>
              <w:rPr>
                <w:sz w:val="20"/>
                <w:szCs w:val="20"/>
                <w:color w:val="auto"/>
              </w:rPr>
            </w:pPr>
            <w:r>
              <w:rPr>
                <w:rFonts w:ascii="Arial" w:cs="Arial" w:eastAsia="Arial" w:hAnsi="Arial"/>
                <w:sz w:val="13"/>
                <w:szCs w:val="13"/>
                <w:color w:val="auto"/>
              </w:rPr>
              <w:t>(State)</w:t>
            </w:r>
          </w:p>
        </w:tc>
        <w:tc>
          <w:tcPr>
            <w:tcW w:w="17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VHCP Co-Investment Holdings III,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94304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VHCP Management III,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94304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Venrock Healthcare Capital Partners EG,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VENROCK</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3340 HILLVIEW AVENUE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94304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VHCP Management EG,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94304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25" w:right="1440" w:bottom="0" w:gutter="0" w:footer="0" w:header="0"/>
        </w:sectPr>
      </w:pP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Koh Bong Y</w:t>
        </w:r>
      </w:hyperlink>
    </w:p>
    <w:p>
      <w:pPr>
        <w:sectPr>
          <w:pgSz w:w="11900" w:h="16838" w:orient="portrait"/>
          <w:cols w:equalWidth="0" w:num="1">
            <w:col w:w="9979"/>
          </w:cols>
          <w:pgMar w:left="480" w:top="125"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94304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4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Shah Nimish P</w:t>
              </w:r>
            </w:hyperlink>
          </w:p>
        </w:tc>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3340 HILLVIEW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94304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075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30759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14,348 shares sold by Venrock Healthcare Capital Partners II, L.P. ("VHCP II"), 5,814 shares sold by VHCP Co-Investment Holdings II, LLC ("VHCP II Co"), 4,688 shares sold by Venrock Healthcare Capital Partners III, L.P. ("VHCP III"), 469 shares sold by VHCP Co-Investment Holdings III, LLC ("VHCP III Co") and 34,681 shares sold by Venrock Healthcare Capital Partners EG, L.P. ("VHCP EG").</w:t>
      </w:r>
    </w:p>
    <w:p>
      <w:pPr>
        <w:spacing w:after="0" w:line="20" w:lineRule="exact"/>
        <w:rPr>
          <w:rFonts w:ascii="Times New Roman" w:cs="Times New Roman" w:eastAsia="Times New Roman" w:hAnsi="Times New Roman"/>
          <w:sz w:val="13"/>
          <w:szCs w:val="13"/>
          <w:color w:val="008000"/>
        </w:rPr>
      </w:pPr>
    </w:p>
    <w:p>
      <w:pPr>
        <w:jc w:val="both"/>
        <w:ind w:left="20" w:right="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$0.86 to $0.91,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6"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4,935,020 shares held by VHCP II, 1,999,971 shares held by VHCP II Co, 1,612,582 shares held by VHCP III, 161,351 shares held by VHCP III Co and 11,928,362 shares held by VHCP EG.</w:t>
      </w:r>
    </w:p>
    <w:p>
      <w:pPr>
        <w:spacing w:after="0" w:line="187" w:lineRule="exact"/>
        <w:rPr>
          <w:rFonts w:ascii="Times New Roman" w:cs="Times New Roman" w:eastAsia="Times New Roman" w:hAnsi="Times New Roman"/>
          <w:sz w:val="13"/>
          <w:szCs w:val="13"/>
          <w:color w:val="008000"/>
        </w:rPr>
      </w:pPr>
    </w:p>
    <w:p>
      <w:pPr>
        <w:ind w:left="20" w:right="1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VHCP Management II, LLC ("VHCPM II") is the sole general partner of VHCP II and the sole manager of VHCP II Co. VHCP Management III, LLC ("VHCPM III") is the sole general partner of VHCP III and the sole manager of VHCP III Co. VHCP Management EG, LLC ("VHCPM EG") is the sole general partner of VHCP EG. Dr. Bong Koh and Nimish Shah are the voting members of VHCPM II, VHCPM III and VHCPM EG. Dr. Koh, Mr. Shah, VHCPM II, VHCPM III and VHCPM EG disclaim beneficial ownership over all shares held by VHCP II, VHCP II Co, VHCP III, VHCP III Co and VHCP EG, except to the extent of their respective indirect pecuniary interests therein.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167" w:right="539" w:bottom="1440" w:gutter="0" w:footer="0" w:header="0"/>
        </w:sectPr>
      </w:pP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David L. Stepp,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0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8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8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85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85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8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8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38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64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Stepp,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38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64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700" w:space="60"/>
            <w:col w:w="2120"/>
          </w:cols>
          <w:pgMar w:left="480" w:top="167"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6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12" Type="http://schemas.openxmlformats.org/officeDocument/2006/relationships/hyperlink" Target="http://www.sec.gov/cgi-bin/browse-edgar?action=getcompany&amp;CIK=0001602264" TargetMode="External"/><Relationship Id="rId13" Type="http://schemas.openxmlformats.org/officeDocument/2006/relationships/hyperlink" Target="http://www.sec.gov/cgi-bin/browse-edgar?action=getcompany&amp;CIK=0001411685" TargetMode="External"/><Relationship Id="rId14" Type="http://schemas.openxmlformats.org/officeDocument/2006/relationships/hyperlink" Target="http://www.sec.gov/cgi-bin/browse-edgar?action=getcompany&amp;CIK=0001615983" TargetMode="External"/><Relationship Id="rId16" Type="http://schemas.openxmlformats.org/officeDocument/2006/relationships/hyperlink" Target="http://www.sec.gov/cgi-bin/browse-edgar?action=getcompany&amp;CIK=0001602263" TargetMode="External"/><Relationship Id="rId18" Type="http://schemas.openxmlformats.org/officeDocument/2006/relationships/hyperlink" Target="http://www.sec.gov/cgi-bin/browse-edgar?action=getcompany&amp;CIK=0001738048" TargetMode="External"/><Relationship Id="rId19" Type="http://schemas.openxmlformats.org/officeDocument/2006/relationships/hyperlink" Target="http://www.sec.gov/cgi-bin/browse-edgar?action=getcompany&amp;CIK=0001750761" TargetMode="External"/><Relationship Id="rId20" Type="http://schemas.openxmlformats.org/officeDocument/2006/relationships/hyperlink" Target="http://www.sec.gov/cgi-bin/browse-edgar?action=getcompany&amp;CIK=0001738053" TargetMode="External"/><Relationship Id="rId21" Type="http://schemas.openxmlformats.org/officeDocument/2006/relationships/hyperlink" Target="http://www.sec.gov/cgi-bin/browse-edgar?action=getcompany&amp;CIK=0001808512" TargetMode="External"/><Relationship Id="rId22" Type="http://schemas.openxmlformats.org/officeDocument/2006/relationships/hyperlink" Target="http://www.sec.gov/cgi-bin/browse-edgar?action=getcompany&amp;CIK=0001808518" TargetMode="External"/><Relationship Id="rId23" Type="http://schemas.openxmlformats.org/officeDocument/2006/relationships/hyperlink" Target="http://www.sec.gov/cgi-bin/browse-edgar?action=getcompany&amp;CIK=0001615979" TargetMode="External"/><Relationship Id="rId24" Type="http://schemas.openxmlformats.org/officeDocument/2006/relationships/hyperlink" Target="http://www.sec.gov/cgi-bin/browse-edgar?action=getcompany&amp;CIK=0001698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2022-07-14T16:49:50Z</dcterms:created>
  <dcterms:modified xsi:type="dcterms:W3CDTF">2022-07-14T16:49:50Z</dcterms:modified>
</cp:coreProperties>
</file>