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-230505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2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-621030</wp:posOffset>
            </wp:positionV>
            <wp:extent cx="5778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4059555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-1788795</wp:posOffset>
            </wp:positionH>
            <wp:positionV relativeFrom="paragraph">
              <wp:posOffset>14605</wp:posOffset>
            </wp:positionV>
            <wp:extent cx="7326630" cy="9253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9253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SNODGRASS H. RALPH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21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 w:right="780" w:hanging="4"/>
        <w:spacing w:after="0" w:line="236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PRES./CHIEF SCIENTIFIC OFFICER</w:t>
      </w:r>
    </w:p>
    <w:p>
      <w:pPr>
        <w:spacing w:after="0" w:line="5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1" w:right="139" w:bottom="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0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Securities Acquired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(D) 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03/24/2013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03/24/2019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2,500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03/24/2019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1,250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12/17/2009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06/17/2019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1,250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1,250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06/17/2019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1,250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1,250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12/31/2012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12/30/2019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12/30/2019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3.49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06/19/2026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125,000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06/19/2026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125,000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3.8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80,000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11/09/2026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11/09/2026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1.96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(8)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125,000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125,000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agreed to cancellation of an option granted to him on 3/24/2009 in exchange for a new option having a lower exercise price.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agreed to cancellation of an option granted to him on 6/17/2009 in exchange for a new option having a lower exercise price.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agreed to cancellation of an option granted to him on 12/30/2009 in exchange for a new option having a lower exercise price.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agreed to cancellation of an option granted to him on 6/19/2016 in exchange for a new option having a lower exercise price.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monthly over a period of four years commencing 6/19/2016.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agreed to cancellation of an option granted to him on 11/9/2016 in exchange for a new option having a lower exercise price.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monthly over a period of three years commencing 11/9/2016.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agreed to cancellation of an option granted to him on 4/26/2017 in exchange for a new option having a lower exercise price.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monthly over a period of three years commencing 4/26/2017.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Jerrold D. Dotson,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08/31/2018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799" w:firstLine="1"/>
        <w:spacing w:after="0" w:line="330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2020-01-12T20:48:35Z</dcterms:created>
  <dcterms:modified xsi:type="dcterms:W3CDTF">2020-01-12T20:48:35Z</dcterms:modified>
</cp:coreProperties>
</file>