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585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585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Shawn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4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80"/>
              <w:spacing w:after="0" w:line="147"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74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1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00"/>
              <w:spacing w:after="0" w:line="142"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4"/>
        </w:trPr>
        <w:tc>
          <w:tcPr>
            <w:tcW w:w="11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0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8"/>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3,732</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04/07/2026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3,732</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vMerge w:val="restart"/>
          </w:tcPr>
          <w:p>
            <w:pPr>
              <w:jc w:val="right"/>
              <w:ind w:right="261"/>
              <w:spacing w:after="0" w:line="142" w:lineRule="exact"/>
              <w:rPr>
                <w:sz w:val="20"/>
                <w:szCs w:val="20"/>
                <w:color w:val="auto"/>
              </w:rPr>
            </w:pPr>
            <w:r>
              <w:rPr>
                <w:rFonts w:ascii="Times New Roman" w:cs="Times New Roman" w:eastAsia="Times New Roman" w:hAnsi="Times New Roman"/>
                <w:sz w:val="13"/>
                <w:szCs w:val="13"/>
                <w:color w:val="0000FF"/>
              </w:rPr>
              <w:t>3,732</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04/07/2026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71,268</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5"/>
              <w:spacing w:after="0" w:line="194" w:lineRule="exact"/>
              <w:rPr>
                <w:sz w:val="20"/>
                <w:szCs w:val="20"/>
                <w:color w:val="auto"/>
              </w:rPr>
            </w:pPr>
            <w:r>
              <w:rPr>
                <w:rFonts w:ascii="Times New Roman" w:cs="Times New Roman" w:eastAsia="Times New Roman" w:hAnsi="Times New Roman"/>
                <w:sz w:val="17"/>
                <w:szCs w:val="17"/>
                <w:color w:val="0000FF"/>
                <w:w w:val="94"/>
              </w:rPr>
              <w:t>71,268</w:t>
            </w:r>
          </w:p>
        </w:tc>
        <w:tc>
          <w:tcPr>
            <w:tcW w:w="6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940" w:type="dxa"/>
            <w:vAlign w:val="bottom"/>
          </w:tcPr>
          <w:p>
            <w:pPr>
              <w:jc w:val="right"/>
              <w:ind w:right="221"/>
              <w:spacing w:after="0"/>
              <w:rPr>
                <w:sz w:val="20"/>
                <w:szCs w:val="20"/>
                <w:color w:val="auto"/>
              </w:rPr>
            </w:pPr>
            <w:r>
              <w:rPr>
                <w:rFonts w:ascii="Times New Roman" w:cs="Times New Roman" w:eastAsia="Times New Roman" w:hAnsi="Times New Roman"/>
                <w:sz w:val="13"/>
                <w:szCs w:val="13"/>
                <w:color w:val="0000FF"/>
              </w:rPr>
              <w:t>71,268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Omnibus Equity Incentive Plan, as amended. 25% of the Options will vest on the six-month anniversary of April 7, 2026 (the "Grant Date"), and will vest in 25% installments every six months thereafter until the Options become fully vested on the two (2) year anniversary of the Grant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By: Nick B. Tressler, Attorney- </w:t>
      </w:r>
      <w:r>
        <w:rPr>
          <w:rFonts w:ascii="Times New Roman" w:cs="Times New Roman" w:eastAsia="Times New Roman" w:hAnsi="Times New Roman"/>
          <w:sz w:val="32"/>
          <w:szCs w:val="32"/>
          <w:color w:val="0000FF"/>
          <w:vertAlign w:val="subscript"/>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Shawn K. Singh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68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makes, constitutes and appoints each of Nick B.</w:t>
      </w:r>
    </w:p>
    <w:p>
      <w:pPr>
        <w:spacing w:after="0" w:line="1" w:lineRule="exact"/>
        <w:rPr>
          <w:sz w:val="20"/>
          <w:szCs w:val="20"/>
          <w:color w:val="auto"/>
        </w:rPr>
      </w:pPr>
    </w:p>
    <w:p>
      <w:pPr>
        <w:ind w:right="1959"/>
        <w:spacing w:after="0" w:line="253" w:lineRule="auto"/>
        <w:rPr>
          <w:sz w:val="20"/>
          <w:szCs w:val="20"/>
          <w:color w:val="auto"/>
        </w:rPr>
      </w:pPr>
      <w:r>
        <w:rPr>
          <w:rFonts w:ascii="Courier New" w:cs="Courier New" w:eastAsia="Courier New" w:hAnsi="Courier New"/>
          <w:sz w:val="17"/>
          <w:szCs w:val="17"/>
          <w:color w:val="auto"/>
        </w:rPr>
        <w:t>Tressler and Reid G. Adler,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spacing w:after="0" w:line="96" w:lineRule="exact"/>
        <w:rPr>
          <w:sz w:val="20"/>
          <w:szCs w:val="20"/>
          <w:color w:val="auto"/>
        </w:rPr>
      </w:pPr>
    </w:p>
    <w:p>
      <w:pPr>
        <w:ind w:right="19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99" w:lineRule="exact"/>
        <w:rPr>
          <w:rFonts w:ascii="Courier New" w:cs="Courier New" w:eastAsia="Courier New" w:hAnsi="Courier New"/>
          <w:sz w:val="17"/>
          <w:szCs w:val="17"/>
          <w:color w:val="auto"/>
        </w:rPr>
      </w:pPr>
    </w:p>
    <w:p>
      <w:pPr>
        <w:ind w:right="1959" w:firstLine="3"/>
        <w:spacing w:after="0" w:line="256"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97" w:lineRule="exact"/>
        <w:rPr>
          <w:rFonts w:ascii="Courier New" w:cs="Courier New" w:eastAsia="Courier New" w:hAnsi="Courier New"/>
          <w:sz w:val="17"/>
          <w:szCs w:val="17"/>
          <w:color w:val="auto"/>
        </w:rPr>
      </w:pPr>
    </w:p>
    <w:p>
      <w:pPr>
        <w:ind w:right="1959" w:firstLine="3"/>
        <w:spacing w:after="0" w:line="384"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and file SEC Filings with the SEC utilizing the EDGAR system or cause them to be submitted and filed by a person appointed under Section 5 below;</w:t>
      </w:r>
    </w:p>
    <w:p>
      <w:pPr>
        <w:ind w:right="2059" w:firstLine="3"/>
        <w:spacing w:after="0" w:line="352"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submit or otherwise deliver SEC Filings to any securities exchange on which the Company's securities may be listed or traded;</w:t>
      </w:r>
    </w:p>
    <w:p>
      <w:pPr>
        <w:spacing w:after="0" w:line="15" w:lineRule="exact"/>
        <w:rPr>
          <w:rFonts w:ascii="Courier New" w:cs="Courier New" w:eastAsia="Courier New" w:hAnsi="Courier New"/>
          <w:sz w:val="17"/>
          <w:szCs w:val="17"/>
          <w:color w:val="auto"/>
        </w:rPr>
      </w:pPr>
    </w:p>
    <w:p>
      <w:pPr>
        <w:ind w:right="22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9" w:lineRule="exact"/>
        <w:rPr>
          <w:rFonts w:ascii="Courier New" w:cs="Courier New" w:eastAsia="Courier New" w:hAnsi="Courier New"/>
          <w:sz w:val="17"/>
          <w:szCs w:val="17"/>
          <w:color w:val="auto"/>
        </w:rPr>
      </w:pPr>
    </w:p>
    <w:p>
      <w:pPr>
        <w:ind w:right="2359" w:firstLine="3"/>
        <w:spacing w:after="0" w:line="278"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74" w:lineRule="exact"/>
        <w:rPr>
          <w:rFonts w:ascii="Courier New" w:cs="Courier New" w:eastAsia="Courier New" w:hAnsi="Courier New"/>
          <w:sz w:val="17"/>
          <w:szCs w:val="17"/>
          <w:color w:val="auto"/>
        </w:rPr>
      </w:pPr>
    </w:p>
    <w:p>
      <w:pPr>
        <w:ind w:right="1959" w:firstLine="3"/>
        <w:spacing w:after="0" w:line="289"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194" w:lineRule="exact"/>
        <w:rPr>
          <w:sz w:val="20"/>
          <w:szCs w:val="20"/>
          <w:color w:val="auto"/>
        </w:rPr>
      </w:pPr>
    </w:p>
    <w:p>
      <w:pPr>
        <w:jc w:val="both"/>
        <w:ind w:right="1959" w:firstLine="3"/>
        <w:spacing w:after="0" w:line="296"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61" w:lineRule="exact"/>
        <w:rPr>
          <w:rFonts w:ascii="Courier New" w:cs="Courier New" w:eastAsia="Courier New" w:hAnsi="Courier New"/>
          <w:sz w:val="17"/>
          <w:szCs w:val="17"/>
          <w:color w:val="auto"/>
        </w:rPr>
      </w:pPr>
    </w:p>
    <w:p>
      <w:pPr>
        <w:ind w:right="21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4" w:lineRule="exact"/>
        <w:rPr>
          <w:rFonts w:ascii="Courier New" w:cs="Courier New" w:eastAsia="Courier New" w:hAnsi="Courier New"/>
          <w:sz w:val="17"/>
          <w:szCs w:val="17"/>
          <w:color w:val="auto"/>
        </w:rPr>
      </w:pPr>
    </w:p>
    <w:p>
      <w:pPr>
        <w:ind w:right="1959" w:firstLine="3"/>
        <w:spacing w:after="0" w:line="263"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rFonts w:ascii="Courier New" w:cs="Courier New" w:eastAsia="Courier New" w:hAnsi="Courier New"/>
          <w:sz w:val="17"/>
          <w:szCs w:val="17"/>
          <w:color w:val="auto"/>
        </w:rPr>
      </w:pPr>
    </w:p>
    <w:p>
      <w:pPr>
        <w:ind w:right="19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75" w:lineRule="exact"/>
        <w:rPr>
          <w:sz w:val="20"/>
          <w:szCs w:val="20"/>
          <w:color w:val="auto"/>
        </w:rPr>
      </w:pPr>
    </w:p>
    <w:p>
      <w:pPr>
        <w:ind w:right="1959"/>
        <w:spacing w:after="0" w:line="282" w:lineRule="auto"/>
        <w:rPr>
          <w:sz w:val="20"/>
          <w:szCs w:val="20"/>
          <w:color w:val="auto"/>
        </w:rPr>
      </w:pPr>
      <w:r>
        <w:rPr>
          <w:rFonts w:ascii="Courier New" w:cs="Courier New" w:eastAsia="Courier New" w:hAnsi="Courier New"/>
          <w:sz w:val="16"/>
          <w:szCs w:val="16"/>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ectPr>
          <w:pgSz w:w="11900" w:h="16871" w:orient="portrait"/>
          <w:cols w:equalWidth="0" w:num="1">
            <w:col w:w="9999"/>
          </w:cols>
          <w:pgMar w:left="460" w:top="1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Attorney.</w:t>
      </w:r>
    </w:p>
    <w:p>
      <w:pPr>
        <w:spacing w:after="0" w:line="194" w:lineRule="exact"/>
        <w:rPr>
          <w:sz w:val="20"/>
          <w:szCs w:val="20"/>
          <w:color w:val="auto"/>
        </w:rPr>
      </w:pPr>
    </w:p>
    <w:p>
      <w:pPr>
        <w:ind w:right="1959"/>
        <w:spacing w:after="0" w:line="25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93" w:lineRule="exact"/>
        <w:rPr>
          <w:sz w:val="20"/>
          <w:szCs w:val="20"/>
          <w:color w:val="auto"/>
        </w:rPr>
      </w:pPr>
    </w:p>
    <w:p>
      <w:pPr>
        <w:ind w:right="2259"/>
        <w:spacing w:after="0" w:line="352"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April 9, 2026.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Shawn K. Singh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Printed Name: Shawn K. Singh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12071"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2026-04-09T19:44:05Z</dcterms:created>
  <dcterms:modified xsi:type="dcterms:W3CDTF">2026-04-09T19:44:05Z</dcterms:modified>
</cp:coreProperties>
</file>