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ind w:left="518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u w:val="single" w:color="auto"/>
          <w:color w:val="auto"/>
        </w:rPr>
        <w:t>July 1, 2015</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u w:val="single" w:color="auto"/>
          <w:color w:val="auto"/>
        </w:rPr>
        <w:t>000-54014</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VistaGen Therapeutics, Inc.</w:t>
      </w:r>
    </w:p>
    <w:p>
      <w:pPr>
        <w:spacing w:after="0" w:line="34" w:lineRule="exact"/>
        <w:rPr>
          <w:sz w:val="24"/>
          <w:szCs w:val="24"/>
          <w:color w:val="auto"/>
        </w:rPr>
      </w:pPr>
    </w:p>
    <w:p>
      <w:pPr>
        <w:ind w:left="2980"/>
        <w:spacing w:after="0"/>
        <w:rPr>
          <w:sz w:val="20"/>
          <w:szCs w:val="20"/>
          <w:color w:val="auto"/>
        </w:rPr>
      </w:pPr>
      <w:r>
        <w:rPr>
          <w:rFonts w:ascii="Arial" w:cs="Arial" w:eastAsia="Arial" w:hAnsi="Arial"/>
          <w:sz w:val="22"/>
          <w:szCs w:val="22"/>
          <w:color w:val="auto"/>
        </w:rPr>
        <w:t>(Exact name of small business issuer as specified in its charter)</w:t>
      </w:r>
    </w:p>
    <w:p>
      <w:pPr>
        <w:spacing w:after="0" w:line="188" w:lineRule="exact"/>
        <w:rPr>
          <w:sz w:val="24"/>
          <w:szCs w:val="24"/>
          <w:color w:val="auto"/>
        </w:rPr>
      </w:pPr>
    </w:p>
    <w:p>
      <w:pPr>
        <w:ind w:left="5380"/>
        <w:spacing w:after="0"/>
        <w:rPr>
          <w:sz w:val="20"/>
          <w:szCs w:val="20"/>
          <w:color w:val="auto"/>
        </w:rPr>
      </w:pPr>
      <w:r>
        <w:rPr>
          <w:rFonts w:ascii="Arial" w:cs="Arial" w:eastAsia="Arial" w:hAnsi="Arial"/>
          <w:sz w:val="22"/>
          <w:szCs w:val="22"/>
          <w:u w:val="single" w:color="auto"/>
          <w:color w:val="auto"/>
        </w:rPr>
        <w:t>Nevada</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(State or other jurisdiction of incorporation or organization)</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20-5093315</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(IRS Employer Identification No.)</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343 Allerton Avenue, South San Francisco, California 94080</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(Address of principal executive offices)</w:t>
      </w:r>
    </w:p>
    <w:p>
      <w:pPr>
        <w:spacing w:after="0" w:line="188" w:lineRule="exact"/>
        <w:rPr>
          <w:sz w:val="24"/>
          <w:szCs w:val="24"/>
          <w:color w:val="auto"/>
        </w:rPr>
      </w:pPr>
    </w:p>
    <w:p>
      <w:pPr>
        <w:ind w:left="5560" w:hanging="521"/>
        <w:spacing w:after="0"/>
        <w:tabs>
          <w:tab w:leader="none" w:pos="5560" w:val="left"/>
        </w:tabs>
        <w:numPr>
          <w:ilvl w:val="0"/>
          <w:numId w:val="1"/>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577-3600</w:t>
      </w:r>
    </w:p>
    <w:p>
      <w:pPr>
        <w:spacing w:after="0" w:line="8" w:lineRule="exact"/>
        <w:rPr>
          <w:rFonts w:ascii="Arial" w:cs="Arial" w:eastAsia="Arial" w:hAnsi="Arial"/>
          <w:sz w:val="22"/>
          <w:szCs w:val="22"/>
          <w:u w:val="single" w:color="auto"/>
          <w:color w:val="auto"/>
        </w:rPr>
      </w:pPr>
    </w:p>
    <w:p>
      <w:pPr>
        <w:ind w:left="4300"/>
        <w:spacing w:after="0"/>
        <w:rPr>
          <w:rFonts w:ascii="Arial" w:cs="Arial" w:eastAsia="Arial" w:hAnsi="Arial"/>
          <w:sz w:val="22"/>
          <w:szCs w:val="22"/>
          <w:u w:val="single" w:color="auto"/>
          <w:color w:val="auto"/>
        </w:rPr>
      </w:pPr>
      <w:r>
        <w:rPr>
          <w:rFonts w:ascii="Arial" w:cs="Arial" w:eastAsia="Arial" w:hAnsi="Arial"/>
          <w:sz w:val="22"/>
          <w:szCs w:val="22"/>
          <w:color w:val="auto"/>
        </w:rPr>
        <w:t>(Registrant's Telephone number)</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Not Applicable</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188"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180" w:hanging="172"/>
        <w:spacing w:after="0"/>
        <w:tabs>
          <w:tab w:leader="none" w:pos="180" w:val="left"/>
        </w:tabs>
        <w:numPr>
          <w:ilvl w:val="0"/>
          <w:numId w:val="2"/>
        </w:numPr>
        <w:rPr>
          <w:rFonts w:ascii="Arial" w:cs="Arial" w:eastAsia="Arial" w:hAnsi="Arial"/>
          <w:sz w:val="22"/>
          <w:szCs w:val="22"/>
          <w:color w:val="auto"/>
        </w:rPr>
      </w:pPr>
      <w:r>
        <w:rPr>
          <w:rFonts w:ascii="Arial" w:cs="Arial" w:eastAsia="Arial" w:hAnsi="Arial"/>
          <w:sz w:val="22"/>
          <w:szCs w:val="22"/>
          <w:color w:val="auto"/>
        </w:rPr>
        <w:t>] Written communications pursuant to Rule 425 under the Securities Act (17 CFR 230.425)</w:t>
      </w:r>
    </w:p>
    <w:p>
      <w:pPr>
        <w:spacing w:after="0" w:line="206" w:lineRule="exact"/>
        <w:rPr>
          <w:rFonts w:ascii="Arial" w:cs="Arial" w:eastAsia="Arial" w:hAnsi="Arial"/>
          <w:sz w:val="22"/>
          <w:szCs w:val="22"/>
          <w:color w:val="auto"/>
        </w:rPr>
      </w:pPr>
    </w:p>
    <w:p>
      <w:pPr>
        <w:ind w:left="180" w:hanging="172"/>
        <w:spacing w:after="0"/>
        <w:tabs>
          <w:tab w:leader="none" w:pos="180" w:val="left"/>
        </w:tabs>
        <w:numPr>
          <w:ilvl w:val="0"/>
          <w:numId w:val="2"/>
        </w:numPr>
        <w:rPr>
          <w:rFonts w:ascii="Arial" w:cs="Arial" w:eastAsia="Arial" w:hAnsi="Arial"/>
          <w:sz w:val="22"/>
          <w:szCs w:val="22"/>
          <w:color w:val="auto"/>
        </w:rPr>
      </w:pPr>
      <w:r>
        <w:rPr>
          <w:rFonts w:ascii="Arial" w:cs="Arial" w:eastAsia="Arial" w:hAnsi="Arial"/>
          <w:sz w:val="22"/>
          <w:szCs w:val="22"/>
          <w:color w:val="auto"/>
        </w:rPr>
        <w:t>] Soliciting material pursuant to Rule 14a-12 under the Exchange Act (17 CFR 240.14a-12)</w:t>
      </w:r>
    </w:p>
    <w:p>
      <w:pPr>
        <w:spacing w:after="0" w:line="206" w:lineRule="exact"/>
        <w:rPr>
          <w:rFonts w:ascii="Arial" w:cs="Arial" w:eastAsia="Arial" w:hAnsi="Arial"/>
          <w:sz w:val="22"/>
          <w:szCs w:val="22"/>
          <w:color w:val="auto"/>
        </w:rPr>
      </w:pPr>
    </w:p>
    <w:p>
      <w:pPr>
        <w:ind w:left="180" w:hanging="172"/>
        <w:spacing w:after="0"/>
        <w:tabs>
          <w:tab w:leader="none" w:pos="180" w:val="left"/>
        </w:tabs>
        <w:numPr>
          <w:ilvl w:val="0"/>
          <w:numId w:val="2"/>
        </w:numPr>
        <w:rPr>
          <w:rFonts w:ascii="Arial" w:cs="Arial" w:eastAsia="Arial" w:hAnsi="Arial"/>
          <w:sz w:val="22"/>
          <w:szCs w:val="22"/>
          <w:color w:val="auto"/>
        </w:rPr>
      </w:pPr>
      <w:r>
        <w:rPr>
          <w:rFonts w:ascii="Arial" w:cs="Arial" w:eastAsia="Arial" w:hAnsi="Arial"/>
          <w:sz w:val="22"/>
          <w:szCs w:val="22"/>
          <w:color w:val="auto"/>
        </w:rPr>
        <w:t>] Pre-commencement communications pursuant to Rule 14d-2(b) under the Exchange Act (17 CFR 240.14d-2(b))</w:t>
      </w:r>
    </w:p>
    <w:p>
      <w:pPr>
        <w:spacing w:after="0" w:line="206" w:lineRule="exact"/>
        <w:rPr>
          <w:rFonts w:ascii="Arial" w:cs="Arial" w:eastAsia="Arial" w:hAnsi="Arial"/>
          <w:sz w:val="22"/>
          <w:szCs w:val="22"/>
          <w:color w:val="auto"/>
        </w:rPr>
      </w:pPr>
    </w:p>
    <w:p>
      <w:pPr>
        <w:ind w:left="180" w:hanging="172"/>
        <w:spacing w:after="0"/>
        <w:tabs>
          <w:tab w:leader="none" w:pos="180" w:val="left"/>
        </w:tabs>
        <w:numPr>
          <w:ilvl w:val="0"/>
          <w:numId w:val="2"/>
        </w:numPr>
        <w:rPr>
          <w:rFonts w:ascii="Arial" w:cs="Arial" w:eastAsia="Arial" w:hAnsi="Arial"/>
          <w:sz w:val="22"/>
          <w:szCs w:val="22"/>
          <w:color w:val="auto"/>
        </w:rPr>
      </w:pPr>
      <w:r>
        <w:rPr>
          <w:rFonts w:ascii="Arial" w:cs="Arial" w:eastAsia="Arial" w:hAnsi="Arial"/>
          <w:sz w:val="22"/>
          <w:szCs w:val="22"/>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85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22"/>
          <w:szCs w:val="22"/>
          <w:b w:val="1"/>
          <w:bCs w:val="1"/>
          <w:color w:val="auto"/>
        </w:rPr>
        <w:t>Item 3.02</w:t>
      </w:r>
      <w:r>
        <w:rPr>
          <w:sz w:val="20"/>
          <w:szCs w:val="20"/>
          <w:color w:val="auto"/>
        </w:rPr>
        <w:tab/>
      </w:r>
      <w:r>
        <w:rPr>
          <w:rFonts w:ascii="Arial" w:cs="Arial" w:eastAsia="Arial" w:hAnsi="Arial"/>
          <w:sz w:val="19"/>
          <w:szCs w:val="19"/>
          <w:b w:val="1"/>
          <w:bCs w:val="1"/>
          <w:color w:val="auto"/>
        </w:rPr>
        <w:t>Unregistered Sales of Equity Securities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Item 8.01.</w:t>
      </w:r>
    </w:p>
    <w:p>
      <w:pPr>
        <w:spacing w:after="0" w:line="200"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22"/>
          <w:szCs w:val="22"/>
          <w:b w:val="1"/>
          <w:bCs w:val="1"/>
          <w:color w:val="auto"/>
        </w:rPr>
        <w:t>Item 8.01</w:t>
      </w:r>
      <w:r>
        <w:rPr>
          <w:sz w:val="20"/>
          <w:szCs w:val="20"/>
          <w:color w:val="auto"/>
        </w:rPr>
        <w:tab/>
      </w:r>
      <w:r>
        <w:rPr>
          <w:rFonts w:ascii="Arial" w:cs="Arial" w:eastAsia="Arial" w:hAnsi="Arial"/>
          <w:sz w:val="19"/>
          <w:szCs w:val="19"/>
          <w:b w:val="1"/>
          <w:bCs w:val="1"/>
          <w:color w:val="auto"/>
        </w:rPr>
        <w:t>Other Events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Debt-to-Equity Conversions.</w:t>
      </w:r>
    </w:p>
    <w:p>
      <w:pPr>
        <w:spacing w:after="0" w:line="20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Between June 18, 2015 and July 2, 2015, VistaGen Therapeutics, Inc., a Nevada corporation (the “</w:t>
      </w:r>
      <w:r>
        <w:rPr>
          <w:rFonts w:ascii="Arial" w:cs="Arial" w:eastAsia="Arial" w:hAnsi="Arial"/>
          <w:sz w:val="21"/>
          <w:szCs w:val="21"/>
          <w:i w:val="1"/>
          <w:iCs w:val="1"/>
          <w:color w:val="auto"/>
        </w:rPr>
        <w:t>Company</w:t>
      </w:r>
      <w:r>
        <w:rPr>
          <w:rFonts w:ascii="Arial" w:cs="Arial" w:eastAsia="Arial" w:hAnsi="Arial"/>
          <w:sz w:val="21"/>
          <w:szCs w:val="21"/>
          <w:color w:val="auto"/>
        </w:rPr>
        <w:t>”), and certain of the Company’s note holders and strategic partners (Icahn School of Medicine at Mount Sinai, National Jewish Health, McCarthy Tetrault LLP, Desjardins Securities, and Burr Pilger Mayer) agreed to convert a total of $1,194,613 of the Company’s outstanding debt obligations into 170,659 shares of unregistered Series B 10% Convertible Preferred Stock (“</w:t>
      </w:r>
      <w:r>
        <w:rPr>
          <w:rFonts w:ascii="Arial" w:cs="Arial" w:eastAsia="Arial" w:hAnsi="Arial"/>
          <w:sz w:val="21"/>
          <w:szCs w:val="21"/>
          <w:i w:val="1"/>
          <w:iCs w:val="1"/>
          <w:color w:val="auto"/>
        </w:rPr>
        <w:t>Series B Preferred</w:t>
      </w:r>
      <w:r>
        <w:rPr>
          <w:rFonts w:ascii="Arial" w:cs="Arial" w:eastAsia="Arial" w:hAnsi="Arial"/>
          <w:sz w:val="21"/>
          <w:szCs w:val="21"/>
          <w:color w:val="auto"/>
        </w:rPr>
        <w:t>”) (the “</w:t>
      </w:r>
      <w:r>
        <w:rPr>
          <w:rFonts w:ascii="Arial" w:cs="Arial" w:eastAsia="Arial" w:hAnsi="Arial"/>
          <w:sz w:val="21"/>
          <w:szCs w:val="21"/>
          <w:i w:val="1"/>
          <w:iCs w:val="1"/>
          <w:color w:val="auto"/>
        </w:rPr>
        <w:t>Debt-to-Equity Conversions</w:t>
      </w:r>
      <w:r>
        <w:rPr>
          <w:rFonts w:ascii="Arial" w:cs="Arial" w:eastAsia="Arial" w:hAnsi="Arial"/>
          <w:sz w:val="21"/>
          <w:szCs w:val="21"/>
          <w:color w:val="auto"/>
        </w:rPr>
        <w:t>”). To effect the Debt-to-Equity Conversions, the Company and each party involved in such transactions</w:t>
      </w:r>
      <w:r>
        <w:rPr>
          <w:rFonts w:ascii="Arial" w:cs="Arial" w:eastAsia="Arial" w:hAnsi="Arial"/>
          <w:sz w:val="21"/>
          <w:szCs w:val="21"/>
          <w:i w:val="1"/>
          <w:iCs w:val="1"/>
          <w:color w:val="auto"/>
        </w:rPr>
        <w:t xml:space="preserve"> </w:t>
      </w:r>
      <w:r>
        <w:rPr>
          <w:rFonts w:ascii="Arial" w:cs="Arial" w:eastAsia="Arial" w:hAnsi="Arial"/>
          <w:sz w:val="21"/>
          <w:szCs w:val="21"/>
          <w:color w:val="auto"/>
        </w:rPr>
        <w:t>entered into a Securities Purchase Agreement, a form of which was attached to the Company’s Current Report on Form 8-K filed May 13, 2015 (the “</w:t>
      </w:r>
      <w:r>
        <w:rPr>
          <w:rFonts w:ascii="Arial" w:cs="Arial" w:eastAsia="Arial" w:hAnsi="Arial"/>
          <w:sz w:val="21"/>
          <w:szCs w:val="21"/>
          <w:i w:val="1"/>
          <w:iCs w:val="1"/>
          <w:color w:val="auto"/>
        </w:rPr>
        <w:t>Securities Purchase Agreement</w:t>
      </w:r>
      <w:r>
        <w:rPr>
          <w:rFonts w:ascii="Arial" w:cs="Arial" w:eastAsia="Arial" w:hAnsi="Arial"/>
          <w:sz w:val="21"/>
          <w:szCs w:val="21"/>
          <w:color w:val="auto"/>
        </w:rPr>
        <w:t>”).</w:t>
      </w:r>
    </w:p>
    <w:p>
      <w:pPr>
        <w:spacing w:after="0" w:line="178"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Since May 12, 2015, the Company has cancelled and converted into Series B Preferred a total of $15,605,128 of previously outstanding indebtedness.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Description of Series B Preferred</w:t>
      </w:r>
    </w:p>
    <w:p>
      <w:pPr>
        <w:spacing w:after="0" w:line="206" w:lineRule="exact"/>
        <w:rPr>
          <w:sz w:val="20"/>
          <w:szCs w:val="20"/>
          <w:color w:val="auto"/>
        </w:rPr>
      </w:pPr>
    </w:p>
    <w:p>
      <w:pPr>
        <w:jc w:val="both"/>
        <w:ind w:firstLine="710"/>
        <w:spacing w:after="0" w:line="271" w:lineRule="auto"/>
        <w:rPr>
          <w:sz w:val="20"/>
          <w:szCs w:val="20"/>
          <w:color w:val="auto"/>
        </w:rPr>
      </w:pPr>
      <w:r>
        <w:rPr>
          <w:rFonts w:ascii="Arial" w:cs="Arial" w:eastAsia="Arial" w:hAnsi="Arial"/>
          <w:sz w:val="19"/>
          <w:szCs w:val="19"/>
          <w:color w:val="auto"/>
        </w:rPr>
        <w:t>Each share of the Company’s unregistered Series B Preferred issued in connection with the Debt to Equity Conversions is convertible, at the option of the holder thereof (“</w:t>
      </w:r>
      <w:r>
        <w:rPr>
          <w:rFonts w:ascii="Arial" w:cs="Arial" w:eastAsia="Arial" w:hAnsi="Arial"/>
          <w:sz w:val="19"/>
          <w:szCs w:val="19"/>
          <w:i w:val="1"/>
          <w:iCs w:val="1"/>
          <w:color w:val="auto"/>
        </w:rPr>
        <w:t>Voluntary Conversion</w:t>
      </w:r>
      <w:r>
        <w:rPr>
          <w:rFonts w:ascii="Arial" w:cs="Arial" w:eastAsia="Arial" w:hAnsi="Arial"/>
          <w:sz w:val="19"/>
          <w:szCs w:val="19"/>
          <w:color w:val="auto"/>
        </w:rPr>
        <w:t>”), into one (1) share of the Company’s common stock $0.001 par value (“</w:t>
      </w:r>
      <w:r>
        <w:rPr>
          <w:rFonts w:ascii="Arial" w:cs="Arial" w:eastAsia="Arial" w:hAnsi="Arial"/>
          <w:sz w:val="19"/>
          <w:szCs w:val="19"/>
          <w:i w:val="1"/>
          <w:iCs w:val="1"/>
          <w:color w:val="auto"/>
        </w:rPr>
        <w:t>Common Stock</w:t>
      </w:r>
      <w:r>
        <w:rPr>
          <w:rFonts w:ascii="Arial" w:cs="Arial" w:eastAsia="Arial" w:hAnsi="Arial"/>
          <w:sz w:val="19"/>
          <w:szCs w:val="19"/>
          <w:color w:val="auto"/>
        </w:rPr>
        <w:t>”) at a fixed conversion price of $7.00 per share, subject to adjustment only for customary stock dividends, reclassifications, splits and similar transactions (“</w:t>
      </w:r>
      <w:r>
        <w:rPr>
          <w:rFonts w:ascii="Arial" w:cs="Arial" w:eastAsia="Arial" w:hAnsi="Arial"/>
          <w:sz w:val="19"/>
          <w:szCs w:val="19"/>
          <w:i w:val="1"/>
          <w:iCs w:val="1"/>
          <w:color w:val="auto"/>
        </w:rPr>
        <w:t>Fixed Conversion Price</w:t>
      </w:r>
      <w:r>
        <w:rPr>
          <w:rFonts w:ascii="Arial" w:cs="Arial" w:eastAsia="Arial" w:hAnsi="Arial"/>
          <w:sz w:val="19"/>
          <w:szCs w:val="19"/>
          <w:color w:val="auto"/>
        </w:rPr>
        <w:t xml:space="preserve"> ”). All shares of Series B Preferred are also convertible automatically into Common Stock (“</w:t>
      </w:r>
      <w:r>
        <w:rPr>
          <w:rFonts w:ascii="Arial" w:cs="Arial" w:eastAsia="Arial" w:hAnsi="Arial"/>
          <w:sz w:val="19"/>
          <w:szCs w:val="19"/>
          <w:i w:val="1"/>
          <w:iCs w:val="1"/>
          <w:color w:val="auto"/>
        </w:rPr>
        <w:t>Automatic Conversion</w:t>
      </w:r>
      <w:r>
        <w:rPr>
          <w:rFonts w:ascii="Arial" w:cs="Arial" w:eastAsia="Arial" w:hAnsi="Arial"/>
          <w:sz w:val="19"/>
          <w:szCs w:val="19"/>
          <w:color w:val="auto"/>
        </w:rPr>
        <w:t>”) upon the closing or effective date of any of the following transactions or events: (i) a strategic transaction involving AV-101, the Company’s orally-available new pro-drug candidate in clinical development for Major Depressive Disorder and other diseases and disorders of the central nervous system, with an initial up front cash payment to the Company of at least $10.0 million; (ii) a registered public offering of Common Stock with aggregate gross proceeds to the Company of at least $10.0 million; or (iii) for 20 consecutive trading days the Company’s Common Stock trades at least 20,000 shares per day with a daily closing price of at least $12.00 per share; provided, however, that Automatic Conversion and Voluntary Conversion (collectively, “</w:t>
      </w:r>
      <w:r>
        <w:rPr>
          <w:rFonts w:ascii="Arial" w:cs="Arial" w:eastAsia="Arial" w:hAnsi="Arial"/>
          <w:sz w:val="19"/>
          <w:szCs w:val="19"/>
          <w:i w:val="1"/>
          <w:iCs w:val="1"/>
          <w:color w:val="auto"/>
        </w:rPr>
        <w:t>Conversion</w:t>
      </w:r>
      <w:r>
        <w:rPr>
          <w:rFonts w:ascii="Arial" w:cs="Arial" w:eastAsia="Arial" w:hAnsi="Arial"/>
          <w:sz w:val="19"/>
          <w:szCs w:val="19"/>
          <w:color w:val="auto"/>
        </w:rPr>
        <w:t>”) are subject to customary beneficial ownership blockers. Prior to Conversion, shares of Series B Preferred will accrue dividends, payable only in unregistered shares of Common Stock, at a rate of 10% per annum (the “</w:t>
      </w:r>
      <w:r>
        <w:rPr>
          <w:rFonts w:ascii="Arial" w:cs="Arial" w:eastAsia="Arial" w:hAnsi="Arial"/>
          <w:sz w:val="19"/>
          <w:szCs w:val="19"/>
          <w:i w:val="1"/>
          <w:iCs w:val="1"/>
          <w:color w:val="auto"/>
        </w:rPr>
        <w:t>Accrued Dividend</w:t>
      </w:r>
      <w:r>
        <w:rPr>
          <w:rFonts w:ascii="Arial" w:cs="Arial" w:eastAsia="Arial" w:hAnsi="Arial"/>
          <w:sz w:val="19"/>
          <w:szCs w:val="19"/>
          <w:color w:val="auto"/>
        </w:rPr>
        <w:t>”). The Accrued Dividend will be payable only on the date of Conversion solely in that number of shares of Common Stock equal to the Accrued Dividend, divided by the Fixed Conversion Price.</w:t>
      </w:r>
    </w:p>
    <w:p>
      <w:pPr>
        <w:spacing w:after="0" w:line="16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shares of Series B Preferred issued in connection with the Debt-to-Equity Conversions were offered and sold in transactions exempt from registration under the Securities Act of 1933, as amended, in reliance on 3(a)(9) thereof and Rule 506 of Regulation D thereunder. Each recipient of shares of Series B Preferred represented that it is an "accredited investor" as defined in Regulation D, and not subject to the "Bad Actor" disqualifications described in Rule 506(d).</w:t>
      </w:r>
    </w:p>
    <w:p>
      <w:pPr>
        <w:spacing w:after="0" w:line="17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The foregoing description of the Series B Preferred and the Securities Purchase Agreement do not purport to be complete, and are qualified in their entirety by reference to the full text of the Certificate of Designation of the Relative Rights and Preferences of the Series B 10% Preferred Stock of VistaGen Therapeutics, Inc. and Securities Purchase Agreement, substantially in the form attached as Exhibit 3.1 and Exhibit 10.3, respectively, to the Company’s Current Report on Form 8-K filed with the Securities and Exchange Commission on May 13, 2015, each of which is incorporated by reference herein.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22"/>
          <w:szCs w:val="22"/>
          <w:i w:val="1"/>
          <w:iCs w:val="1"/>
          <w:color w:val="auto"/>
        </w:rPr>
        <w:t>Initiation of Phase 2 AV-101 Study.</w:t>
      </w:r>
    </w:p>
    <w:p>
      <w:pPr>
        <w:spacing w:after="0" w:line="20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On July 1, 2015, the Company issued a press release announcing that it has received clearance from the U.S. food and Drug Administration and the U.S. National Institutes of Health (“</w:t>
      </w:r>
      <w:r>
        <w:rPr>
          <w:rFonts w:ascii="Arial" w:cs="Arial" w:eastAsia="Arial" w:hAnsi="Arial"/>
          <w:sz w:val="21"/>
          <w:szCs w:val="21"/>
          <w:i w:val="1"/>
          <w:iCs w:val="1"/>
          <w:color w:val="auto"/>
        </w:rPr>
        <w:t>NIH</w:t>
      </w:r>
      <w:r>
        <w:rPr>
          <w:rFonts w:ascii="Arial" w:cs="Arial" w:eastAsia="Arial" w:hAnsi="Arial"/>
          <w:sz w:val="21"/>
          <w:szCs w:val="21"/>
          <w:color w:val="auto"/>
        </w:rPr>
        <w:t>”) to initiate its NIH-Funded Phase 2 Study of orally active AV-101 in Major Depressive Disorder. A copy of the Company’s press release is attached hereto as Exhibit 99.1.</w:t>
      </w:r>
    </w:p>
    <w:p>
      <w:pPr>
        <w:spacing w:after="0" w:line="188"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967740</wp:posOffset>
            </wp:positionV>
            <wp:extent cx="7246620" cy="946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0" w:lineRule="exact"/>
        <w:rPr>
          <w:sz w:val="20"/>
          <w:szCs w:val="20"/>
          <w:color w:val="auto"/>
        </w:rPr>
      </w:pPr>
    </w:p>
    <w:p>
      <w:pPr>
        <w:ind w:left="5720"/>
        <w:spacing w:after="0"/>
        <w:rPr>
          <w:sz w:val="20"/>
          <w:szCs w:val="20"/>
          <w:color w:val="auto"/>
        </w:rPr>
      </w:pPr>
      <w:r>
        <w:rPr>
          <w:rFonts w:ascii="Arial" w:cs="Arial" w:eastAsia="Arial" w:hAnsi="Arial"/>
          <w:sz w:val="22"/>
          <w:szCs w:val="22"/>
          <w:b w:val="1"/>
          <w:bCs w:val="1"/>
          <w:color w:val="auto"/>
        </w:rPr>
        <w:t>VistaGen Therapeutics, Inc.</w:t>
      </w:r>
    </w:p>
    <w:p>
      <w:pPr>
        <w:spacing w:after="0" w:line="239" w:lineRule="exact"/>
        <w:rPr>
          <w:sz w:val="20"/>
          <w:szCs w:val="20"/>
          <w:color w:val="auto"/>
        </w:rPr>
      </w:pPr>
    </w:p>
    <w:p>
      <w:pPr>
        <w:ind w:left="360"/>
        <w:spacing w:after="0"/>
        <w:tabs>
          <w:tab w:leader="none" w:pos="5700" w:val="left"/>
          <w:tab w:leader="none" w:pos="6320" w:val="left"/>
        </w:tabs>
        <w:rPr>
          <w:sz w:val="20"/>
          <w:szCs w:val="20"/>
          <w:color w:val="auto"/>
        </w:rPr>
      </w:pPr>
      <w:r>
        <w:rPr>
          <w:rFonts w:ascii="Arial" w:cs="Arial" w:eastAsia="Arial" w:hAnsi="Arial"/>
          <w:sz w:val="22"/>
          <w:szCs w:val="22"/>
          <w:color w:val="auto"/>
        </w:rPr>
        <w:t>Date: July 2, 2015</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7620</wp:posOffset>
            </wp:positionV>
            <wp:extent cx="31045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04515" cy="17145"/>
                    </a:xfrm>
                    <a:prstGeom prst="rect">
                      <a:avLst/>
                    </a:prstGeom>
                    <a:noFill/>
                  </pic:spPr>
                </pic:pic>
              </a:graphicData>
            </a:graphic>
          </wp:anchor>
        </w:drawing>
      </w:r>
    </w:p>
    <w:p>
      <w:pPr>
        <w:spacing w:after="0" w:line="2" w:lineRule="exact"/>
        <w:rPr>
          <w:sz w:val="20"/>
          <w:szCs w:val="20"/>
          <w:color w:val="auto"/>
        </w:rPr>
      </w:pPr>
    </w:p>
    <w:p>
      <w:pPr>
        <w:ind w:left="6300"/>
        <w:spacing w:after="0"/>
        <w:rPr>
          <w:sz w:val="20"/>
          <w:szCs w:val="20"/>
          <w:color w:val="auto"/>
        </w:rPr>
      </w:pPr>
      <w:r>
        <w:rPr>
          <w:rFonts w:ascii="Arial" w:cs="Arial" w:eastAsia="Arial" w:hAnsi="Arial"/>
          <w:sz w:val="22"/>
          <w:szCs w:val="22"/>
          <w:color w:val="auto"/>
        </w:rPr>
        <w:t>Shawn K. Singh</w:t>
      </w:r>
    </w:p>
    <w:p>
      <w:pPr>
        <w:spacing w:after="0" w:line="4" w:lineRule="exact"/>
        <w:rPr>
          <w:sz w:val="20"/>
          <w:szCs w:val="20"/>
          <w:color w:val="auto"/>
        </w:rPr>
      </w:pPr>
    </w:p>
    <w:p>
      <w:pPr>
        <w:ind w:left="6300"/>
        <w:spacing w:after="0"/>
        <w:rPr>
          <w:sz w:val="20"/>
          <w:szCs w:val="20"/>
          <w:color w:val="auto"/>
        </w:rPr>
      </w:pPr>
      <w:r>
        <w:rPr>
          <w:rFonts w:ascii="Arial" w:cs="Arial" w:eastAsia="Arial" w:hAnsi="Arial"/>
          <w:sz w:val="22"/>
          <w:szCs w:val="22"/>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922020</wp:posOffset>
            </wp:positionV>
            <wp:extent cx="7246620" cy="94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160"/>
          </w:cols>
          <w:pgMar w:left="240" w:top="747" w:right="4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81"/>
        </w:trPr>
        <w:tc>
          <w:tcPr>
            <w:tcW w:w="1920" w:type="dxa"/>
            <w:vAlign w:val="bottom"/>
          </w:tcPr>
          <w:p>
            <w:pPr>
              <w:spacing w:after="0"/>
              <w:rPr>
                <w:sz w:val="20"/>
                <w:szCs w:val="20"/>
                <w:color w:val="auto"/>
              </w:rPr>
            </w:pPr>
            <w:r>
              <w:rPr>
                <w:rFonts w:ascii="Arial" w:cs="Arial" w:eastAsia="Arial" w:hAnsi="Arial"/>
                <w:sz w:val="22"/>
                <w:szCs w:val="22"/>
                <w:b w:val="1"/>
                <w:bCs w:val="1"/>
                <w:color w:val="auto"/>
              </w:rPr>
              <w:t>EXHIBIT INDEX</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1920" w:type="dxa"/>
            <w:vAlign w:val="bottom"/>
          </w:tcPr>
          <w:p>
            <w:pPr>
              <w:ind w:left="420"/>
              <w:spacing w:after="0"/>
              <w:rPr>
                <w:sz w:val="20"/>
                <w:szCs w:val="20"/>
                <w:color w:val="auto"/>
              </w:rPr>
            </w:pPr>
            <w:r>
              <w:rPr>
                <w:rFonts w:ascii="Arial" w:cs="Arial" w:eastAsia="Arial" w:hAnsi="Arial"/>
                <w:sz w:val="22"/>
                <w:szCs w:val="22"/>
                <w:b w:val="1"/>
                <w:bCs w:val="1"/>
                <w:color w:val="auto"/>
              </w:rPr>
              <w:t>Exhibit</w:t>
            </w:r>
          </w:p>
        </w:tc>
        <w:tc>
          <w:tcPr>
            <w:tcW w:w="5920" w:type="dxa"/>
            <w:vAlign w:val="bottom"/>
            <w:vMerge w:val="restart"/>
          </w:tcPr>
          <w:p>
            <w:pPr>
              <w:ind w:left="240"/>
              <w:spacing w:after="0"/>
              <w:rPr>
                <w:sz w:val="20"/>
                <w:szCs w:val="20"/>
                <w:color w:val="auto"/>
              </w:rPr>
            </w:pPr>
            <w:r>
              <w:rPr>
                <w:rFonts w:ascii="Arial" w:cs="Arial" w:eastAsia="Arial" w:hAnsi="Arial"/>
                <w:sz w:val="22"/>
                <w:szCs w:val="22"/>
                <w:b w:val="1"/>
                <w:bCs w:val="1"/>
                <w:color w:val="auto"/>
              </w:rPr>
              <w:t>Description</w:t>
            </w:r>
          </w:p>
        </w:tc>
        <w:tc>
          <w:tcPr>
            <w:tcW w:w="0" w:type="dxa"/>
            <w:vAlign w:val="bottom"/>
          </w:tcPr>
          <w:p>
            <w:pPr>
              <w:spacing w:after="0"/>
              <w:rPr>
                <w:sz w:val="1"/>
                <w:szCs w:val="1"/>
                <w:color w:val="auto"/>
              </w:rPr>
            </w:pPr>
          </w:p>
        </w:tc>
      </w:tr>
      <w:tr>
        <w:trPr>
          <w:trHeight w:val="159"/>
        </w:trPr>
        <w:tc>
          <w:tcPr>
            <w:tcW w:w="1920" w:type="dxa"/>
            <w:vAlign w:val="bottom"/>
            <w:vMerge w:val="restart"/>
          </w:tcPr>
          <w:p>
            <w:pPr>
              <w:ind w:left="420"/>
              <w:spacing w:after="0"/>
              <w:rPr>
                <w:sz w:val="20"/>
                <w:szCs w:val="20"/>
                <w:color w:val="auto"/>
              </w:rPr>
            </w:pPr>
            <w:r>
              <w:rPr>
                <w:rFonts w:ascii="Arial" w:cs="Arial" w:eastAsia="Arial" w:hAnsi="Arial"/>
                <w:sz w:val="22"/>
                <w:szCs w:val="22"/>
                <w:b w:val="1"/>
                <w:bCs w:val="1"/>
                <w:color w:val="auto"/>
              </w:rPr>
              <w:t>Number</w:t>
            </w:r>
          </w:p>
        </w:tc>
        <w:tc>
          <w:tcPr>
            <w:tcW w:w="5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920" w:type="dxa"/>
            <w:vAlign w:val="bottom"/>
            <w:vMerge w:val="continue"/>
          </w:tcPr>
          <w:p>
            <w:pPr>
              <w:spacing w:after="0"/>
              <w:rPr>
                <w:sz w:val="10"/>
                <w:szCs w:val="10"/>
                <w:color w:val="auto"/>
              </w:rPr>
            </w:pPr>
          </w:p>
        </w:tc>
        <w:tc>
          <w:tcPr>
            <w:tcW w:w="5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1920" w:type="dxa"/>
            <w:vAlign w:val="bottom"/>
          </w:tcPr>
          <w:p>
            <w:pPr>
              <w:ind w:left="420"/>
              <w:spacing w:after="0"/>
              <w:rPr>
                <w:sz w:val="20"/>
                <w:szCs w:val="20"/>
                <w:color w:val="auto"/>
              </w:rPr>
            </w:pPr>
            <w:r>
              <w:rPr>
                <w:rFonts w:ascii="Arial" w:cs="Arial" w:eastAsia="Arial" w:hAnsi="Arial"/>
                <w:sz w:val="22"/>
                <w:szCs w:val="22"/>
                <w:color w:val="auto"/>
              </w:rPr>
              <w:t>99.1</w:t>
            </w:r>
          </w:p>
        </w:tc>
        <w:tc>
          <w:tcPr>
            <w:tcW w:w="5920" w:type="dxa"/>
            <w:vAlign w:val="bottom"/>
          </w:tcPr>
          <w:p>
            <w:pPr>
              <w:ind w:left="240"/>
              <w:spacing w:after="0"/>
              <w:rPr>
                <w:sz w:val="20"/>
                <w:szCs w:val="20"/>
                <w:color w:val="auto"/>
              </w:rPr>
            </w:pPr>
            <w:r>
              <w:rPr>
                <w:rFonts w:ascii="Arial" w:cs="Arial" w:eastAsia="Arial" w:hAnsi="Arial"/>
                <w:sz w:val="22"/>
                <w:szCs w:val="22"/>
                <w:color w:val="auto"/>
                <w:w w:val="86"/>
              </w:rPr>
              <w:t>VistaGen Therapeutics, Inc. Press Release issued on July 1, 2015.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-177165</wp:posOffset>
            </wp:positionV>
            <wp:extent cx="680085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0850" cy="171450"/>
                    </a:xfrm>
                    <a:prstGeom prst="rect">
                      <a:avLst/>
                    </a:prstGeom>
                    <a:noFill/>
                  </pic:spPr>
                </pic:pic>
              </a:graphicData>
            </a:graphic>
          </wp:anchor>
        </w:drawing>
      </w:r>
    </w:p>
    <w:p>
      <w:pPr>
        <w:sectPr>
          <w:pgSz w:w="11900" w:h="16838" w:orient="portrait"/>
          <w:cols w:equalWidth="0" w:num="1">
            <w:col w:w="10219"/>
          </w:cols>
          <w:pgMar w:left="240" w:top="990"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058035" cy="9690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8035" cy="969010"/>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VistaGen Receives FDA and NIH Clearance to Initiate NIH-Funded Phase 2 Study</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of Orally Active AV-101 in Major Depressive Disorder</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22"/>
          <w:szCs w:val="22"/>
          <w:i w:val="1"/>
          <w:iCs w:val="1"/>
          <w:color w:val="auto"/>
        </w:rPr>
        <w:t>Phase 2 Clinical Study in Major Depressive Disorder Expected to Commence at NIH in 3Q 2015</w:t>
      </w:r>
    </w:p>
    <w:p>
      <w:pPr>
        <w:spacing w:after="0" w:line="85"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SOUTH SAN FRANCISCO -- (Marketwired: July 1, 2015) - VistaGen Therapeutics, Inc. (OTCQB: VSTA), a clinical-stage biopharmaceutical company committed to developing and commercializing innovative product candidates for patients with depression, other diseases and various disorders related to the central nervous system as well as cancer, has received clearance from the U.S. Food and Drug Administration (FDA) and the U.S. National Institutes of Health (NIH) to initiate an NIH-funded Phase 2 clinical study of its orally active AV-101 in subjects with treatment-resistant Major Depressive Disorder (MDD) under protocol number 15-M-0151. The Principal Investigator of the study will be Dr. Carlos Zarate, Jr., Chief of the Section on the Neurobiology and Treatment of Mood Disorders and Chief of the Experimental Therapeutics and Pathophysiology Branch at the U.S. National Institutes of Mental Health (NIMH), which is part of the NIH. The Phase 2 study will be a randomized, double-blind, placebo-controlled, crossover clinical trial conducted at the NIMH and designed to evaluate the efficacy and safety of a single oral dose of AV-101 administered once per day for 14 days to approximately 25 patients with MDD. VistaGen and the NIMH expect to initiate enrollment of subjects in the study in 3Q 2015.</w:t>
      </w:r>
    </w:p>
    <w:p>
      <w:pPr>
        <w:spacing w:after="0" w:line="68" w:lineRule="exact"/>
        <w:rPr>
          <w:sz w:val="20"/>
          <w:szCs w:val="20"/>
          <w:color w:val="auto"/>
        </w:rPr>
      </w:pPr>
    </w:p>
    <w:p>
      <w:pPr>
        <w:ind w:right="160"/>
        <w:spacing w:after="0" w:line="246" w:lineRule="auto"/>
        <w:rPr>
          <w:sz w:val="20"/>
          <w:szCs w:val="20"/>
          <w:color w:val="auto"/>
        </w:rPr>
      </w:pPr>
      <w:r>
        <w:rPr>
          <w:rFonts w:ascii="Arial" w:cs="Arial" w:eastAsia="Arial" w:hAnsi="Arial"/>
          <w:sz w:val="21"/>
          <w:szCs w:val="21"/>
          <w:color w:val="auto"/>
        </w:rPr>
        <w:t xml:space="preserve">AV-101 is an orally active, clinical-stage prodrug candidate that readily gains access to the central nervous system (CNS) after systemic administration and is rapidly converted </w:t>
      </w:r>
      <w:r>
        <w:rPr>
          <w:rFonts w:ascii="Arial" w:cs="Arial" w:eastAsia="Arial" w:hAnsi="Arial"/>
          <w:sz w:val="21"/>
          <w:szCs w:val="21"/>
          <w:i w:val="1"/>
          <w:iCs w:val="1"/>
          <w:color w:val="auto"/>
        </w:rPr>
        <w:t>in vivo</w:t>
      </w:r>
      <w:r>
        <w:rPr>
          <w:rFonts w:ascii="Arial" w:cs="Arial" w:eastAsia="Arial" w:hAnsi="Arial"/>
          <w:sz w:val="21"/>
          <w:szCs w:val="21"/>
          <w:color w:val="auto"/>
        </w:rPr>
        <w:t xml:space="preserve"> to its active metabolite, 7-chlorokynurenic acid (7-Cl-KYNA), a well-characterized, potent, and highly-selective antagonist of the glycine-binding co-agonist (GlyB) site of the N-methyl-D-aspartate receptor (NMDAR). Current evidence suggests that AV-101’s antagonism of NMDAR signaling may provide fast-acting antidepressant effects in the treatment of MDD. In addition, as confirmed in two Phase 1 clinical studies, using AV-101 to target the GlyB site of the NMDAR may bypass potential adverse effects that occur with ketamine, while activating similar pathways resulting in the “glutamate surge” that has been associated with increased neurogenesis and the rapid-acting antidepressant effects of ketamine observed in previous clinical studies.</w:t>
      </w:r>
    </w:p>
    <w:p>
      <w:pPr>
        <w:spacing w:after="0" w:line="59"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“The NIMH and several key leaders in the field with clinical experience using ketamine to treat MDD provided valuable expert advice on the design of our Phase 2 MDD study. We are grateful for their assistance. With their help, we have now achieved an important regulatory milestone for our AV-101 clinical development program,” said H. Ralph Snodgrass, the Company’s President and Chief Scientific Officer. “The pharmacology and existing clinical safety data and preclinical efficacy data point to AV-101’s potential to provide a transformative advancement in the treatment of MDD, in a manner fundamentally different from all currently approved antidepressants.”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516890</wp:posOffset>
            </wp:positionV>
            <wp:extent cx="7246620" cy="85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5" w:name="page6"/>
    <w:bookmarkEnd w:id="5"/>
    <w:p>
      <w:pPr>
        <w:jc w:val="both"/>
        <w:spacing w:after="0" w:line="247" w:lineRule="auto"/>
        <w:rPr>
          <w:sz w:val="20"/>
          <w:szCs w:val="20"/>
          <w:color w:val="auto"/>
        </w:rPr>
      </w:pPr>
      <w:r>
        <w:rPr>
          <w:rFonts w:ascii="Arial" w:cs="Arial" w:eastAsia="Arial" w:hAnsi="Arial"/>
          <w:sz w:val="21"/>
          <w:szCs w:val="21"/>
          <w:color w:val="auto"/>
        </w:rPr>
        <w:t>While most people will experience episodic depressed mood at multiple points during their life, MDD is different. MDD is the chronic, pervasive feeling of utter unhappiness, hopelessness and suffering, which impairs daily functioning. Symptoms of MDD include diminished pleasure in activities, changes in appetite that result in weight changes, insomnia or oversleeping, psychomotor agitation, loss of energy or increased fatigue, feelings of worthlessness or inappropriate guilt, difficulty thinking, concentrating or making decisions, and thoughts of death and attempts at suicide. Suicide is estimated to be the cause of death in up to 15% of individuals with MDD. MDD is one of the most common mental disorders in the United States. According to the NIMH, about 6.7% of U.S adults experience MDD each year.</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Current Antidepressants</w:t>
      </w:r>
    </w:p>
    <w:p>
      <w:pPr>
        <w:spacing w:after="0" w:line="104" w:lineRule="exact"/>
        <w:rPr>
          <w:sz w:val="20"/>
          <w:szCs w:val="20"/>
          <w:color w:val="auto"/>
        </w:rPr>
      </w:pPr>
    </w:p>
    <w:p>
      <w:pPr>
        <w:ind w:right="80"/>
        <w:spacing w:after="0" w:line="275" w:lineRule="auto"/>
        <w:rPr>
          <w:sz w:val="20"/>
          <w:szCs w:val="20"/>
          <w:color w:val="auto"/>
        </w:rPr>
      </w:pPr>
      <w:r>
        <w:rPr>
          <w:rFonts w:ascii="Arial" w:cs="Arial" w:eastAsia="Arial" w:hAnsi="Arial"/>
          <w:sz w:val="19"/>
          <w:szCs w:val="19"/>
          <w:color w:val="auto"/>
        </w:rPr>
        <w:t>Current medications available in the multi-billion dollar global antidepressant market, including selective serotonin reuptake inhibitors (SSRIs) and serotonin-norepinephrine reuptake inhibitors (SNRIs), have limited effectiveness. Because of their mechanism of action, SSRIs and SNRIs must be taken for several weeks before patients experience significant therapeutic benefit. Approximately two-thirds of depression sufferers do not benefit from initial treatment with SSRIs and SNRIs. Although approximately two-thirds patients may find an antidepressant drug or drug combination that induces remission of their depressive symptoms after several different drug treatment attempts, this trial and error process and the systemic effects of the various antidepressant medications involved increases the risks of patient tolerability issues and serious side effects, including the potential of increased suicidal thoughts and behaviors during the time period before the therapeutic effects of the drugs are obtained.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Ketamine for MDD</w:t>
      </w:r>
    </w:p>
    <w:p>
      <w:pPr>
        <w:spacing w:after="0" w:line="91"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Ketamine hydrochloride (ketamine) is an FDA-approved, rapid-acting general anesthetic. The use of ketamine to treat MDD has been studied in several clinical trials conducted by depression experts, including Dr. Carlos Zarate and others at the NIMH. In randomized, placebo-controlled, double-blind clinical trials reported by Dr. Zarate and others at the NIMH, a single subanaesthetic intravenous dose of ketamine (0.5 mg/kg over 40 minutes) produced robust and rapid antidepressant effects in MDD patients who had not responded to currently-approved medications. These results were in contrast to the slow onset of currently FDA-approved antidepressant medications, which usually require many weeks or months of chronic usage to achieve similar antidepressant effects. The potential for widespread therapeutic use of ketamine is severely limited by its potential for abuse, dissociative and psychosis-like side effects, and by practical challenges associated with its intravenous administration in a medical center. Notwithstanding these limitations the discovery of ketamine’s fast-acting antidepressant effects revolutionized thinking about the MDD treatment paradigm. The discovery also increased interest in the development of a new generation of antidepressants with a fast-acting mechanism of action similar to ketamine’s.</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AV-101 for MDD</w:t>
      </w:r>
    </w:p>
    <w:p>
      <w:pPr>
        <w:spacing w:after="0" w:line="104"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AV-101’s fundamentally novel mechanism of action places it among a new generation of glutamatergic antidepressants with potential to treat millions of MDD sufferers worldwide who are poorly served by SSRIs, SNRIs and other current depression therapies. Like ketamine, AV-101 modulates (down-regulates) NMDAR activity. However, unlike ketamine’s antagonistic activity, which results from its blocking the NMDAR ion channel, AV-101’s antagonistic activity</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57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ectPr>
          <w:pgSz w:w="11900" w:h="16838" w:orient="portrait"/>
          <w:cols w:equalWidth="0" w:num="1">
            <w:col w:w="11420"/>
          </w:cols>
          <w:pgMar w:left="240" w:top="213" w:right="239" w:bottom="1440" w:gutter="0" w:footer="0" w:header="0"/>
        </w:sectPr>
      </w:pPr>
    </w:p>
    <w:bookmarkStart w:id="6" w:name="page7"/>
    <w:bookmarkEnd w:id="6"/>
    <w:p>
      <w:pPr>
        <w:jc w:val="both"/>
        <w:ind w:right="280"/>
        <w:spacing w:after="0"/>
        <w:rPr>
          <w:sz w:val="20"/>
          <w:szCs w:val="20"/>
          <w:color w:val="auto"/>
        </w:rPr>
      </w:pPr>
      <w:r>
        <w:rPr>
          <w:rFonts w:ascii="Arial" w:cs="Arial" w:eastAsia="Arial" w:hAnsi="Arial"/>
          <w:sz w:val="22"/>
          <w:szCs w:val="22"/>
          <w:color w:val="auto"/>
        </w:rPr>
        <w:t>results from its selective binding to, and blocking of, the functionally-required GlyB site of the NMDAR. In addition, AV-101 is orally available and has a much longer half-life than ketamine and mechanistically similar peptides currently under development for MDD.</w:t>
      </w:r>
    </w:p>
    <w:p>
      <w:pPr>
        <w:spacing w:after="0" w:line="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the U.S. National Institute of Mental Health</w:t>
      </w:r>
    </w:p>
    <w:p>
      <w:pPr>
        <w:spacing w:after="0" w:line="104"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 xml:space="preserve">The U.S. National Institute of Mental Health (NIMH), part of the U.S. National Institutes of Health (NIH), is the largest scientific organization in the world dedicated to mental health research. NIMH is one of 27 Institutes and Centers of the NIH, the world's leading biomedical research organization. The mission of NIMH is to transform the understanding and treatment of mental illnesses through basic and clinical research, paving the way for prevention, recovery and cure. For more information, visit </w:t>
      </w:r>
      <w:r>
        <w:rPr>
          <w:rFonts w:ascii="Arial" w:cs="Arial" w:eastAsia="Arial" w:hAnsi="Arial"/>
          <w:sz w:val="22"/>
          <w:szCs w:val="22"/>
          <w:u w:val="single" w:color="auto"/>
          <w:color w:val="0000FF"/>
        </w:rPr>
        <w:t>www.nimh.nih.gov</w:t>
      </w:r>
      <w:r>
        <w:rPr>
          <w:rFonts w:ascii="Arial" w:cs="Arial" w:eastAsia="Arial" w:hAnsi="Arial"/>
          <w:sz w:val="22"/>
          <w:szCs w:val="22"/>
          <w:color w:val="000000"/>
        </w:rPr>
        <w:t>.</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VistaGen Therapeutics</w:t>
      </w:r>
    </w:p>
    <w:p>
      <w:pPr>
        <w:spacing w:after="0" w:line="145"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 xml:space="preserve">VistaGen Therapeutics, Inc. is a clinical-stage biopharmaceutical company committed to developing and commercializing innovative product candidates for patients with depression, other diseases and various disorders related to the central nervous system as well as cancer. VistaGen's AV-101 is a new generation orally-available NMDAR GlyB antagonist in Phase 2 clinical development for Major Depressive Disorder. Based on preclinical studies, AV-101 may also have potential as a treatment for other CNS-related conditions, including chronic neuropathic pain and epilepsy, as well as neurodegenerative diseases such as Parkinson’s disease and Huntington’s disease. VistaGen is also developing and using pluripotent stem cell technology and clinically-predictive bioassay systems, </w:t>
      </w:r>
      <w:r>
        <w:rPr>
          <w:rFonts w:ascii="Arial" w:cs="Arial" w:eastAsia="Arial" w:hAnsi="Arial"/>
          <w:sz w:val="19"/>
          <w:szCs w:val="19"/>
          <w:i w:val="1"/>
          <w:iCs w:val="1"/>
          <w:color w:val="auto"/>
        </w:rPr>
        <w:t>CardioSafe</w:t>
      </w:r>
      <w:r>
        <w:rPr>
          <w:rFonts w:ascii="Arial" w:cs="Arial" w:eastAsia="Arial" w:hAnsi="Arial"/>
          <w:sz w:val="19"/>
          <w:szCs w:val="19"/>
          <w:color w:val="auto"/>
        </w:rPr>
        <w:t xml:space="preserve"> 3D™ and </w:t>
      </w:r>
      <w:r>
        <w:rPr>
          <w:rFonts w:ascii="Arial" w:cs="Arial" w:eastAsia="Arial" w:hAnsi="Arial"/>
          <w:sz w:val="19"/>
          <w:szCs w:val="19"/>
          <w:i w:val="1"/>
          <w:iCs w:val="1"/>
          <w:color w:val="auto"/>
        </w:rPr>
        <w:t>LiverSafe</w:t>
      </w:r>
      <w:r>
        <w:rPr>
          <w:rFonts w:ascii="Arial" w:cs="Arial" w:eastAsia="Arial" w:hAnsi="Arial"/>
          <w:sz w:val="19"/>
          <w:szCs w:val="19"/>
          <w:color w:val="auto"/>
        </w:rPr>
        <w:t xml:space="preserve"> 3D™, for drug rescue applications focused on producing proprietary new chemical entities (NCEs) for its internal development pipeline.</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Visit VistaGen at </w:t>
      </w:r>
      <w:r>
        <w:rPr>
          <w:rFonts w:ascii="Arial" w:cs="Arial" w:eastAsia="Arial" w:hAnsi="Arial"/>
          <w:sz w:val="22"/>
          <w:szCs w:val="22"/>
          <w:u w:val="single" w:color="auto"/>
          <w:color w:val="0000FF"/>
        </w:rPr>
        <w:t>http://www.VistaGen.com</w:t>
      </w:r>
    </w:p>
    <w:p>
      <w:pPr>
        <w:spacing w:after="0" w:line="238" w:lineRule="auto"/>
        <w:rPr>
          <w:sz w:val="20"/>
          <w:szCs w:val="20"/>
          <w:color w:val="auto"/>
        </w:rPr>
      </w:pPr>
      <w:r>
        <w:rPr>
          <w:rFonts w:ascii="Arial" w:cs="Arial" w:eastAsia="Arial" w:hAnsi="Arial"/>
          <w:sz w:val="22"/>
          <w:szCs w:val="22"/>
          <w:color w:val="auto"/>
        </w:rPr>
        <w:t xml:space="preserve">Follow VistaGen on Twitter at </w:t>
      </w:r>
      <w:r>
        <w:rPr>
          <w:rFonts w:ascii="Arial" w:cs="Arial" w:eastAsia="Arial" w:hAnsi="Arial"/>
          <w:sz w:val="22"/>
          <w:szCs w:val="22"/>
          <w:u w:val="single" w:color="auto"/>
          <w:color w:val="0000FF"/>
        </w:rPr>
        <w:t>http://www.twitter.com/VistaGen</w:t>
      </w:r>
    </w:p>
    <w:p>
      <w:pPr>
        <w:spacing w:after="0"/>
        <w:rPr>
          <w:sz w:val="20"/>
          <w:szCs w:val="20"/>
          <w:color w:val="auto"/>
        </w:rPr>
      </w:pPr>
      <w:r>
        <w:rPr>
          <w:rFonts w:ascii="Arial" w:cs="Arial" w:eastAsia="Arial" w:hAnsi="Arial"/>
          <w:sz w:val="22"/>
          <w:szCs w:val="22"/>
          <w:color w:val="auto"/>
        </w:rPr>
        <w:t xml:space="preserve">Connect to VistaGen's Facebook page at </w:t>
      </w:r>
      <w:r>
        <w:rPr>
          <w:rFonts w:ascii="Arial" w:cs="Arial" w:eastAsia="Arial" w:hAnsi="Arial"/>
          <w:sz w:val="22"/>
          <w:szCs w:val="22"/>
          <w:u w:val="single" w:color="auto"/>
          <w:color w:val="0000FF"/>
        </w:rPr>
        <w:t>http://www.facebook.com/VistaGen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118"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 xml:space="preserve">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the VistaGen's and the NIH’s successful completion of the NIH-sponsored Phase 2 clinical study of AV-101 in MDD, its stem cell technology-based drug rescue activities, protection of its intellectual property, and the availability of substantial additional capital to support its operations, including the foregoing activities. These and other risks and uncertainties are identified and described in more detail in VistaGen's filings with the Securities and Exchange Commission (SEC). These filings are available on the SEC's website at </w:t>
      </w:r>
      <w:r>
        <w:rPr>
          <w:rFonts w:ascii="Arial" w:cs="Arial" w:eastAsia="Arial" w:hAnsi="Arial"/>
          <w:sz w:val="19"/>
          <w:szCs w:val="19"/>
          <w:u w:val="single" w:color="auto"/>
          <w:color w:val="0000FF"/>
        </w:rPr>
        <w:t>www.sec.gov</w:t>
      </w:r>
      <w:r>
        <w:rPr>
          <w:rFonts w:ascii="Arial" w:cs="Arial" w:eastAsia="Arial" w:hAnsi="Arial"/>
          <w:sz w:val="19"/>
          <w:szCs w:val="19"/>
          <w:color w:val="000000"/>
        </w:rPr>
        <w:t>. VistaGen undertakes no obligation to publicly update or revise any forward-looking statements.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more information:</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Shawn K. Singh, J.D.</w:t>
      </w:r>
    </w:p>
    <w:p>
      <w:pPr>
        <w:spacing w:after="0" w:line="238" w:lineRule="auto"/>
        <w:rPr>
          <w:sz w:val="20"/>
          <w:szCs w:val="20"/>
          <w:color w:val="auto"/>
        </w:rPr>
      </w:pPr>
      <w:r>
        <w:rPr>
          <w:rFonts w:ascii="Arial" w:cs="Arial" w:eastAsia="Arial" w:hAnsi="Arial"/>
          <w:sz w:val="22"/>
          <w:szCs w:val="22"/>
          <w:color w:val="auto"/>
        </w:rPr>
        <w:t>Chief Executive Officer</w:t>
      </w:r>
    </w:p>
    <w:p>
      <w:pPr>
        <w:spacing w:after="0" w:line="230" w:lineRule="auto"/>
        <w:rPr>
          <w:sz w:val="20"/>
          <w:szCs w:val="20"/>
          <w:color w:val="auto"/>
        </w:rPr>
      </w:pPr>
      <w:r>
        <w:rPr>
          <w:rFonts w:ascii="Arial" w:cs="Arial" w:eastAsia="Arial" w:hAnsi="Arial"/>
          <w:sz w:val="22"/>
          <w:szCs w:val="22"/>
          <w:color w:val="auto"/>
        </w:rPr>
        <w:t>VistaGen Therapeutics, Inc.</w:t>
      </w:r>
    </w:p>
    <w:p>
      <w:pPr>
        <w:spacing w:after="0" w:line="231" w:lineRule="auto"/>
        <w:rPr>
          <w:sz w:val="20"/>
          <w:szCs w:val="20"/>
          <w:color w:val="auto"/>
        </w:rPr>
      </w:pPr>
      <w:r>
        <w:rPr>
          <w:rFonts w:ascii="Arial" w:cs="Arial" w:eastAsia="Arial" w:hAnsi="Arial"/>
          <w:sz w:val="22"/>
          <w:szCs w:val="22"/>
          <w:u w:val="single" w:color="auto"/>
          <w:color w:val="0000FF"/>
        </w:rPr>
        <w:t>www.VistaGen.com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650-577-3613</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Investor.Relations@VistaGen.com</w:t>
      </w:r>
    </w:p>
    <w:sectPr>
      <w:pgSz w:w="11900" w:h="16838" w:orient="portrait"/>
      <w:cols w:equalWidth="0" w:num="1">
        <w:col w:w="11420"/>
      </w:cols>
      <w:pgMar w:left="240" w:top="2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5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2020-01-23T21:55:38Z</dcterms:created>
  <dcterms:modified xsi:type="dcterms:W3CDTF">2020-01-23T21:55:38Z</dcterms:modified>
</cp:coreProperties>
</file>