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5,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06"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840" w:space="720"/>
            <w:col w:w="2700" w:space="720"/>
            <w:col w:w="3260"/>
          </w:cols>
          <w:pgMar w:left="320" w:top="706"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706" w:right="339" w:bottom="1440" w:gutter="0" w:footer="0" w:header="0"/>
          <w:type w:val="continuous"/>
        </w:sect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9"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8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441"/>
        </w:trPr>
        <w:tc>
          <w:tcPr>
            <w:tcW w:w="41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87"/>
              </w:rPr>
              <w:t>Title of each class</w:t>
            </w:r>
          </w:p>
        </w:tc>
        <w:tc>
          <w:tcPr>
            <w:tcW w:w="2180" w:type="dxa"/>
            <w:vAlign w:val="bottom"/>
            <w:tcBorders>
              <w:bottom w:val="single" w:sz="8" w:color="auto"/>
            </w:tcBorders>
          </w:tcPr>
          <w:p>
            <w:pPr>
              <w:jc w:val="center"/>
              <w:ind w:right="532"/>
              <w:spacing w:after="0"/>
              <w:rPr>
                <w:sz w:val="20"/>
                <w:szCs w:val="20"/>
                <w:color w:val="auto"/>
              </w:rPr>
            </w:pPr>
            <w:r>
              <w:rPr>
                <w:rFonts w:ascii="Arial" w:cs="Arial" w:eastAsia="Arial" w:hAnsi="Arial"/>
                <w:sz w:val="18"/>
                <w:szCs w:val="18"/>
                <w:color w:val="auto"/>
                <w:w w:val="89"/>
              </w:rPr>
              <w:t>Trading Symbol(s)</w:t>
            </w:r>
          </w:p>
        </w:tc>
        <w:tc>
          <w:tcPr>
            <w:tcW w:w="490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7"/>
              </w:rPr>
              <w:t>Name of each exchange on which registered</w:t>
            </w:r>
          </w:p>
        </w:tc>
      </w:tr>
      <w:tr>
        <w:trPr>
          <w:trHeight w:val="222"/>
        </w:trPr>
        <w:tc>
          <w:tcPr>
            <w:tcW w:w="4160" w:type="dxa"/>
            <w:vAlign w:val="bottom"/>
          </w:tcPr>
          <w:p>
            <w:pPr>
              <w:jc w:val="center"/>
              <w:ind w:right="192"/>
              <w:spacing w:after="0"/>
              <w:rPr>
                <w:sz w:val="20"/>
                <w:szCs w:val="20"/>
                <w:color w:val="auto"/>
              </w:rPr>
            </w:pPr>
            <w:r>
              <w:rPr>
                <w:rFonts w:ascii="Arial" w:cs="Arial" w:eastAsia="Arial" w:hAnsi="Arial"/>
                <w:sz w:val="18"/>
                <w:szCs w:val="18"/>
                <w:color w:val="auto"/>
                <w:w w:val="87"/>
              </w:rPr>
              <w:t>Common Stock, par value $0.001 per share</w:t>
            </w:r>
          </w:p>
        </w:tc>
        <w:tc>
          <w:tcPr>
            <w:tcW w:w="2180" w:type="dxa"/>
            <w:vAlign w:val="bottom"/>
          </w:tcPr>
          <w:p>
            <w:pPr>
              <w:jc w:val="center"/>
              <w:ind w:right="532"/>
              <w:spacing w:after="0"/>
              <w:rPr>
                <w:sz w:val="20"/>
                <w:szCs w:val="20"/>
                <w:color w:val="auto"/>
              </w:rPr>
            </w:pPr>
            <w:r>
              <w:rPr>
                <w:rFonts w:ascii="Arial" w:cs="Arial" w:eastAsia="Arial" w:hAnsi="Arial"/>
                <w:sz w:val="18"/>
                <w:szCs w:val="18"/>
                <w:color w:val="auto"/>
                <w:w w:val="95"/>
              </w:rPr>
              <w:t>VTGN</w:t>
            </w:r>
          </w:p>
        </w:tc>
        <w:tc>
          <w:tcPr>
            <w:tcW w:w="4900" w:type="dxa"/>
            <w:vAlign w:val="bottom"/>
          </w:tcPr>
          <w:p>
            <w:pPr>
              <w:jc w:val="center"/>
              <w:ind w:right="232"/>
              <w:spacing w:after="0"/>
              <w:rPr>
                <w:sz w:val="20"/>
                <w:szCs w:val="20"/>
                <w:color w:val="auto"/>
              </w:rPr>
            </w:pPr>
            <w:r>
              <w:rPr>
                <w:rFonts w:ascii="Arial" w:cs="Arial" w:eastAsia="Arial" w:hAnsi="Arial"/>
                <w:sz w:val="18"/>
                <w:szCs w:val="18"/>
                <w:color w:val="auto"/>
                <w:w w:val="88"/>
              </w:rPr>
              <w:t>Nasdaq Capital Market</w:t>
            </w:r>
          </w:p>
        </w:tc>
      </w:tr>
    </w:tbl>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the Articles of Incorporation or Bylaws; Change in Fiscal Year.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5.07 below and Exhibit 3.1 with respect to the filing of the Charter Amendment (defined below).</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On March 5, 2021,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held a virtual special meeting of stockholders (the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 The matters voted upon at the Special Meeting and the results of the voting are set forth below.</w:t>
      </w:r>
    </w:p>
    <w:p>
      <w:pPr>
        <w:spacing w:after="0" w:line="18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color w:val="auto"/>
        </w:rPr>
        <w:t>Proposal No. 1 – Approval of an Amendment to the Company’s Restated Articles of Incorporation to Increase the Company’s Authorized Share of Common Stock from 175.0 Million to 325.0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For</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Against</w:t>
            </w: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Abstained</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Votes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82,555,822</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8,624,844</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349,761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 of Shares Voted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90.20%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19"/>
                <w:szCs w:val="19"/>
                <w:color w:val="auto"/>
              </w:rPr>
            </w:pPr>
          </w:p>
        </w:tc>
      </w:tr>
    </w:tbl>
    <w:p>
      <w:pPr>
        <w:spacing w:after="0" w:line="201"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8"/>
          <w:szCs w:val="18"/>
          <w:color w:val="auto"/>
        </w:rPr>
        <w:t>The vote required to approve Proposal No. 1 was the affirmative vote of a majority of the outstanding shares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and Series D Convertible Preferred Stock, voting together as a single class, entitled to vote as of January 4, 2021, the record date for the Special Meeting (the “</w:t>
      </w:r>
      <w:r>
        <w:rPr>
          <w:rFonts w:ascii="Arial" w:cs="Arial" w:eastAsia="Arial" w:hAnsi="Arial"/>
          <w:sz w:val="18"/>
          <w:szCs w:val="18"/>
          <w:i w:val="1"/>
          <w:iCs w:val="1"/>
          <w:color w:val="auto"/>
        </w:rPr>
        <w:t>Record Date</w:t>
      </w:r>
      <w:r>
        <w:rPr>
          <w:rFonts w:ascii="Arial" w:cs="Arial" w:eastAsia="Arial" w:hAnsi="Arial"/>
          <w:sz w:val="18"/>
          <w:szCs w:val="18"/>
          <w:color w:val="auto"/>
        </w:rPr>
        <w:t>”). Accordingly, the amendment to increase the number of authorized shares of Common Stock under the Company’s Restated Articles of Incorporation, as amended, from 175.0 million shares to 325.0 million shares (the “</w:t>
      </w:r>
      <w:r>
        <w:rPr>
          <w:rFonts w:ascii="Arial" w:cs="Arial" w:eastAsia="Arial" w:hAnsi="Arial"/>
          <w:sz w:val="18"/>
          <w:szCs w:val="18"/>
          <w:i w:val="1"/>
          <w:iCs w:val="1"/>
          <w:color w:val="auto"/>
        </w:rPr>
        <w:t>Charter Amendment</w:t>
      </w:r>
      <w:r>
        <w:rPr>
          <w:rFonts w:ascii="Arial" w:cs="Arial" w:eastAsia="Arial" w:hAnsi="Arial"/>
          <w:sz w:val="18"/>
          <w:szCs w:val="18"/>
          <w:color w:val="auto"/>
        </w:rPr>
        <w:t>”) was approved by the Company’s stockholders.</w:t>
      </w:r>
    </w:p>
    <w:p>
      <w:pPr>
        <w:spacing w:after="0" w:line="201"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As approved by the Company’s stockholders at the Special Meeting, the Charter Amendment was filed with the Nevada Secretary of State on March 5, 2021. A copy of the Charter Amendment is attached to this Current Report on Form 8-K as Exhibit 3.1.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Proposal No. 2 – Approval of a Proposal to Grant Discretionary Authority to Adjourn the Special Meeting, if Necessary, to Solicit Additional Proxies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Pr>
          <w:p>
            <w:pPr>
              <w:spacing w:after="0"/>
              <w:rPr>
                <w:sz w:val="20"/>
                <w:szCs w:val="20"/>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For</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Against</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Abstain</w:t>
            </w:r>
          </w:p>
        </w:tc>
        <w:tc>
          <w:tcPr>
            <w:tcW w:w="10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Votes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83,013,669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8,056,166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460,592</w:t>
            </w:r>
          </w:p>
        </w:tc>
        <w:tc>
          <w:tcPr>
            <w:tcW w:w="1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right="60" w:firstLine="648"/>
        <w:spacing w:after="0" w:line="331" w:lineRule="auto"/>
        <w:rPr>
          <w:sz w:val="20"/>
          <w:szCs w:val="20"/>
          <w:color w:val="auto"/>
        </w:rPr>
      </w:pPr>
      <w:r>
        <w:rPr>
          <w:rFonts w:ascii="Arial" w:cs="Arial" w:eastAsia="Arial" w:hAnsi="Arial"/>
          <w:sz w:val="16"/>
          <w:szCs w:val="16"/>
          <w:color w:val="auto"/>
        </w:rPr>
        <w:t>The vote required to approve this proposal was the affirmative vote of a majority of the votes cast on the proposal in person, excluding abstentions, via virtual attendance at the Special Meeting or by proxy, if a quorum present. Proposal No. 2 was approved by the Company’s stockholders.</w:t>
      </w:r>
    </w:p>
    <w:p>
      <w:pPr>
        <w:spacing w:after="0" w:line="141"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For more information about the foregoing proposals, please review the Company’s definitive proxy statement, filed with the Securities and Exchange Commission on January 14,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(d) Exhibits.</w:t>
            </w:r>
          </w:p>
        </w:tc>
        <w:tc>
          <w:tcPr>
            <w:tcW w:w="9420" w:type="dxa"/>
            <w:vAlign w:val="bottom"/>
          </w:tcPr>
          <w:p>
            <w:pPr>
              <w:spacing w:after="0"/>
              <w:rPr>
                <w:sz w:val="19"/>
                <w:szCs w:val="19"/>
                <w:color w:val="auto"/>
              </w:rPr>
            </w:pPr>
          </w:p>
        </w:tc>
      </w:tr>
      <w:tr>
        <w:trPr>
          <w:trHeight w:val="441"/>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4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8"/>
        </w:trPr>
        <w:tc>
          <w:tcPr>
            <w:tcW w:w="1360" w:type="dxa"/>
            <w:vAlign w:val="bottom"/>
            <w:tcBorders>
              <w:top w:val="single" w:sz="8" w:color="auto"/>
            </w:tcBorders>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3.1</w:t>
              </w:r>
            </w:hyperlink>
          </w:p>
        </w:tc>
        <w:tc>
          <w:tcPr>
            <w:tcW w:w="460" w:type="dxa"/>
            <w:vAlign w:val="bottom"/>
            <w:shd w:val="clear" w:color="auto" w:fill="CCEEFF"/>
          </w:tcPr>
          <w:p>
            <w:pPr>
              <w:spacing w:after="0"/>
              <w:rPr>
                <w:sz w:val="18"/>
                <w:szCs w:val="18"/>
                <w:color w:val="auto"/>
              </w:rPr>
            </w:pPr>
          </w:p>
        </w:tc>
        <w:tc>
          <w:tcPr>
            <w:tcW w:w="9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Certificate of Amendment to the Restated and Amended Articles of Incorporation, as amended, of VistaGen Therapeutics, Inc., dated</w:t>
            </w:r>
          </w:p>
        </w:tc>
      </w:tr>
      <w:tr>
        <w:trPr>
          <w:trHeight w:val="224"/>
        </w:trPr>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March 5, 2021.</w:t>
            </w:r>
          </w:p>
        </w:tc>
      </w:tr>
      <w:tr>
        <w:trPr>
          <w:trHeight w:val="871"/>
        </w:trPr>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557" w:right="29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280" w:val="left"/>
          <w:tab w:leader="none" w:pos="584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p>
      <w:pPr>
        <w:ind w:left="9300"/>
        <w:spacing w:after="0"/>
        <w:rPr>
          <w:sz w:val="20"/>
          <w:szCs w:val="20"/>
          <w:color w:val="auto"/>
        </w:rPr>
      </w:pPr>
      <w:r>
        <w:rPr>
          <w:rFonts w:ascii="Arial" w:cs="Arial" w:eastAsia="Arial" w:hAnsi="Arial"/>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7835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835265"/>
                    </a:xfrm>
                    <a:prstGeom prst="rect">
                      <a:avLst/>
                    </a:prstGeom>
                    <a:noFill/>
                  </pic:spPr>
                </pic:pic>
              </a:graphicData>
            </a:graphic>
          </wp:anchor>
        </w:drawing>
      </w:r>
    </w:p>
    <w:sectPr>
      <w:pgSz w:w="11900" w:h="16838" w:orient="portrait"/>
      <w:cols w:equalWidth="0" w:num="1">
        <w:col w:w="10120"/>
      </w:cols>
      <w:pgMar w:left="144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2021-03-05T16:14:54Z</dcterms:created>
  <dcterms:modified xsi:type="dcterms:W3CDTF">2021-03-05T16:14:54Z</dcterms:modified>
</cp:coreProperties>
</file>