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February 12,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927"/>
        <w:gridCol w:w="816"/>
        <w:gridCol w:w="822"/>
        <w:gridCol w:w="772"/>
        <w:gridCol w:w="772"/>
        <w:gridCol w:w="780"/>
        <w:gridCol w:w="605"/>
        <w:gridCol w:w="605"/>
        <w:gridCol w:w="860"/>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000-54014</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20-5093315</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(State or other jurisdiction of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(Commission File Number) </w:t>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(IRS Employer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Identification Number) </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lineRule="auto" w:line="288" w:before="200" w:after="283"/>
        <w:jc w:val="center"/>
        <w:rPr/>
      </w:pPr>
      <w:r>
        <w:rPr>
          <w:rFonts w:ascii="Times New Roman;serif" w:hAnsi="Times New Roman;serif"/>
          <w:b/>
          <w:i/>
          <w:color w:val="000000"/>
          <w:sz w:val="20"/>
        </w:rPr>
        <w:t>(650</w:t>
      </w:r>
      <w:r>
        <w:rPr>
          <w:rFonts w:ascii="Times New Roman;serif" w:hAnsi="Times New Roman;serif"/>
          <w:b w:val="false"/>
          <w:i/>
          <w:color w:val="000000"/>
          <w:sz w:val="20"/>
        </w:rPr>
        <w:t xml:space="preserve">) </w:t>
      </w:r>
      <w:r>
        <w:rPr>
          <w:rFonts w:ascii="Times New Roman;serif" w:hAnsi="Times New Roman;serif"/>
          <w:b/>
          <w:i/>
          <w:color w:val="000000"/>
          <w:sz w:val="20"/>
        </w:rPr>
        <w:t>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0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 -12)</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 -2(b))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February 12, 2026, Vistagen Therapeutics,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issued a press release announcing financial results for its fiscal year 2026 third quarter ended December 31, 2025. A copy of the press release is being furnished as Exhibit 99.1 to this Current Report on Form 8-K.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Disclaimer.</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The information contained in this Current Report on Form 8-K and Exhibit 99.1 attached hereto is intended to be furnished and shall not be deemed “filed” for purposes of Section 18 of the Securities Exchange Act of 1934, as amended (the “</w:t>
      </w:r>
      <w:r>
        <w:rPr>
          <w:rFonts w:ascii="Times New Roman;serif" w:hAnsi="Times New Roman;serif"/>
          <w:b w:val="false"/>
          <w:i/>
          <w:color w:val="000000"/>
          <w:sz w:val="20"/>
        </w:rPr>
        <w:t>Exchange Act</w:t>
      </w:r>
      <w:r>
        <w:rPr>
          <w:color w:val="000000"/>
        </w:rPr>
        <w:t>”</w:t>
      </w:r>
      <w:r>
        <w:rPr>
          <w:rFonts w:ascii="Times New Roman;serif" w:hAnsi="Times New Roman;serif"/>
          <w:b w:val="false"/>
          <w:color w:val="000000"/>
          <w:sz w:val="20"/>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88"/>
        <w:jc w:val="left"/>
        <w:rPr>
          <w:rFonts w:ascii="Times New Roman;serif" w:hAnsi="Times New Roman;serif"/>
          <w:b/>
          <w:color w:val="000000"/>
          <w:sz w:val="20"/>
        </w:rPr>
      </w:pPr>
      <w:r>
        <w:rPr>
          <w:rFonts w:ascii="Times New Roman;serif" w:hAnsi="Times New Roman;serif"/>
          <w:b/>
          <w:color w:val="000000"/>
          <w:sz w:val="20"/>
        </w:rPr>
        <w:t>(d)Exhibits Index</w:t>
      </w:r>
    </w:p>
    <w:tbl>
      <w:tblPr>
        <w:tblW w:w="937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327"/>
        <w:gridCol w:w="2327"/>
        <w:gridCol w:w="331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331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20260212xex991.htm">
              <w:r>
                <w:rPr>
                  <w:rStyle w:val="InternetLink"/>
                  <w:rFonts w:ascii="Times New Roman;serif" w:hAnsi="Times New Roman;serif"/>
                  <w:b w:val="false"/>
                  <w:color w:val="0000FF"/>
                  <w:sz w:val="20"/>
                  <w:u w:val="single"/>
                </w:rPr>
                <w:t>Press Release issued by Vistagen Therapeutics, Inc., dated February 12, 2026, furnished herewith</w:t>
              </w:r>
            </w:hyperlink>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5"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392" w:type="dxa"/>
        <w:jc w:val="left"/>
        <w:tblInd w:w="0" w:type="dxa"/>
        <w:tblLayout w:type="fixed"/>
        <w:tblCellMar>
          <w:top w:w="28" w:type="dxa"/>
          <w:left w:w="28" w:type="dxa"/>
          <w:bottom w:w="28" w:type="dxa"/>
          <w:right w:w="28" w:type="dxa"/>
        </w:tblCellMar>
      </w:tblPr>
      <w:tblGrid>
        <w:gridCol w:w="754"/>
        <w:gridCol w:w="664"/>
        <w:gridCol w:w="667"/>
        <w:gridCol w:w="366"/>
        <w:gridCol w:w="366"/>
        <w:gridCol w:w="366"/>
        <w:gridCol w:w="937"/>
        <w:gridCol w:w="937"/>
        <w:gridCol w:w="133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30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Vistagen Therapeutics,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Shawn K. Singh</w:t>
            </w:r>
          </w:p>
        </w:tc>
      </w:tr>
      <w:tr>
        <w:trPr/>
        <w:tc>
          <w:tcPr>
            <w:tcW w:w="208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Shawn K. Singh</w:t>
              <w:b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00" w:after="283"/>
        <w:jc w:val="left"/>
        <w:rPr/>
      </w:pPr>
      <w:r>
        <w:rPr/>
        <w:drawing>
          <wp:inline distT="0" distB="0" distL="0" distR="0">
            <wp:extent cx="1381125" cy="466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81125" cy="466725"/>
                    </a:xfrm>
                    <a:prstGeom prst="rect">
                      <a:avLst/>
                    </a:prstGeom>
                  </pic:spPr>
                </pic:pic>
              </a:graphicData>
            </a:graphic>
          </wp:inline>
        </w:drawing>
      </w:r>
    </w:p>
    <w:p>
      <w:pPr>
        <w:pStyle w:val="TextBody"/>
        <w:bidi w:val="0"/>
        <w:spacing w:before="200" w:after="283"/>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Vistagen Reports Fiscal Year 2026 Third Quarter Financial Results and Provides Corporate Update   </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i/>
          <w:color w:val="000000"/>
          <w:sz w:val="24"/>
        </w:rPr>
      </w:pPr>
      <w:r>
        <w:rPr>
          <w:rFonts w:ascii="Times New Roman;serif" w:hAnsi="Times New Roman;serif"/>
          <w:b w:val="false"/>
          <w:i/>
          <w:color w:val="000000"/>
          <w:sz w:val="24"/>
        </w:rPr>
        <w:t xml:space="preserve">PALISADE-4 Phase 3 Trial of fasedienol for acute treatment of Social Anxiety Disorder proceeding, with topline results from the randomized portion of the trial expected in the first half of 2026  </w:t>
      </w:r>
    </w:p>
    <w:p>
      <w:pPr>
        <w:pStyle w:val="TextBody"/>
        <w:bidi w:val="0"/>
        <w:spacing w:before="0" w:after="0"/>
        <w:jc w:val="center"/>
        <w:rPr/>
      </w:pPr>
      <w:r>
        <w:rPr/>
      </w:r>
    </w:p>
    <w:p>
      <w:pPr>
        <w:pStyle w:val="TextBody"/>
        <w:bidi w:val="0"/>
        <w:spacing w:lineRule="auto" w:line="276" w:before="0" w:after="0"/>
        <w:jc w:val="left"/>
        <w:rPr/>
      </w:pPr>
      <w:r>
        <w:rPr>
          <w:rFonts w:ascii="Times New Roman;serif" w:hAnsi="Times New Roman;serif"/>
          <w:b/>
          <w:color w:val="000000"/>
          <w:sz w:val="22"/>
        </w:rPr>
        <w:t>SOUTH SAN FRANCISCO, Calif. (BUSINESS WIRE) —</w:t>
      </w:r>
      <w:r>
        <w:rPr>
          <w:color w:val="000000"/>
        </w:rPr>
        <w:t> </w:t>
      </w:r>
      <w:r>
        <w:rPr>
          <w:rFonts w:ascii="Times New Roman;serif" w:hAnsi="Times New Roman;serif"/>
          <w:b w:val="false"/>
          <w:color w:val="000000"/>
          <w:sz w:val="22"/>
        </w:rPr>
        <w:t>February 12, 2026 — </w:t>
      </w:r>
      <w:r>
        <w:rPr>
          <w:rFonts w:ascii="Times New Roman;serif" w:hAnsi="Times New Roman;serif"/>
          <w:b w:val="false"/>
          <w:color w:val="3051F2"/>
          <w:sz w:val="22"/>
        </w:rPr>
        <w:t>Vistagen</w:t>
      </w:r>
      <w:r>
        <w:rPr>
          <w:color w:val="0E32E1"/>
        </w:rPr>
        <w:t> </w:t>
      </w:r>
      <w:r>
        <w:rPr>
          <w:rFonts w:ascii="Times New Roman;serif" w:hAnsi="Times New Roman;serif"/>
          <w:b w:val="false"/>
          <w:color w:val="000000"/>
          <w:sz w:val="22"/>
        </w:rPr>
        <w:t xml:space="preserve">(Nasdaq: VTGN), a late clinical-stage biopharmaceutical company pioneering neuroscience with nose-to-brain neurocircuitry to develop and commercialize a new class of intranasal product candidates called pherines, today reported financial results for its fiscal year 2026 third quarter ended December 31, 2025, and provided a corporate update.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2"/>
        </w:rPr>
        <w:t xml:space="preserve">We have reviewed available data from PALISADE-3 and implemented moderate refinements, including retraining, site rationalization, and operational enhancements to our ongoing PALISADE-4 Phase 3 trial. We expect topline results from the randomized portion of PALISADE-4 in the first half of 2026,” said Shawn Singh, President and Chief Executive Officer of Vistagen. “With outside collaborators and their proprietary artificial intelligence and machine learning methodologies, we are conducting an extensive analysis across all available PALISADE Program datasets to potentially inform modifications to the statistical analysis plan for PALISADE-4 and our regulatory strategy.”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2"/>
        </w:rPr>
        <w:t xml:space="preserve">We have implemented targeted, company-wide cash preservation initiatives and remain committed to disciplined capital allocation and preserving strategic flexibility as we approach key clinical milestones in 2026. We believe we are well-positioned to complete PALISADE-4 and advance preparations and planning for the pherine pipeline.”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u w:val="single"/>
        </w:rPr>
        <w:t>Program Updates</w:t>
      </w:r>
      <w:r>
        <w:rPr>
          <w:color w:val="000000"/>
        </w:rPr>
        <w:t xml:space="preser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2"/>
        </w:rPr>
      </w:pPr>
      <w:r>
        <w:rPr>
          <w:rFonts w:ascii="Times New Roman;serif" w:hAnsi="Times New Roman;serif"/>
          <w:b w:val="false"/>
          <w:i/>
          <w:color w:val="000000"/>
          <w:sz w:val="22"/>
        </w:rPr>
        <w:t xml:space="preserve">Fasedienol for the Acute Treatment of Social Anxiety Disorder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 xml:space="preserve">The Company expects topline results for the randomized portion of its ongoing PALISADE-4 Phase 3 trial of fasedienol for the acute treatment of social anxiety disorder in the first half of 2026.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 xml:space="preserve">In December 2025, Vistagen announced topline results from the randomized portion of its PALISADE-3 Phase 3 trial of fasedienol for the acute treatment of social anxiety disorder. PALISADE-3 did not achieve its primary endpoint, as measured by the least squares (LS) mean change from baseline on the Subjective Units of Distress (SUDS) score for fasedienol compared with placebo. The fasedienol safety data in the randomized portion of PALISADE-3 were favorable and consistent with previously reported results from other fasedienol Phase 3 clinical trials. No drug-related severe or serious adverse events were reported for fasedienol in the randomized portion of PALISADE-3 or in prior fasedienol Phase 3 clinical trials.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2"/>
        </w:rPr>
      </w:pPr>
      <w:r>
        <w:rPr>
          <w:rFonts w:ascii="Times New Roman;serif" w:hAnsi="Times New Roman;serif"/>
          <w:b w:val="false"/>
          <w:i/>
          <w:color w:val="000000"/>
          <w:sz w:val="22"/>
        </w:rPr>
        <w:t xml:space="preserve">Refisolone (formerly PH80) for the treatment of vasomotor symptoms (hot flashes) due to menopause </w:t>
      </w:r>
    </w:p>
    <w:p>
      <w:pPr>
        <w:pStyle w:val="TextBody"/>
        <w:bidi w:val="0"/>
        <w:spacing w:before="0" w:after="0"/>
        <w:jc w:val="left"/>
        <w:rPr/>
      </w:pPr>
      <w:r>
        <w:rPr/>
      </w:r>
    </w:p>
    <w:p>
      <w:pPr>
        <w:pStyle w:val="TextBody"/>
        <w:bidi w:val="0"/>
        <w:spacing w:lineRule="auto" w:line="276"/>
        <w:ind w:left="0" w:right="0" w:hanging="360"/>
        <w:jc w:val="left"/>
        <w:rPr/>
      </w:pPr>
      <w:r>
        <w:rPr>
          <w:color w:val="000000"/>
        </w:rPr>
        <w:t>•</w:t>
      </w:r>
      <w:r>
        <w:rPr>
          <w:rFonts w:ascii="Times New Roman;serif" w:hAnsi="Times New Roman;serif"/>
          <w:b w:val="false"/>
          <w:color w:val="000000"/>
          <w:sz w:val="22"/>
        </w:rPr>
        <w:t xml:space="preserve">The Company received an adoption statement from the United States Adopted Names Council (USAN) officially designating PH80, its hormone-free, non-systemic product candidate for treatment of moderate to severe vasomotor symptoms (hot flashes) due to menopause and potentially other women’s health indications, by the generic name “refisolone.” </w:t>
      </w:r>
    </w:p>
    <w:p>
      <w:pPr>
        <w:pStyle w:val="TextBody"/>
        <w:bidi w:val="0"/>
        <w:spacing w:before="0" w:after="0"/>
        <w:jc w:val="left"/>
        <w:rPr/>
      </w:pPr>
      <w:r>
        <w:rPr/>
        <w:drawing>
          <wp:inline distT="0" distB="0" distL="0" distR="0">
            <wp:extent cx="1371600" cy="4572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71600" cy="45720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 xml:space="preserve">Vistagen is currently preparing an Investigational New Drug application (IND) for submission to the U.S. Food and Drug Administration (FDA), with a planned submission in the first half of 2026, to facilitate further Phase 2 clinical development of refisolone in the U.S. as a potential treatment of moderate to severe vasomotor symptoms (hot flashes) due to menopause.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 xml:space="preserve">In previously completed placebo-controlled Phase 2A clinical trials, refisolone demonstrated statistically significant reductions in the frequency and severity of hot flashes. The Phase 2A trials were conducted in Mexico by Pherin Pharmaceuticals, now a wholly owned subsidiary of Vistagen.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u w:val="single"/>
        </w:rPr>
      </w:pPr>
      <w:r>
        <w:rPr>
          <w:rFonts w:ascii="Times New Roman;serif" w:hAnsi="Times New Roman;serif"/>
          <w:b/>
          <w:color w:val="000000"/>
          <w:sz w:val="22"/>
          <w:u w:val="single"/>
        </w:rPr>
        <w:t xml:space="preserve">Corporate Updates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 xml:space="preserve">In December, Vistagen announced the appointment of Nick Tressler as Chief Financial Officer.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Financial Results for Fiscal Year 2026 Third Quarter Ended December 31,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2"/>
        </w:rPr>
      </w:pPr>
      <w:r>
        <w:rPr>
          <w:rFonts w:ascii="Times New Roman;serif" w:hAnsi="Times New Roman;serif"/>
          <w:b w:val="false"/>
          <w:i/>
          <w:color w:val="000000"/>
          <w:sz w:val="22"/>
        </w:rPr>
        <w:t>Research and development (R&amp;D) expense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R&amp;D expense was $14.2 million for the three months ended December 31, 2025, as compared to $11.3 million for the three months ended December 31, 2024. The increase in R&amp;D expense was primarily due to higher research, development, and contract manufacturing expenses, as well as headcount related to the U.S. registration-directed PALISADE Program for fasedienol in social anxiety disorder.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2"/>
        </w:rPr>
      </w:pPr>
      <w:r>
        <w:rPr>
          <w:rFonts w:ascii="Times New Roman;serif" w:hAnsi="Times New Roman;serif"/>
          <w:b w:val="false"/>
          <w:i/>
          <w:color w:val="000000"/>
          <w:sz w:val="22"/>
        </w:rPr>
        <w:t>General and administrative (G&amp;A) expense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G&amp;A expense was $5.6 million for the three months ended December 31, 2025, as compared to $4.0 million for the three months ended December 31, 2024. This increase in G&amp;A expense was primarily due to increases in consulting and professional fees.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2"/>
        </w:rPr>
      </w:pPr>
      <w:r>
        <w:rPr>
          <w:rFonts w:ascii="Times New Roman;serif" w:hAnsi="Times New Roman;serif"/>
          <w:b w:val="false"/>
          <w:i/>
          <w:color w:val="000000"/>
          <w:sz w:val="22"/>
        </w:rPr>
        <w:t>Net loss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Net loss was $18.9 million for the three months ended December 31, 2025, as compared to $14.1 million for the three months ended December 31, 2024.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2"/>
        </w:rPr>
      </w:pPr>
      <w:r>
        <w:rPr>
          <w:rFonts w:ascii="Times New Roman;serif" w:hAnsi="Times New Roman;serif"/>
          <w:b w:val="false"/>
          <w:i/>
          <w:color w:val="000000"/>
          <w:sz w:val="22"/>
        </w:rPr>
        <w:t>Other financial highlights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Cash, cash equivalents, and marketable securities were $61.8 million as of December 31,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Conference Call and Webcast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Vistagen will host a conference call and live audio webcast today, February 12, 2026, at 5:00 p.m. Eastern Time to provide a corporate update of the Company’s progress. The conference call is being webcast live, and a link can be found under “Events” in the Investors section of Vistagen's website. Please click on the webcast link and follow the prompts for registration and access at least 10 minutes before the call. The webcast will be archived on Vistagen’s website shortly after the call and will be available for at least 90 days.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For participants interested in participating in the call via dial-in, please follow the link below to pre-register. After registering, you will be provided with access details via email.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FF"/>
          <w:sz w:val="22"/>
        </w:rPr>
      </w:pPr>
      <w:r>
        <w:rPr>
          <w:rFonts w:ascii="Times New Roman;serif" w:hAnsi="Times New Roman;serif"/>
          <w:b w:val="false"/>
          <w:color w:val="0000FF"/>
          <w:sz w:val="22"/>
        </w:rPr>
        <w:t>https://edge.media-server.com/mmc/p/mggzveh9/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About Vistagen</w:t>
      </w:r>
    </w:p>
    <w:p>
      <w:pPr>
        <w:pStyle w:val="TextBody"/>
        <w:bidi w:val="0"/>
        <w:spacing w:before="0" w:after="283"/>
        <w:jc w:val="left"/>
        <w:rPr/>
      </w:pPr>
      <w:r>
        <w:rPr/>
      </w:r>
    </w:p>
    <w:p>
      <w:pPr>
        <w:pStyle w:val="TextBody"/>
        <w:bidi w:val="0"/>
        <w:spacing w:before="0" w:after="0"/>
        <w:jc w:val="left"/>
        <w:rPr/>
      </w:pPr>
      <w:r>
        <w:rPr/>
        <w:drawing>
          <wp:inline distT="0" distB="0" distL="0" distR="0">
            <wp:extent cx="1371600" cy="4572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371600" cy="45720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jc w:val="left"/>
        <w:rPr/>
      </w:pPr>
      <w:r>
        <w:rPr>
          <w:rFonts w:ascii="Times New Roman;serif" w:hAnsi="Times New Roman;serif"/>
          <w:b w:val="false"/>
          <w:color w:val="000000"/>
          <w:sz w:val="22"/>
        </w:rPr>
        <w:t xml:space="preserve">Vistagen (Nasdaq: VTGN) is a late clinical-stage biopharmaceutical company leveraging a deep understanding of nose-to-brain neurocircuitry to develop and commercialize a new class of rapid-onset neurocircuitry-focused intranasal product candidates called pherines. Vistagen’s pherine product candidates are designed to achieve therapeutic benefits without requiring absorption into the blood or uptake into the brain, giving them the potential to be a safer alternative to other pharmacological options if successfully developed and approved. Vistagen’s pherine pipeline currently consists of five investigational product candidates focused on improving the current standard of care for multiple highly prevalent indications, including social anxiety disorder, major depressive disorder, and vasomotor symptoms (hot flashes) due to menopause. Connect at </w:t>
      </w:r>
      <w:r>
        <w:rPr>
          <w:rFonts w:ascii="Times New Roman;serif" w:hAnsi="Times New Roman;serif"/>
          <w:b w:val="false"/>
          <w:color w:val="0000FF"/>
          <w:sz w:val="22"/>
        </w:rPr>
        <w:t>www.Vistagen.com</w:t>
      </w:r>
      <w:r>
        <w:rPr>
          <w:rFonts w:ascii="Times New Roman;serif" w:hAnsi="Times New Roman;serif"/>
          <w:b w:val="false"/>
          <w:color w:val="000000"/>
          <w:sz w:val="22"/>
        </w:rPr>
        <w:t>.</w:t>
      </w:r>
    </w:p>
    <w:p>
      <w:pPr>
        <w:pStyle w:val="TextBody"/>
        <w:bidi w:val="0"/>
        <w:spacing w:before="0" w:after="0"/>
        <w:jc w:val="left"/>
        <w:rPr/>
      </w:pPr>
      <w:r>
        <w:rPr/>
        <w:drawing>
          <wp:inline distT="0" distB="0" distL="0" distR="0">
            <wp:extent cx="1371600" cy="4572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371600" cy="45720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Forward-looking Statements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2"/>
        </w:rPr>
        <w:t>This press release contains certain forward-looking statements within the meaning of the federal securities laws, including, without limitation, Vistagen’s anticipated timing for the announcement of top-line results from the randomized portion of PALISADE-4, potential of analyses across the PALISADE Program datasets to modify the statistical analysis plan for PALISADE-4 and Vistagen’s regulatory strategy, Vistagen’s belief that company-wide cash preservation initiatives will enable Vistagen to complete PALISADE-4 and advance preparations and planning for the pherine pipeline, and Vistagen’s plans to submit an IND to the FDA to facilitate further Phase 2 clinical development of refisolone in the U.S.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There can be no guarantee that any of Vistagen’s product candidates, including fasedienol, will successfully complete ongoing or future clinical trials within estimated timelines or at all, receive regulatory approval or be commercially successful. Other factors that may cause such a difference include, without limitation, risks and uncertainties relating to conducting and/or completing ongoing clinical trials, including those that are a part of the PALISADE Phase 3 program for fasedienol in social anxiety disorder, as currently expected or at all; Vistagen’s ability to ability to successfully employ cash preservation measures and/or secure adequate financing for its operations, including financing or collaborative support for continued clinical development of its product candidates; Vistagen's dependence on third-party collaborators for the development, regulatory approval, and/or commercialization of its product candidates and other aspects of its business, which are outside of Vistagen's full control; risks and uncertainties resulting from disruptions and personnel turnover, staff reductions or otherwise, either within Vistagen or at the FDA, other government agencies and comparable foreign regulatory authorities; risks associated with current and potential future healthcare reforms; the scope and enforceability of Vistagen’s patents, including patents related to Vistagen’s pherine product candidates; fluctuating costs of materials and other resources and services required to conduct Vistagen’s ongoing and/or planned clinical and non-clinical trials; market conditions; the impact of general economic, industry or political conditions in the United States or internationally; and other technical and unexpected hurdles in the development, manufacture and commercialization of Vistagen’s product candidates. These risks and others are more fully discussed in the section entitled “Risk Factors” in Vistagen’s Quarterly Report on Form 10-Q for the period ended December 31, 2025, as well as discussions of potential risks, uncertainties, and other important factors in our other filings with the U.S. Securities and Exchange Commission (SEC). Vistagen’s SEC filings are available on the SEC’s website at www.sec.gov.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Investor Inquiries: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Mark A. McPartland</w:t>
      </w:r>
    </w:p>
    <w:p>
      <w:pPr>
        <w:pStyle w:val="TextBody"/>
        <w:bidi w:val="0"/>
        <w:spacing w:lineRule="auto" w:line="268" w:before="0" w:after="0"/>
        <w:jc w:val="left"/>
        <w:rPr>
          <w:rFonts w:ascii="Times New Roman;serif" w:hAnsi="Times New Roman;serif"/>
          <w:b w:val="false"/>
          <w:color w:val="0000FF"/>
          <w:sz w:val="22"/>
        </w:rPr>
      </w:pPr>
      <w:r>
        <w:rPr>
          <w:rFonts w:ascii="Times New Roman;serif" w:hAnsi="Times New Roman;serif"/>
          <w:b w:val="false"/>
          <w:color w:val="0000FF"/>
          <w:sz w:val="22"/>
        </w:rPr>
        <w:t>markmcp@vistagen.com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Media Inquiries: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Michelle P. Wellington</w:t>
      </w:r>
    </w:p>
    <w:p>
      <w:pPr>
        <w:pStyle w:val="TextBody"/>
        <w:bidi w:val="0"/>
        <w:spacing w:lineRule="auto" w:line="268" w:before="0" w:after="0"/>
        <w:jc w:val="left"/>
        <w:rPr>
          <w:rFonts w:ascii="Times New Roman;serif" w:hAnsi="Times New Roman;serif"/>
          <w:b w:val="false"/>
          <w:color w:val="0000FF"/>
          <w:sz w:val="22"/>
        </w:rPr>
      </w:pPr>
      <w:r>
        <w:rPr>
          <w:rFonts w:ascii="Times New Roman;serif" w:hAnsi="Times New Roman;serif"/>
          <w:b w:val="false"/>
          <w:color w:val="0000FF"/>
          <w:sz w:val="22"/>
        </w:rPr>
        <w:t>mwellington@vistagen.com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371600" cy="4572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371600" cy="457200"/>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par value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31"/>
        <w:gridCol w:w="2393"/>
        <w:gridCol w:w="2336"/>
        <w:gridCol w:w="228"/>
        <w:gridCol w:w="782"/>
        <w:gridCol w:w="118"/>
        <w:gridCol w:w="109"/>
        <w:gridCol w:w="109"/>
        <w:gridCol w:w="109"/>
        <w:gridCol w:w="211"/>
        <w:gridCol w:w="721"/>
        <w:gridCol w:w="158"/>
      </w:tblGrid>
      <w:tr>
        <w:trPr/>
        <w:tc>
          <w:tcPr>
            <w:tcW w:w="2931"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w:t>
              <w:br/>
              <w:t>2025</w:t>
            </w:r>
          </w:p>
        </w:tc>
      </w:tr>
      <w:tr>
        <w:trPr/>
        <w:tc>
          <w:tcPr>
            <w:tcW w:w="7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63,245 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82,076 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 operating lease</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65,056 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84,341 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LIABILITIES AND STOCKHOLDERS</w:t>
            </w:r>
            <w:r>
              <w:rPr>
                <w:color w:val="000000"/>
              </w:rPr>
              <w:t xml:space="preserve">’ </w:t>
            </w:r>
            <w:r>
              <w:rPr>
                <w:rFonts w:ascii="Times New Roman;serif" w:hAnsi="Times New Roman;serif"/>
                <w:b/>
                <w:color w:val="000000"/>
                <w:sz w:val="20"/>
              </w:rPr>
              <w:t>EQUITY</w:t>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 payable</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current portion</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 current portion</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12,612 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non-current portion</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 non-current portion</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14,136 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at December 31, 2025 and March 31, 2025; no shares outstanding at December 31, 2025 and March 31, 2025</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325,000,000 shares authorized at December 31, 2025 and March 31, 2025; 39,624,839 and 29,001,481 shares issued at December 31, 2025 and March 31, 2025, respectively</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515,878 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481,956 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 4,522 shares of common stock held at December 31, 2025 and March 31, 2025</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(461,043)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(407,632)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50,920 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70,390 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65,056 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84,341 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371600" cy="4572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371600" cy="457200"/>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59"/>
        <w:gridCol w:w="1487"/>
        <w:gridCol w:w="1506"/>
        <w:gridCol w:w="211"/>
        <w:gridCol w:w="786"/>
        <w:gridCol w:w="109"/>
        <w:gridCol w:w="109"/>
        <w:gridCol w:w="109"/>
        <w:gridCol w:w="109"/>
        <w:gridCol w:w="211"/>
        <w:gridCol w:w="786"/>
        <w:gridCol w:w="109"/>
        <w:gridCol w:w="109"/>
        <w:gridCol w:w="109"/>
        <w:gridCol w:w="109"/>
        <w:gridCol w:w="211"/>
        <w:gridCol w:w="786"/>
        <w:gridCol w:w="109"/>
        <w:gridCol w:w="109"/>
        <w:gridCol w:w="109"/>
        <w:gridCol w:w="109"/>
        <w:gridCol w:w="211"/>
        <w:gridCol w:w="786"/>
        <w:gridCol w:w="157"/>
      </w:tblGrid>
      <w:tr>
        <w:trPr/>
        <w:tc>
          <w:tcPr>
            <w:tcW w:w="175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Nine Months Ended</w:t>
              <w:br/>
              <w:t>December 31,</w:t>
            </w:r>
          </w:p>
        </w:tc>
      </w:tr>
      <w:tr>
        <w:trPr/>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Sublicense and other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(41,478)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(37,776)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(37,783)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securities</w:t>
            </w:r>
          </w:p>
        </w:tc>
        <w:tc>
          <w:tcPr>
            <w:tcW w:w="9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(11,000)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(37,772)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10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42,234,405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30,711,872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36,655,195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30,649,384</w:t>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2541</Words>
  <Characters>15010</Characters>
  <CharactersWithSpaces>17386</CharactersWithSpaces>
  <Paragraphs>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