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December 20, 2022</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603"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000-54014</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3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20" w:space="720"/>
            <w:col w:w="3180" w:space="720"/>
            <w:col w:w="2700"/>
          </w:cols>
          <w:pgMar w:left="320" w:top="603" w:right="339" w:bottom="1440" w:gutter="0" w:footer="0" w:header="0"/>
          <w:type w:val="continuous"/>
        </w:sectPr>
      </w:pPr>
    </w:p>
    <w:p>
      <w:pPr>
        <w:spacing w:after="0" w:line="3"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603" w:right="339" w:bottom="1440" w:gutter="0" w:footer="0" w:header="0"/>
          <w:type w:val="continuous"/>
        </w:sect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4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42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2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1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VTGN</w:t>
            </w:r>
          </w:p>
        </w:tc>
        <w:tc>
          <w:tcPr>
            <w:tcW w:w="48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Materially Definitive Agreement.</w:t>
      </w:r>
    </w:p>
    <w:p>
      <w:pPr>
        <w:spacing w:after="0" w:line="22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7"/>
          <w:szCs w:val="17"/>
          <w:color w:val="auto"/>
        </w:rPr>
        <w:t>On December 20, 2022, Vistagen Therapeutics, Inc.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entered into an Agreement and Plan of Merger (the “</w:t>
      </w:r>
      <w:r>
        <w:rPr>
          <w:rFonts w:ascii="Times New Roman" w:cs="Times New Roman" w:eastAsia="Times New Roman" w:hAnsi="Times New Roman"/>
          <w:sz w:val="17"/>
          <w:szCs w:val="17"/>
          <w:i w:val="1"/>
          <w:iCs w:val="1"/>
          <w:color w:val="auto"/>
        </w:rPr>
        <w:t>Merger Agreement</w:t>
      </w:r>
      <w:r>
        <w:rPr>
          <w:rFonts w:ascii="Times New Roman" w:cs="Times New Roman" w:eastAsia="Times New Roman" w:hAnsi="Times New Roman"/>
          <w:sz w:val="17"/>
          <w:szCs w:val="17"/>
          <w:color w:val="auto"/>
        </w:rPr>
        <w:t>”) by and among the Company, VTGN Merger Sub, Inc., a wholly-owned subsidiary of the Company (“</w:t>
      </w:r>
      <w:r>
        <w:rPr>
          <w:rFonts w:ascii="Times New Roman" w:cs="Times New Roman" w:eastAsia="Times New Roman" w:hAnsi="Times New Roman"/>
          <w:sz w:val="17"/>
          <w:szCs w:val="17"/>
          <w:i w:val="1"/>
          <w:iCs w:val="1"/>
          <w:color w:val="auto"/>
        </w:rPr>
        <w:t>Merger Sub</w:t>
      </w:r>
      <w:r>
        <w:rPr>
          <w:rFonts w:ascii="Times New Roman" w:cs="Times New Roman" w:eastAsia="Times New Roman" w:hAnsi="Times New Roman"/>
          <w:sz w:val="17"/>
          <w:szCs w:val="17"/>
          <w:color w:val="auto"/>
        </w:rPr>
        <w:t>”), Pherin Pharmaceuticals, Inc. (“</w:t>
      </w:r>
      <w:r>
        <w:rPr>
          <w:rFonts w:ascii="Times New Roman" w:cs="Times New Roman" w:eastAsia="Times New Roman" w:hAnsi="Times New Roman"/>
          <w:sz w:val="17"/>
          <w:szCs w:val="17"/>
          <w:i w:val="1"/>
          <w:iCs w:val="1"/>
          <w:color w:val="auto"/>
        </w:rPr>
        <w:t>Pherin</w:t>
      </w:r>
      <w:r>
        <w:rPr>
          <w:rFonts w:ascii="Times New Roman" w:cs="Times New Roman" w:eastAsia="Times New Roman" w:hAnsi="Times New Roman"/>
          <w:sz w:val="17"/>
          <w:szCs w:val="17"/>
          <w:color w:val="auto"/>
        </w:rPr>
        <w:t>”), and Kevin McCarthy in the capacity of Stockholder Representative. The Merger Agreement provides for the Company’s acquisition of Pherin pursuant to the merger of Merger Sub with and into Pherin, with Pherin as the surviving corporation (the “</w:t>
      </w:r>
      <w:r>
        <w:rPr>
          <w:rFonts w:ascii="Times New Roman" w:cs="Times New Roman" w:eastAsia="Times New Roman" w:hAnsi="Times New Roman"/>
          <w:sz w:val="17"/>
          <w:szCs w:val="17"/>
          <w:i w:val="1"/>
          <w:iCs w:val="1"/>
          <w:color w:val="auto"/>
        </w:rPr>
        <w:t>Merger</w:t>
      </w:r>
      <w:r>
        <w:rPr>
          <w:rFonts w:ascii="Times New Roman" w:cs="Times New Roman" w:eastAsia="Times New Roman" w:hAnsi="Times New Roman"/>
          <w:sz w:val="17"/>
          <w:szCs w:val="17"/>
          <w:color w:val="auto"/>
        </w:rPr>
        <w:t>”). Upon completion of the Merger, Pherin will become a wholly-owned subsidiary of the Company. Immediately prior to the consummation of the Merger (the “</w:t>
      </w:r>
      <w:r>
        <w:rPr>
          <w:rFonts w:ascii="Times New Roman" w:cs="Times New Roman" w:eastAsia="Times New Roman" w:hAnsi="Times New Roman"/>
          <w:sz w:val="17"/>
          <w:szCs w:val="17"/>
          <w:i w:val="1"/>
          <w:iCs w:val="1"/>
          <w:color w:val="auto"/>
        </w:rPr>
        <w:t>Effective Time</w:t>
      </w:r>
      <w:r>
        <w:rPr>
          <w:rFonts w:ascii="Times New Roman" w:cs="Times New Roman" w:eastAsia="Times New Roman" w:hAnsi="Times New Roman"/>
          <w:sz w:val="17"/>
          <w:szCs w:val="17"/>
          <w:color w:val="auto"/>
        </w:rPr>
        <w:t>”), each of Pherin’s directors and officers will resign so that no employees or other affiliates of Pherin will continue to serve in their respective roles following the Merger.</w:t>
      </w:r>
    </w:p>
    <w:p>
      <w:pPr>
        <w:spacing w:after="0" w:line="17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consideration for the Merger, the Company has agreed to (i) issue an aggregate of 12,410,181 unregistered shares of its common stock, par value $0.001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to the Pherin stockholders eligible to receive such shares of Common Stock in exchange for their outstanding shares of Pherin common stock, par value $0.00001 per share (“</w:t>
      </w:r>
      <w:r>
        <w:rPr>
          <w:rFonts w:ascii="Times New Roman" w:cs="Times New Roman" w:eastAsia="Times New Roman" w:hAnsi="Times New Roman"/>
          <w:sz w:val="18"/>
          <w:szCs w:val="18"/>
          <w:i w:val="1"/>
          <w:iCs w:val="1"/>
          <w:color w:val="auto"/>
        </w:rPr>
        <w:t>Pherin Common Stock</w:t>
      </w:r>
      <w:r>
        <w:rPr>
          <w:rFonts w:ascii="Times New Roman" w:cs="Times New Roman" w:eastAsia="Times New Roman" w:hAnsi="Times New Roman"/>
          <w:sz w:val="18"/>
          <w:szCs w:val="18"/>
          <w:color w:val="auto"/>
        </w:rPr>
        <w:t>”), at the Effective Time, which the Company estimates to be approximately 96.67% of Pherin stockholders (the “</w:t>
      </w:r>
      <w:r>
        <w:rPr>
          <w:rFonts w:ascii="Times New Roman" w:cs="Times New Roman" w:eastAsia="Times New Roman" w:hAnsi="Times New Roman"/>
          <w:sz w:val="18"/>
          <w:szCs w:val="18"/>
          <w:i w:val="1"/>
          <w:iCs w:val="1"/>
          <w:color w:val="auto"/>
        </w:rPr>
        <w:t>Stock Consideration</w:t>
      </w:r>
      <w:r>
        <w:rPr>
          <w:rFonts w:ascii="Times New Roman" w:cs="Times New Roman" w:eastAsia="Times New Roman" w:hAnsi="Times New Roman"/>
          <w:sz w:val="18"/>
          <w:szCs w:val="18"/>
          <w:color w:val="auto"/>
        </w:rPr>
        <w:t>”), and (ii) for those Pherin stockholders who are not eligible to receive shares of Common Stock in exchange for their outstanding shares of Pherin Common Stock at the Effective Time, which the Company estimates to be approximately 3.33% of Pherin stockholders, a cash payment equal to the value of the shares of Common Stock they would otherwise be entitled to receive if they were eligible to do so (the “</w:t>
      </w:r>
      <w:r>
        <w:rPr>
          <w:rFonts w:ascii="Times New Roman" w:cs="Times New Roman" w:eastAsia="Times New Roman" w:hAnsi="Times New Roman"/>
          <w:sz w:val="18"/>
          <w:szCs w:val="18"/>
          <w:i w:val="1"/>
          <w:iCs w:val="1"/>
          <w:color w:val="auto"/>
        </w:rPr>
        <w:t>Cash Consideration</w:t>
      </w:r>
      <w:r>
        <w:rPr>
          <w:rFonts w:ascii="Times New Roman" w:cs="Times New Roman" w:eastAsia="Times New Roman" w:hAnsi="Times New Roman"/>
          <w:sz w:val="18"/>
          <w:szCs w:val="18"/>
          <w:color w:val="auto"/>
        </w:rPr>
        <w:t>” and, together with the Stock Consideration, the “</w:t>
      </w:r>
      <w:r>
        <w:rPr>
          <w:rFonts w:ascii="Times New Roman" w:cs="Times New Roman" w:eastAsia="Times New Roman" w:hAnsi="Times New Roman"/>
          <w:sz w:val="18"/>
          <w:szCs w:val="18"/>
          <w:i w:val="1"/>
          <w:iCs w:val="1"/>
          <w:color w:val="auto"/>
        </w:rPr>
        <w:t>Merger Consideration</w:t>
      </w:r>
      <w:r>
        <w:rPr>
          <w:rFonts w:ascii="Times New Roman" w:cs="Times New Roman" w:eastAsia="Times New Roman" w:hAnsi="Times New Roman"/>
          <w:sz w:val="18"/>
          <w:szCs w:val="18"/>
          <w:color w:val="auto"/>
        </w:rPr>
        <w:t>”). As of the date of the Merger Agreement, the Company estimates the Cash Consideration will be under $50,000.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the Effective Time of the Merger each share of Pherin Common Stock that is issued and outstanding immediately prior to the Effective Time (other than (A) shares of Pherin Common Stock owned by the Company or Merger Sub and (B) any dissenting shares) will no longer be outstanding and will automatically be cancelled, extinguished and converted into the right to receive the Merger Consideration. In addition, options to purchase shares Pherin Common Stock (each, a “</w:t>
      </w:r>
      <w:r>
        <w:rPr>
          <w:rFonts w:ascii="Times New Roman" w:cs="Times New Roman" w:eastAsia="Times New Roman" w:hAnsi="Times New Roman"/>
          <w:sz w:val="18"/>
          <w:szCs w:val="18"/>
          <w:i w:val="1"/>
          <w:iCs w:val="1"/>
          <w:color w:val="auto"/>
        </w:rPr>
        <w:t>Pherin Option</w:t>
      </w:r>
      <w:r>
        <w:rPr>
          <w:rFonts w:ascii="Times New Roman" w:cs="Times New Roman" w:eastAsia="Times New Roman" w:hAnsi="Times New Roman"/>
          <w:sz w:val="18"/>
          <w:szCs w:val="18"/>
          <w:color w:val="auto"/>
        </w:rPr>
        <w:t>”) granted under Pherin’s 2019 Equity Incentive Plan that are outstanding as of immediately prior to the Effective Time, whether or not then vested, will be cancelled and immediately cease to be outstanding following the Effective Time. In accordance with the Merger Agreement, at the Effective Time, Pherin will have no liabilities, and thus the Company will not assume any liabilities of Pherin in connection with the Merger. In connection with the closing of the Merger, the Company has agreed to pay certain legal, accounting and other transaction-related expenses incurred by Pherin in connection with the Merger in an amount not to exceed $325,000.</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Consummation of the Merger is subject to certain conditions, including: (i) adoption and approval of the Merger Agreement by Pherin stockholders; (ii) the absence of any law or order prohibiting or materially delaying the consummation of the Merger; (iii) Pherin's stockholders holding no more than 5% of the outstanding shares of Pherin Common Stock immediately prior to the Effective Time exercising (or remaining entitled to exercise) statutory appraisal rights pursuant to Section 262 of the Delaware General Corporation Law; (iv) the absence of certain legal proceedings or orders by governmental authorities making the Merger illegal or otherwise prohibiting the completion of the Merger; (v) subject to certain qualifications, the accuracy of representations and warranties of Pherin, the Company and Merger Sub, as applicable, under the Merger Agreement and the performance in all material respects by Pherin, the Company and Merger Sub, as applicable, of their obligations under the Merger Agreement; (vi) the absence of any Material Adverse Effect (as defined in the Merger Agreement); and (vii) execution of the Ancillary Documents (as such term is defined in the Merger Agreement).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Merger Agreement contains representations, warranties and covenants of each of the parties thereto that are customary for transactions of this type, including covenants regarding the operation of the business of Pherin prior to the Effective Time and covenants requiring Pherin not to (i) initiate, solicit, knowingly encourage or knowingly facilitate the making of any offer or proposal which constitutes or is reasonably likely to lead to an acquisition proposal, (ii) enter into any agreement with respect to an acquisition proposal or (iii) engage in negotiations or discussions with, or provide any non-public information or data to, any person relating to an acquisition proposal (other than the Company or any of its affiliates or representatives). The Merger Agreement also contains certain termination rights for each of Pherin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foregoing description of the Merger Agreement and the transactions contemplated thereby does not purport to be complete, and is subject to, and qualified in its entirety by reference to, the full text of the Merger Agreement, which is attached as Exhibit 2.1 to this Current Report on Form 8-K and is incorporated herein by reference. It is not intended to provide any factual information about Pherin, the Company or their respective affiliates. The representations, warranties and covenants contained in the Merger Agreement have been made solely for the purposes of the Merger Agreement and as of specified dates; were made solely for the benefit of the parties to the Merger Agreement; are not intended as statements of fact to be relied upon, but rather as a way of allocating the risk between the parties in the event that statements therein prove to be inaccurate; have been modified or qualified by certain confidential disclosures that were made between the parties in connection with the negotiation of the Merger Agreement, which disclosures are not reflected in the Merger Agreement itself; may have been made for the purposes of allocating contractual risk between the parties to the Merger Agreement instead of establishing these matters as facts; may no longer be true as of a given date; and may apply standards of materiality in a way that is different from what may otherwise be viewed as material. Pherin stockholders are not third-party beneficiaries under the Merger Agreement (except, following the Effective Time, with respect to the rights of Pherin stockholders to receive the Merger Consideration pursuant to the Merger Agreement) and should not rely on the representations, warranties and covenants or any descriptions thereof as characterizations of the actual state of facts or conditions of Pherin, the Company or any of their respective subsidiaries or affiliates. Moreover, information concerning the subject matter of the representations, warranties and covenants may change after the date of the Merger Agreement, which subsequent information may or may not be fully reflected in the Company’s public disclosures.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 and Lock-Up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At the closing of the Merger, the Company, and holders of Pherin Common Stock eligible to receive Stock Consideration (collectively, the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will enter into a registration rights agreement (the “</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pursuant to which, among other matters, the Rights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granted certain mandatory, demand and “piggy-back” registration rights with respect to their respective shares of Common Stock acquired pursuant to the Merger. In addition, non-independent directors of Pherin and holders of 10% or more of the issued and outstanding shares of Pherin Common Stock prior to the Effective Time will deliver to the Company executed lock-up agreements (the “</w:t>
      </w:r>
      <w:r>
        <w:rPr>
          <w:rFonts w:ascii="Times New Roman" w:cs="Times New Roman" w:eastAsia="Times New Roman" w:hAnsi="Times New Roman"/>
          <w:sz w:val="18"/>
          <w:szCs w:val="18"/>
          <w:i w:val="1"/>
          <w:iCs w:val="1"/>
          <w:color w:val="auto"/>
        </w:rPr>
        <w:t>Lock-Up Agreement</w:t>
      </w:r>
      <w:r>
        <w:rPr>
          <w:rFonts w:ascii="Times New Roman" w:cs="Times New Roman" w:eastAsia="Times New Roman" w:hAnsi="Times New Roman"/>
          <w:sz w:val="18"/>
          <w:szCs w:val="18"/>
          <w:color w:val="auto"/>
        </w:rPr>
        <w:t>”) which prohibit the sale or other disposition of shares of Common Stock received upon closing of the Merger for a period of 180 days.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Registration Rights Agreement and the Lock-Up Agreement are subject to and qualified in its entirety by reference to the full text of the form of the Registration Rights Agreement and Lock-Up Agreement, copies of which are included as exhibits to the Merger Agreement, which is attached hereto as Exhibit 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December 21, 2022, the Company issued a press release announcing its entry into the Merger Agreement. The press release is attached hereto as Exhibit 99.1 and incorporated by reference herein.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Section 7.01 of this Current Report on Form 8-K, including the information set forth in Exhibit 99.1, is being furnished and shall not be deemed “filed” for purposes of Section 18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in this Current Report on Form 8-K may be considered forward-looking statement</w:t>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 xml:space="preserve">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outlook,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strategy,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strive,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goal,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likely,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variations of these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drug candidates, including PH94B and/or PH10, or any other pherine drug candidate will successfully complete ongoing or future clinical trials, receive regulatory approval or be commercially successful; the parties will successfully satisfy the closing conditions set forth in the merger agreement executed by Vistagen and Pherin, including approval of the proposed acquisition by a majority of Pherin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stockholders; Vistagen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ability to realize the anticipated benefits of the proposed acquisition of Pherin, including the possibility that the expected benefits will not be realized or will not be realized within the expected time period; or unknown liabilities that may or may not be within Vistagen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control. Certain of these risks are more fully discussed in the section entitled "Risk Factors"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most recent Annual Report on Form 10-K for the fiscal year ended March 31, 2022 and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most recent Quarterly Report on Form 10-Q for the quarter ended September 30, 2022, as well as discussions of potential risks, uncertainties, and other important factors in our other filings with the U.S. Securities and Exchange Commission (SEC).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SEC filings are available on the 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website at www.sec.gov. You should not place undue reliance on these forward-looking statements, which apply only as of the date of this press release and should not be relied upon as representing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This communication is for information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20" w:type="dxa"/>
            <w:vAlign w:val="bottom"/>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4"/>
                <w:szCs w:val="24"/>
                <w:color w:val="auto"/>
              </w:rPr>
            </w:pPr>
          </w:p>
        </w:tc>
        <w:tc>
          <w:tcPr>
            <w:tcW w:w="97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Agreement and Plan of Merger, by and among Vistagen Therapeutics, Inc., VTGN Merger Sub, Inc., Pherin Pharmaceuticals, Inc., and</w:t>
            </w:r>
          </w:p>
        </w:tc>
        <w:tc>
          <w:tcPr>
            <w:tcW w:w="8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Kevin McCarthy, dated December 20, 2022.</w:t>
            </w:r>
          </w:p>
        </w:tc>
        <w:tc>
          <w:tcPr>
            <w:tcW w:w="6600" w:type="dxa"/>
            <w:vAlign w:val="bottom"/>
            <w:gridSpan w:val="3"/>
          </w:tcPr>
          <w:p>
            <w:pPr>
              <w:spacing w:after="0"/>
              <w:rPr>
                <w:sz w:val="17"/>
                <w:szCs w:val="17"/>
                <w:color w:val="auto"/>
              </w:rPr>
            </w:pPr>
          </w:p>
        </w:tc>
      </w:tr>
      <w:tr>
        <w:trPr>
          <w:trHeight w:val="196"/>
        </w:trPr>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7"/>
                <w:szCs w:val="17"/>
                <w:color w:val="auto"/>
              </w:rPr>
            </w:pPr>
          </w:p>
        </w:tc>
        <w:tc>
          <w:tcPr>
            <w:tcW w:w="5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issued by Vistagen Therapeutics, Inc., dated December 21, 2022.</w:t>
            </w:r>
          </w:p>
        </w:tc>
        <w:tc>
          <w:tcPr>
            <w:tcW w:w="4080" w:type="dxa"/>
            <w:vAlign w:val="bottom"/>
            <w:gridSpan w:val="2"/>
          </w:tcPr>
          <w:p>
            <w:pPr>
              <w:spacing w:after="0"/>
              <w:rPr>
                <w:sz w:val="17"/>
                <w:szCs w:val="17"/>
                <w:color w:val="auto"/>
              </w:rPr>
            </w:pPr>
          </w:p>
        </w:tc>
      </w:tr>
    </w:tbl>
    <w:p>
      <w:pPr>
        <w:spacing w:after="0" w:line="9" w:lineRule="exact"/>
        <w:rPr>
          <w:sz w:val="20"/>
          <w:szCs w:val="20"/>
          <w:color w:val="auto"/>
        </w:rPr>
      </w:pPr>
    </w:p>
    <w:p>
      <w:pPr>
        <w:ind w:left="1460" w:hanging="973"/>
        <w:spacing w:after="0"/>
        <w:tabs>
          <w:tab w:leader="none" w:pos="14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1" w:lineRule="exact"/>
        <w:rPr>
          <w:rFonts w:ascii="Times New Roman" w:cs="Times New Roman" w:eastAsia="Times New Roman" w:hAnsi="Times New Roman"/>
          <w:sz w:val="18"/>
          <w:szCs w:val="18"/>
          <w:color w:val="auto"/>
        </w:rPr>
      </w:pPr>
    </w:p>
    <w:p>
      <w:pPr>
        <w:ind w:left="34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exhibits and schedules have been omitted pursuant to Item 601(b)(2) of Regulation S-K. The Company agrees to furnish supplementally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 a copy of any omitted exhibits or schedules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614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21, 2022</w:t>
            </w:r>
          </w:p>
        </w:tc>
        <w:tc>
          <w:tcPr>
            <w:tcW w:w="614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Shawn K. Singh</w:t>
            </w:r>
          </w:p>
        </w:tc>
      </w:tr>
      <w:tr>
        <w:trPr>
          <w:trHeight w:val="191"/>
        </w:trPr>
        <w:tc>
          <w:tcPr>
            <w:tcW w:w="37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Shawn K. Singh</w:t>
            </w:r>
          </w:p>
        </w:tc>
      </w:tr>
      <w:tr>
        <w:trPr>
          <w:trHeight w:val="234"/>
        </w:trPr>
        <w:tc>
          <w:tcPr>
            <w:tcW w:w="37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576" w:right="6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ERGER</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ISTAGEN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VTGN M</w:t>
      </w:r>
      <w:r>
        <w:rPr>
          <w:rFonts w:ascii="Times New Roman" w:cs="Times New Roman" w:eastAsia="Times New Roman" w:hAnsi="Times New Roman"/>
          <w:sz w:val="14"/>
          <w:szCs w:val="14"/>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HERIN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HARMACEUTICALS,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4"/>
          <w:szCs w:val="14"/>
          <w:b w:val="1"/>
          <w:bCs w:val="1"/>
          <w:color w:val="auto"/>
        </w:rPr>
        <w:t>EVIN</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ARTHY</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AS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EPRESENTATIVE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December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788670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December 20, 2022, is entered into among Vistagen Therapeutics,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Nevada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VTGN Merger Sub, Inc., a Delaware corporation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Pherin Pharmaceuticals, Inc., a Delaware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Kevin McCarthy, an individual, solely in the capacity of Stockholder Representative (“</w:t>
      </w:r>
      <w:r>
        <w:rPr>
          <w:rFonts w:ascii="Times New Roman" w:cs="Times New Roman" w:eastAsia="Times New Roman" w:hAnsi="Times New Roman"/>
          <w:sz w:val="18"/>
          <w:szCs w:val="18"/>
          <w:b w:val="1"/>
          <w:bCs w:val="1"/>
          <w:color w:val="auto"/>
        </w:rPr>
        <w:t>Stockholder Representative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intend that Merger Sub be merged with and into the Company, with the Company surviving that merger on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conditions set forth herein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has unanimously: (a) determined that it is in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holders of shares of the Company’s common stock, par value $0.00001 per share (the “</w:t>
      </w:r>
      <w:r>
        <w:rPr>
          <w:rFonts w:ascii="Times New Roman" w:cs="Times New Roman" w:eastAsia="Times New Roman" w:hAnsi="Times New Roman"/>
          <w:sz w:val="18"/>
          <w:szCs w:val="18"/>
          <w:b w:val="1"/>
          <w:bCs w:val="1"/>
          <w:color w:val="auto"/>
        </w:rPr>
        <w:t>Company Common Stock</w:t>
      </w:r>
      <w:r>
        <w:rPr>
          <w:rFonts w:ascii="Times New Roman" w:cs="Times New Roman" w:eastAsia="Times New Roman" w:hAnsi="Times New Roman"/>
          <w:sz w:val="18"/>
          <w:szCs w:val="18"/>
          <w:color w:val="auto"/>
        </w:rPr>
        <w:t>”), and declared it advisable, to enter into this Agreement with Parent and Merger Sub; (b) approved the execution, delivery, and performance of this Agreement and the consummation of the transactions contemplated hereby, including the Merger; and (c) resolved, subject to the terms and conditions set forth in this Agreement, to recommend adoption of this Agreement by the stockholders of the Company; in each case, in accordance with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respective Boards of Directors of Parent (the “</w:t>
      </w:r>
      <w:r>
        <w:rPr>
          <w:rFonts w:ascii="Times New Roman" w:cs="Times New Roman" w:eastAsia="Times New Roman" w:hAnsi="Times New Roman"/>
          <w:sz w:val="18"/>
          <w:szCs w:val="18"/>
          <w:b w:val="1"/>
          <w:bCs w:val="1"/>
          <w:color w:val="auto"/>
        </w:rPr>
        <w:t>Parent Board</w:t>
      </w:r>
      <w:r>
        <w:rPr>
          <w:rFonts w:ascii="Times New Roman" w:cs="Times New Roman" w:eastAsia="Times New Roman" w:hAnsi="Times New Roman"/>
          <w:sz w:val="18"/>
          <w:szCs w:val="18"/>
          <w:color w:val="auto"/>
        </w:rPr>
        <w:t>”) and Merger Sub (the “</w:t>
      </w:r>
      <w:r>
        <w:rPr>
          <w:rFonts w:ascii="Times New Roman" w:cs="Times New Roman" w:eastAsia="Times New Roman" w:hAnsi="Times New Roman"/>
          <w:sz w:val="18"/>
          <w:szCs w:val="18"/>
          <w:b w:val="1"/>
          <w:bCs w:val="1"/>
          <w:color w:val="auto"/>
        </w:rPr>
        <w:t>Merger Sub Board</w:t>
      </w:r>
      <w:r>
        <w:rPr>
          <w:rFonts w:ascii="Times New Roman" w:cs="Times New Roman" w:eastAsia="Times New Roman" w:hAnsi="Times New Roman"/>
          <w:sz w:val="18"/>
          <w:szCs w:val="18"/>
          <w:color w:val="auto"/>
        </w:rPr>
        <w:t>”) have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unanimously: (a) determined that it is in the best interests of Parent or Merger Sub, as applicable, and their respective stockholders, and declared it advisable, to enter into this Agreement; and (b) approved the execution, delivery, and performance of this Agreement and the consummation of the transactions contemplated hereby, including the Merger and the issuance of certain shares of Parent’s common stock, par value $0.001 per share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as a portion of the Merger Consideration; in each case, in accordance with the DGCL; and</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following the execution of this Agreement, the Company shall seek to obtain, in accordance with the DGCL, the DE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 (defined below) for the approval and adoption of this Agreement, the Merger and the transactions contemplated hereby in accordance with Section 251 of the DGCL.</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hereinafter set forth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following terms have the meanings specified or referred to in this </w:t>
      </w:r>
      <w:r>
        <w:rPr>
          <w:rFonts w:ascii="Times New Roman" w:cs="Times New Roman" w:eastAsia="Times New Roman" w:hAnsi="Times New Roman"/>
          <w:sz w:val="18"/>
          <w:szCs w:val="18"/>
          <w:b w:val="1"/>
          <w:bCs w:val="1"/>
          <w:color w:val="auto"/>
        </w:rPr>
        <w:t>Article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Accredited Investor</w:t>
      </w:r>
      <w:r>
        <w:rPr>
          <w:rFonts w:ascii="Times New Roman" w:cs="Times New Roman" w:eastAsia="Times New Roman" w:hAnsi="Times New Roman"/>
          <w:sz w:val="18"/>
          <w:szCs w:val="18"/>
          <w:color w:val="auto"/>
        </w:rPr>
        <w:t>” means a Stockholder who either: (i) completes and delivers to the Company prior to the Closing Date an Accredited Investor Questionnaire certifying that such Stockholder is an “accredited investor” as set forth therein; or (ii) is determined in good faith by Parent on the basis of the Investor Suitability Documentation and other available information to be an “accredited investor” as such term is defined in Rule 501(a) under the Securities Act, whether or not such Stockholder completes and delivers an Accredited Investor Questionnaire.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Accredited Investor Questionnaire</w:t>
      </w:r>
      <w:r>
        <w:rPr>
          <w:rFonts w:ascii="Times New Roman" w:cs="Times New Roman" w:eastAsia="Times New Roman" w:hAnsi="Times New Roman"/>
          <w:sz w:val="18"/>
          <w:szCs w:val="18"/>
          <w:color w:val="auto"/>
        </w:rPr>
        <w:t xml:space="preserve">” means an accredited investor questionnaire in substantially the form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means any claim, action, cause of action, demand, lawsuit, arbitration, inquiry, audit, notice of violation, proceeding, litigation, citation, summons, subpoena or investigation of any nature, by or before any Governmental Authority (including civil, criminal, administrative, regulatory or otherwise), whether at law or in equity.</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Documents</w:t>
      </w:r>
      <w:r>
        <w:rPr>
          <w:rFonts w:ascii="Times New Roman" w:cs="Times New Roman" w:eastAsia="Times New Roman" w:hAnsi="Times New Roman"/>
          <w:sz w:val="18"/>
          <w:szCs w:val="18"/>
          <w:color w:val="auto"/>
        </w:rPr>
        <w:t>” means the Accredited Investor Questionnaire, Intellectual Property Assignment, Regulation S Questionnaire, Registration Rights Agreement, and Lock-Up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Saturday, Sunday or any other day on which commercial banks located in San Francisco are authorized or required by Law to be closed for business.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Consideration Schedule</w:t>
      </w:r>
      <w:r>
        <w:rPr>
          <w:rFonts w:ascii="Times New Roman" w:cs="Times New Roman" w:eastAsia="Times New Roman" w:hAnsi="Times New Roman"/>
          <w:sz w:val="18"/>
          <w:szCs w:val="18"/>
          <w:color w:val="auto"/>
        </w:rPr>
        <w:t xml:space="preserve">” means the schedule of cash payments to be made to Cash Recipients, attached hereto as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Payment</w:t>
      </w:r>
      <w:r>
        <w:rPr>
          <w:rFonts w:ascii="Times New Roman" w:cs="Times New Roman" w:eastAsia="Times New Roman" w:hAnsi="Times New Roman"/>
          <w:sz w:val="18"/>
          <w:szCs w:val="18"/>
          <w:color w:val="auto"/>
        </w:rPr>
        <w:t>” means that amount of cash payable to the Cash Recipients upon Closing, as set forth on the Cash Consideration Schedule.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Recipients</w:t>
      </w:r>
      <w:r>
        <w:rPr>
          <w:rFonts w:ascii="Times New Roman" w:cs="Times New Roman" w:eastAsia="Times New Roman" w:hAnsi="Times New Roman"/>
          <w:sz w:val="18"/>
          <w:szCs w:val="18"/>
          <w:color w:val="auto"/>
        </w:rPr>
        <w:t>” means any Equityholder that: (a) is not an Accredited Investor, other than a Non-U.S. Person; (b) failed to complete and deliver to the Company the respective Investor Suitability Documentation; or (c) is determined in good faith by Parent on the basis of the Investor Suitability Documentation (or the lack thereof for such Equityholder) and other available information that such Equityholder does not qualify as a Stock Recipient.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 w:name="page9"/>
    <w:bookmarkEnd w:id="8"/>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Indebtedness Certificate</w:t>
      </w:r>
      <w:r>
        <w:rPr>
          <w:rFonts w:ascii="Times New Roman" w:cs="Times New Roman" w:eastAsia="Times New Roman" w:hAnsi="Times New Roman"/>
          <w:sz w:val="18"/>
          <w:szCs w:val="18"/>
          <w:color w:val="auto"/>
        </w:rPr>
        <w:t>” means a certificate executed by the Company’s Chief Executive Officer certifying on behalf of the Company that, except with respect to Transaction Expenses to the extent they are determined to be Indebtedness (such Transaction Expenses which shall be paid in accordance with the terms of this Agreement), the Company has no outstanding Indebtedness as of the open of business on the Closing Date, or if there is any outstanding Indebtedness as of the Closing Date, the aggregate total of all such Indebtedness, and that the calculations were prepared using the same accounting methods reasonable under the circumstances, practices, principles, policies and procedures, with consistent classifications, judgments and valuation and estimation methodologies that were used in the preparation of the Financial Statements for the most recent fiscal year end.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Price</w:t>
      </w:r>
      <w:r>
        <w:rPr>
          <w:rFonts w:ascii="Times New Roman" w:cs="Times New Roman" w:eastAsia="Times New Roman" w:hAnsi="Times New Roman"/>
          <w:sz w:val="18"/>
          <w:szCs w:val="18"/>
          <w:color w:val="auto"/>
        </w:rPr>
        <w:t>” means the closing price of Parent’s Common Stock as listed on Nasdaq on the date of Closing.</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Transaction Expenses Certificate</w:t>
      </w:r>
      <w:r>
        <w:rPr>
          <w:rFonts w:ascii="Times New Roman" w:cs="Times New Roman" w:eastAsia="Times New Roman" w:hAnsi="Times New Roman"/>
          <w:sz w:val="18"/>
          <w:szCs w:val="18"/>
          <w:color w:val="auto"/>
        </w:rPr>
        <w:t>” means a certificate executed by the Company’s Chief Executive Officer certifying the amount of Transaction Expenses remaining unpaid as of the open of business on the Closing Date (including an itemized list of each such unpaid Transaction Expense with a description of the nature of such expense and the Person to whom such expense is owed).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Intellectual Property</w:t>
      </w:r>
      <w:r>
        <w:rPr>
          <w:rFonts w:ascii="Times New Roman" w:cs="Times New Roman" w:eastAsia="Times New Roman" w:hAnsi="Times New Roman"/>
          <w:sz w:val="18"/>
          <w:szCs w:val="18"/>
          <w:color w:val="auto"/>
        </w:rPr>
        <w:t>” means all Intellectual Property that is owned by the Company.</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IP Agreements</w:t>
      </w:r>
      <w:r>
        <w:rPr>
          <w:rFonts w:ascii="Times New Roman" w:cs="Times New Roman" w:eastAsia="Times New Roman" w:hAnsi="Times New Roman"/>
          <w:sz w:val="18"/>
          <w:szCs w:val="18"/>
          <w:color w:val="auto"/>
        </w:rPr>
        <w:t>” all licenses, sublicenses, consent to use Intellectual Property agreements, Intellectual Property settlements, coexistence agreements with respect to Intellectual Property, covenants not to sue with respect to Intellectual Property, permissions with respect to Intellectual Property and other Contracts (including any right to receive or obligation to pay royalties or any other consideration), with respect to Intellectual Property, in all such cases to which the Company is a party, beneficiary or otherwise bound (excluding confidentiality agreements, materials transfer agreements, standard agreements and licenses for off-the-shelf software, hardware and other off-the-shelf technology, entered into in the ordinary course of business or consistent with past practice).</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IP Registrations</w:t>
      </w:r>
      <w:r>
        <w:rPr>
          <w:rFonts w:ascii="Times New Roman" w:cs="Times New Roman" w:eastAsia="Times New Roman" w:hAnsi="Times New Roman"/>
          <w:sz w:val="18"/>
          <w:szCs w:val="18"/>
          <w:color w:val="auto"/>
        </w:rPr>
        <w:t>” means all Company Intellectual Property that is subject to any issuance registration, application or other filing by, to or with any Governmental Authority or authorized private registrar in any jurisdiction, including registered trademarks, domain names and copyrights, issued and reissued patents and pending applications for any of the foregoing.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 means 12,410,181 shares of Parent Common Stock, issuable as Merger Consideration to the Stock Recipients upon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 means all contracts, leases, deeds, mortgages, licenses, instruments, notes, commitments, undertakings, indentures, joint ventures and all other agreements, commitments and legally binding arrangements, whether written or oral.</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Room</w:t>
      </w:r>
      <w:r>
        <w:rPr>
          <w:rFonts w:ascii="Times New Roman" w:cs="Times New Roman" w:eastAsia="Times New Roman" w:hAnsi="Times New Roman"/>
          <w:sz w:val="18"/>
          <w:szCs w:val="18"/>
          <w:color w:val="auto"/>
        </w:rPr>
        <w:t>” means the virtual data room hosted by Parent.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Schedules</w:t>
      </w:r>
      <w:r>
        <w:rPr>
          <w:rFonts w:ascii="Times New Roman" w:cs="Times New Roman" w:eastAsia="Times New Roman" w:hAnsi="Times New Roman"/>
          <w:sz w:val="18"/>
          <w:szCs w:val="18"/>
          <w:color w:val="auto"/>
        </w:rPr>
        <w:t>” means the Disclosure Schedules delivered by the Company concurrently with the execution and delivery of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lawful currency of the United States.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charge, claim, community property interest, pledge, condition, equitable interest, lien (statutory or other), option, security interest, mortgage, easement, encroachment, right of way, right of first refusal, or restriction of any kind, including any restriction on use, voting, transfer, receipt of income or exercise of any other attribute of ownership, other than Permitted Encumbrances.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Equityholders</w:t>
      </w:r>
      <w:r>
        <w:rPr>
          <w:rFonts w:ascii="Times New Roman" w:cs="Times New Roman" w:eastAsia="Times New Roman" w:hAnsi="Times New Roman"/>
          <w:sz w:val="18"/>
          <w:szCs w:val="18"/>
          <w:color w:val="auto"/>
        </w:rPr>
        <w:t>” means the Company’s Stockholders and Optionholders.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 and the regulations promulgated thereunder.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all employers (whether or not incorporated) that would be treated together with the Company or any of its Affiliates as a “single employer” within the meaning of Section 414 of the Code.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Fully Diluted Share Number</w:t>
      </w:r>
      <w:r>
        <w:rPr>
          <w:rFonts w:ascii="Times New Roman" w:cs="Times New Roman" w:eastAsia="Times New Roman" w:hAnsi="Times New Roman"/>
          <w:sz w:val="18"/>
          <w:szCs w:val="18"/>
          <w:color w:val="auto"/>
        </w:rPr>
        <w:t xml:space="preserve">” means (a) the aggregate number of Shares issued and outstanding immediately prior to the Effective Time (other than Shares owned by the Company which are to be cancelled and retired in accordance with </w:t>
      </w:r>
      <w:r>
        <w:rPr>
          <w:rFonts w:ascii="Times New Roman" w:cs="Times New Roman" w:eastAsia="Times New Roman" w:hAnsi="Times New Roman"/>
          <w:sz w:val="18"/>
          <w:szCs w:val="18"/>
          <w:b w:val="1"/>
          <w:bCs w:val="1"/>
          <w:color w:val="auto"/>
        </w:rPr>
        <w:t>Section 3.01(a)</w:t>
      </w:r>
      <w:r>
        <w:rPr>
          <w:rFonts w:ascii="Times New Roman" w:cs="Times New Roman" w:eastAsia="Times New Roman" w:hAnsi="Times New Roman"/>
          <w:sz w:val="18"/>
          <w:szCs w:val="18"/>
          <w:color w:val="auto"/>
        </w:rPr>
        <w:t>), plus (b) the aggregate number of Shares issuable upon the exercise in full of all vested, In-Money Options outstanding immediately prior to the Effective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United States generally accepted accounting principles in effect from time to time.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Order</w:t>
      </w:r>
      <w:r>
        <w:rPr>
          <w:rFonts w:ascii="Times New Roman" w:cs="Times New Roman" w:eastAsia="Times New Roman" w:hAnsi="Times New Roman"/>
          <w:sz w:val="18"/>
          <w:szCs w:val="18"/>
          <w:color w:val="auto"/>
        </w:rPr>
        <w:t>” means any order, writ, judgment, injunction, decree, stipulation, determination or award entered by or with any Governmental Authority.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In-Money Option</w:t>
      </w:r>
      <w:r>
        <w:rPr>
          <w:rFonts w:ascii="Times New Roman" w:cs="Times New Roman" w:eastAsia="Times New Roman" w:hAnsi="Times New Roman"/>
          <w:sz w:val="18"/>
          <w:szCs w:val="18"/>
          <w:color w:val="auto"/>
        </w:rPr>
        <w:t>” means any Option other than an Out-of-Money Option.</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without duplication and with respect to the Company, all (a) indebtedness for borrowed money; (b) obligations for the deferred purchase price of property or services, (c) long or short-term obligations evidenced by notes, bonds, debentures or other similar instruments; (d) obligations under any interest rate, currency swap or other hedging agreement or arrangement; (e) capital lease obligations; (f) reimbursement obligations under any letter of credit, banker’s acceptance or similar credit transactions; (g) guarantees made by the Company on behalf of any third party in respect of obligations of the kind referred to in the foregoing clauses (a) through (f); and (h) any unpaid interest, prepayment penalties, premiums, costs and fees that would arise or become due as a result of the prepayment of any of the obligations referred to in the foregoing clauses (a) through (g).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Accountant</w:t>
      </w:r>
      <w:r>
        <w:rPr>
          <w:rFonts w:ascii="Times New Roman" w:cs="Times New Roman" w:eastAsia="Times New Roman" w:hAnsi="Times New Roman"/>
          <w:sz w:val="18"/>
          <w:szCs w:val="18"/>
          <w:color w:val="auto"/>
        </w:rPr>
        <w:t>” means the office of an impartial nationally recognized firm of independent certified public accountants other than the Company’s or Parent’s accountants, appointed by the mutual agreement of Parent and Company (or after the Closing, Parent and Stockholders’ Representative).</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intellectual property and industrial property rights and assets, and all rights, interests and protections that are associated with, similar to, or required for the exercise of, any of the foregoing, however arising, pursuant to the Laws of any jurisdiction throughout the world, whether registered or unregistered, including any and all: (a) trademarks, service marks, trade names, brand names, logos, trade dress, design rights and other similar designations of source, sponsorship, association or origin, together with the goodwill connected with the use of and symbolized by, and all registrations, applications and renewals for, any of the foregoing; (b) internet domain names, whether or not trademarks, registered in any top-level domain by any authorized private registrar or Governmental Authority, web addresses, web pages, websites and related content, accounts with Twitter, Facebook and other social media companies and the content found thereon and related thereto, and URLs; (c) works of authorship, expressions, designs and design registrations, whether or not copyrightable, including copyrights, author, performer, moral and neighboring rights, and all registrations, applications for registration and renewals of such copyrights; (d) inventions, discoveries, trade secrets, business and technical information and know-how, databases, data collections, laboratory notebooks, laboratory assays, research and development data, and all source materials and other confidential and proprietary information and all rights therein, whether or not ever submitted in an application for patent; (e) patents (including all reissues, divisionals, provisionals, continuations and continuations-in-part, re-examinations, renewals, substitutions and extensions thereof), patent applications, and other patent rights and any other Governmental Authority-issued indicia of invention ownership (including inventor’s certificates, petty patents and patent utility models); and (f) software and firmware, including data files, source code, object code, application programming interfaces, architecture, files, records, schematics, computerized databases and other related specifications and documentation.</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Assignments</w:t>
      </w:r>
      <w:r>
        <w:rPr>
          <w:rFonts w:ascii="Times New Roman" w:cs="Times New Roman" w:eastAsia="Times New Roman" w:hAnsi="Times New Roman"/>
          <w:sz w:val="18"/>
          <w:szCs w:val="18"/>
          <w:color w:val="auto"/>
        </w:rPr>
        <w:t xml:space="preserve">” means those Intellectual Property Assignments executed by the Company, in the form 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 Suitability Documentation</w:t>
      </w:r>
      <w:r>
        <w:rPr>
          <w:rFonts w:ascii="Times New Roman" w:cs="Times New Roman" w:eastAsia="Times New Roman" w:hAnsi="Times New Roman"/>
          <w:sz w:val="18"/>
          <w:szCs w:val="18"/>
          <w:color w:val="auto"/>
        </w:rPr>
        <w:t>” means each of (i) the Accredited Investor Questionnaire, and/or (ii) the Regulation S Questionnaire, as applicable.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means, (i) when used with respect to the Company, the actual knowledge of Kevin McCarthy and Toby Rosenblatt as of the date of this Agreement and as of the Closing Date, after reasonable inquiry of other directors, officers, employees, and the Company’s legal counsel, accountants and other professional service providers who have provided services to the Company with respect to such matters, and (ii) when used with respect to Parent, the actual knowledge of Shawn Singh, Jerrold Dotson, Reid Adler, as of the date of this Agreement and as of the Closing Date, in each case after reasonable inquiry.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statute, law, ordinance, regulation, rule, code, order, constitution, treaty, common law, judgment, decree, other requirement or rule of law of any Governmental Authority.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 Agreements</w:t>
      </w:r>
      <w:r>
        <w:rPr>
          <w:rFonts w:ascii="Times New Roman" w:cs="Times New Roman" w:eastAsia="Times New Roman" w:hAnsi="Times New Roman"/>
          <w:sz w:val="18"/>
          <w:szCs w:val="18"/>
          <w:color w:val="auto"/>
        </w:rPr>
        <w:t>” means the PH10 License Agreement and the PH94B License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xml:space="preserve">” means that certain Lock-Up Agreement, to be entered into by each officer and non-independent director of the Company, and each holder of 10% or more of the issued and outstanding Company Common Stock immediately prior to the Effective Time, in the form attached hereto as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whereby the parties to the Lock Up Agreement agree to certain restrictions on each party’s ability to dispose of shares of Parent Common Stock, subject to the terms and conditions set forth therein.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xml:space="preserve">” means losses, damages, liabilities, deficiencies, Actions, judgments, interest, awards, penalties, fines, costs or expenses of whatever kind, including reasonable attorneys’ fees and the cost of enforcing any right to indemnification hereunder and the cost of pursuing any insurance providers;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shall not include punitive damages, except to the extent actually awarded to a Governmental Authority or other third party.</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event, occurrence, fact, condition or change that is, or could reasonably be expected to become, individually or in the aggregate (a) materially adverse to the business, results of operations, condition (financial or otherwise) or assets of the Company, or</w:t>
      </w:r>
    </w:p>
    <w:p>
      <w:pPr>
        <w:spacing w:after="0" w:line="1" w:lineRule="exact"/>
        <w:rPr>
          <w:sz w:val="20"/>
          <w:szCs w:val="20"/>
          <w:color w:val="auto"/>
        </w:rPr>
      </w:pPr>
    </w:p>
    <w:p>
      <w:pPr>
        <w:jc w:val="both"/>
        <w:ind w:firstLine="8"/>
        <w:spacing w:after="0" w:line="251"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materially impairs the ability of the Company to consummate the transactions contemplated by this Agreement on a timely basis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Material Adverse Effect shall not include any event, occurrence, fact, condition or change, directly or indirectly, arising out of or attributable to: (i) general economic or political conditions; (ii) conditions generally affecting the industries in which the Company operates; (iii) any changes in financial or securities markets in general; (iv) acts of war (whether or not declared), armed hostilities or terrorism, or the escalation or worsening thereof; (v) any action required or permitted by this Agreement; (vi) any changes in applicable Laws or accounting rules, including GAAP; or (vii) the public announcement, pendency or completion of the transactions contemplated by this Agreement;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xml:space="preserve"> that any event, occurrence, fact, condition or change referred to in clauses (i) through (iv) immediately above shall be taken into account in determining whether a Material Adverse Effect has occurred or could reasonably be expected to occur to the extent that such event, occurrence, fact, condition or change has a disproportionate effect on the Company compared to other participants in the industries in which the Company conducts its businesses.</w:t>
      </w:r>
    </w:p>
    <w:p>
      <w:pPr>
        <w:spacing w:after="0" w:line="18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means each of the Consideration Shares and the Cash Payment, as applicable, that the holders of Company Common Stock become entitled to receive pursuant to the terms of this Agreement.</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Non-U.S. Person</w:t>
      </w:r>
      <w:r>
        <w:rPr>
          <w:rFonts w:ascii="Times New Roman" w:cs="Times New Roman" w:eastAsia="Times New Roman" w:hAnsi="Times New Roman"/>
          <w:sz w:val="18"/>
          <w:szCs w:val="18"/>
          <w:color w:val="auto"/>
        </w:rPr>
        <w:t>” means a Stockholder that has confirmed in writing to the Company within the last twelve (12) months that such Stockholder is not a “U.S. Person,” as that term is defined in Regulation S of the Securities Act.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any option to purchase Company Common Stock granted under the Stock Option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Optionholder</w:t>
      </w:r>
      <w:r>
        <w:rPr>
          <w:rFonts w:ascii="Times New Roman" w:cs="Times New Roman" w:eastAsia="Times New Roman" w:hAnsi="Times New Roman"/>
          <w:sz w:val="18"/>
          <w:szCs w:val="18"/>
          <w:color w:val="auto"/>
        </w:rPr>
        <w:t>” means a holder of an Option.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Out-of-Money Option</w:t>
      </w:r>
      <w:r>
        <w:rPr>
          <w:rFonts w:ascii="Times New Roman" w:cs="Times New Roman" w:eastAsia="Times New Roman" w:hAnsi="Times New Roman"/>
          <w:sz w:val="18"/>
          <w:szCs w:val="18"/>
          <w:color w:val="auto"/>
        </w:rPr>
        <w:t>” means any Option having an exercise price in excess of the Closing Price.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Material Adverse Effect</w:t>
      </w:r>
      <w:r>
        <w:rPr>
          <w:rFonts w:ascii="Times New Roman" w:cs="Times New Roman" w:eastAsia="Times New Roman" w:hAnsi="Times New Roman"/>
          <w:sz w:val="18"/>
          <w:szCs w:val="18"/>
          <w:color w:val="auto"/>
        </w:rPr>
        <w:t xml:space="preserve">” means any event, occurrence, fact, condition or change that is, or could reasonably be expected to become, individually or in the aggregate (a) materially adverse to the business, results of operations, condition (financial or otherwise) or assets of the Parent, or (b) materially impairs the ability of the Parent to consummate the transactions contemplated by this Agreement or materially delays the Merger or any of the transactions contemplated by this Agreement on a timely basis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Material Adverse Effect shall not include any event, occurrence, fact, condition or change, directly or indirectly, arising out of or attributable to: (i) general economic or political conditions; (ii) conditions generally affecting the industries in which the Company operates; (iii) any changes in financial or securities markets in general; (iv) acts of war (whether or not declared), armed hostilities or terrorism, or the escalation or worsening thereof; (v) any action required or permitted by this Agreement; (vi) any changes in applicable Laws or accounting rules, including GAAP; or (vii) the public announcement, pendency or completion of the transactions contemplated by this Agreement. For the avoidance of doubt, the occurrence of Pre-Closing Endpoint Negative Data shall </w:t>
      </w:r>
      <w:r>
        <w:rPr>
          <w:rFonts w:ascii="Times New Roman" w:cs="Times New Roman" w:eastAsia="Times New Roman" w:hAnsi="Times New Roman"/>
          <w:sz w:val="18"/>
          <w:szCs w:val="18"/>
          <w:i w:val="1"/>
          <w:iCs w:val="1"/>
          <w:u w:val="single" w:color="auto"/>
          <w:color w:val="auto"/>
        </w:rPr>
        <w:t>not</w:t>
      </w:r>
      <w:r>
        <w:rPr>
          <w:rFonts w:ascii="Times New Roman" w:cs="Times New Roman" w:eastAsia="Times New Roman" w:hAnsi="Times New Roman"/>
          <w:sz w:val="18"/>
          <w:szCs w:val="18"/>
          <w:color w:val="auto"/>
        </w:rPr>
        <w:t xml:space="preserve"> be deemed an event materially adverse to the business, results of operations, condition (financial or otherwise) or assets of the Parent, and will not qualify as a Parent Material Adverse Effect.</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means all permits, licenses, franchises, approvals, authorizations, registrations, certificates, variances and similar rights obtained, or required to be obtained, from Governmental Authorities.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Encumbrance</w:t>
      </w:r>
      <w:r>
        <w:rPr>
          <w:rFonts w:ascii="Times New Roman" w:cs="Times New Roman" w:eastAsia="Times New Roman" w:hAnsi="Times New Roman"/>
          <w:sz w:val="18"/>
          <w:szCs w:val="18"/>
          <w:color w:val="auto"/>
        </w:rPr>
        <w:t>” means (i) statutory liens for current Taxes not yet due or delinquent (or which may be paid without interest or penalties) or the validity or amount of which is being contested in good faith by appropriate proceedings, (ii) liens granted to any lender at the Closing in connection with any financing by Parent or its Affiliates of the transactions contemplated hereby, and (iii) all exceptions, restrictions, easements, imperfections of title, charges, rights-of-way and other Encumbrances that do not interfere with the present use of the assets of the Company.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partnership, joint venture, limited liability company, Governmental Authority, unincorporated organization, trust, association or other entity.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PH10</w:t>
      </w:r>
      <w:r>
        <w:rPr>
          <w:rFonts w:ascii="Times New Roman" w:cs="Times New Roman" w:eastAsia="Times New Roman" w:hAnsi="Times New Roman"/>
          <w:sz w:val="18"/>
          <w:szCs w:val="18"/>
          <w:color w:val="auto"/>
        </w:rPr>
        <w:t>” means the intranasal synthetic neuroactive steroid product for the treatment of depression disorders, referred to by the Company as PH10.</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PH10 License Agreement</w:t>
      </w:r>
      <w:r>
        <w:rPr>
          <w:rFonts w:ascii="Times New Roman" w:cs="Times New Roman" w:eastAsia="Times New Roman" w:hAnsi="Times New Roman"/>
          <w:sz w:val="18"/>
          <w:szCs w:val="18"/>
          <w:color w:val="auto"/>
        </w:rPr>
        <w:t>” that certain License Agreement, by and between the Company and Parent, dated October 24, 2018, as amended, including by that certain Letter Agreement to Amend our PH10 License Agreement between Company and Parent dated as of June 24, 2020.</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PH94B</w:t>
      </w:r>
      <w:r>
        <w:rPr>
          <w:rFonts w:ascii="Times New Roman" w:cs="Times New Roman" w:eastAsia="Times New Roman" w:hAnsi="Times New Roman"/>
          <w:sz w:val="18"/>
          <w:szCs w:val="18"/>
          <w:color w:val="auto"/>
        </w:rPr>
        <w:t>” means the intranasal synthetic neuroactive steroid product for the treatment of anxiety disorders, referred to by the Company as PH94B.</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PH94B License Agreement</w:t>
      </w:r>
      <w:r>
        <w:rPr>
          <w:rFonts w:ascii="Times New Roman" w:cs="Times New Roman" w:eastAsia="Times New Roman" w:hAnsi="Times New Roman"/>
          <w:sz w:val="18"/>
          <w:szCs w:val="18"/>
          <w:color w:val="auto"/>
        </w:rPr>
        <w:t>” means that certain License Agreement, by and between the Company and Parent, dated September 11, 2018, as amended, including by that certain First License Agreement Amendment between the Company and Parent dated as of January 1, 2020 and Second License Agreement Amendment between Company and Parent dated as of July 8, 2020.</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Post-Closing Tax Period</w:t>
      </w:r>
      <w:r>
        <w:rPr>
          <w:rFonts w:ascii="Times New Roman" w:cs="Times New Roman" w:eastAsia="Times New Roman" w:hAnsi="Times New Roman"/>
          <w:sz w:val="18"/>
          <w:szCs w:val="18"/>
          <w:color w:val="auto"/>
        </w:rPr>
        <w:t>” means any taxable period beginning after the Closing Date and, with respect to any taxable period beginning before and ending after the Closing Date, the portion of such taxable period beginning after the Closing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Post-Closing Taxes</w:t>
      </w:r>
      <w:r>
        <w:rPr>
          <w:rFonts w:ascii="Times New Roman" w:cs="Times New Roman" w:eastAsia="Times New Roman" w:hAnsi="Times New Roman"/>
          <w:sz w:val="18"/>
          <w:szCs w:val="18"/>
          <w:color w:val="auto"/>
        </w:rPr>
        <w:t>” means Taxes of the Company for any Post-Closing Tax Period.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Data</w:t>
      </w:r>
      <w:r>
        <w:rPr>
          <w:rFonts w:ascii="Times New Roman" w:cs="Times New Roman" w:eastAsia="Times New Roman" w:hAnsi="Times New Roman"/>
          <w:sz w:val="18"/>
          <w:szCs w:val="18"/>
          <w:color w:val="auto"/>
        </w:rPr>
        <w:t>” means each of the Pre-Closing Endpoint Positive Data, and the Pre-Closing Endpoint Negative Data.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Tax Period</w:t>
      </w:r>
      <w:r>
        <w:rPr>
          <w:rFonts w:ascii="Times New Roman" w:cs="Times New Roman" w:eastAsia="Times New Roman" w:hAnsi="Times New Roman"/>
          <w:sz w:val="18"/>
          <w:szCs w:val="18"/>
          <w:color w:val="auto"/>
        </w:rPr>
        <w:t>” means any taxable period ending on or before the Closing Date and, with respect to any taxable period beginning before and ending after the Closing Date, the portion of such taxable period ending on and including the Closing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Taxes</w:t>
      </w:r>
      <w:r>
        <w:rPr>
          <w:rFonts w:ascii="Times New Roman" w:cs="Times New Roman" w:eastAsia="Times New Roman" w:hAnsi="Times New Roman"/>
          <w:sz w:val="18"/>
          <w:szCs w:val="18"/>
          <w:color w:val="auto"/>
        </w:rPr>
        <w:t>” means Taxes of the Company for any Pre-Closing Tax Period.</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xml:space="preserve">” means, with respect to any Equityholder, such Person’s ownership interest in the Company as of immediately prior to the Effective Time, determined by </w:t>
      </w:r>
      <w:r>
        <w:rPr>
          <w:rFonts w:ascii="Times New Roman" w:cs="Times New Roman" w:eastAsia="Times New Roman" w:hAnsi="Times New Roman"/>
          <w:sz w:val="18"/>
          <w:szCs w:val="18"/>
          <w:u w:val="single" w:color="auto"/>
          <w:color w:val="auto"/>
        </w:rPr>
        <w:t>dividing</w:t>
      </w:r>
      <w:r>
        <w:rPr>
          <w:rFonts w:ascii="Times New Roman" w:cs="Times New Roman" w:eastAsia="Times New Roman" w:hAnsi="Times New Roman"/>
          <w:sz w:val="18"/>
          <w:szCs w:val="18"/>
          <w:color w:val="auto"/>
        </w:rPr>
        <w:t xml:space="preserve"> (a) the number of Shares owned of record by such Person as of immediately prior to the Effective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number of Shares to be issued upon the exercise of all Options held by such Person as of immediately prior to the Effective Time </w:t>
      </w:r>
      <w:r>
        <w:rPr>
          <w:rFonts w:ascii="Times New Roman" w:cs="Times New Roman" w:eastAsia="Times New Roman" w:hAnsi="Times New Roman"/>
          <w:sz w:val="18"/>
          <w:szCs w:val="18"/>
          <w:u w:val="single" w:color="auto"/>
          <w:color w:val="auto"/>
        </w:rPr>
        <w:t>by</w:t>
      </w:r>
      <w:r>
        <w:rPr>
          <w:rFonts w:ascii="Times New Roman" w:cs="Times New Roman" w:eastAsia="Times New Roman" w:hAnsi="Times New Roman"/>
          <w:sz w:val="18"/>
          <w:szCs w:val="18"/>
          <w:color w:val="auto"/>
        </w:rPr>
        <w:t xml:space="preserve"> (b) the Fully Diluted Share Number.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 means the real property owned, leased or subleased by the Company, together with all buildings, structures and facilities located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thereon.</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xml:space="preserve">” means that certain Registration Rights Agreement to be entered into between Parent and Stock Recipients regarding the registration of the shares of Parent Common Stock constituting the Merger Consideration, in the form attached hereto as </w:t>
      </w: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S Questionnaire</w:t>
      </w:r>
      <w:r>
        <w:rPr>
          <w:rFonts w:ascii="Times New Roman" w:cs="Times New Roman" w:eastAsia="Times New Roman" w:hAnsi="Times New Roman"/>
          <w:sz w:val="18"/>
          <w:szCs w:val="18"/>
          <w:color w:val="auto"/>
        </w:rPr>
        <w:t xml:space="preserve">” means a Regulation S questionnaire in substantially the form attached hereto as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any actual or threatened release, spilling, leaking, pumping, pouring, emitting, emptying, discharging, injecting, escaping, leaching, dumping, abandonment, disposing or allowing to escape or migrate into or through the environment (including, without limitation, ambient air (indoor or outdoor), surface water, groundwater, land surface or subsurface strata or within any building, structure, facility or fixture).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means, with respect to any Person, any and all directors, officers, employees, consultants, financial advisors, counsel, accountants and other agents of such Person.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Company Approval</w:t>
      </w:r>
      <w:r>
        <w:rPr>
          <w:rFonts w:ascii="Times New Roman" w:cs="Times New Roman" w:eastAsia="Times New Roman" w:hAnsi="Times New Roman"/>
          <w:sz w:val="18"/>
          <w:szCs w:val="18"/>
          <w:color w:val="auto"/>
        </w:rPr>
        <w:t xml:space="preserve">” means the consent of Stockholders representing at least eighty percent (80%) of the outstanding Shares acting by way of written consent in lieu of a Stockholder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Stockholder that holds at least five percent (5%) of the outstanding Shares shall have provided such written consent to action in lieu of a Stockholder meeting.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Consideration</w:t>
      </w:r>
      <w:r>
        <w:rPr>
          <w:rFonts w:ascii="Times New Roman" w:cs="Times New Roman" w:eastAsia="Times New Roman" w:hAnsi="Times New Roman"/>
          <w:sz w:val="18"/>
          <w:szCs w:val="18"/>
          <w:color w:val="auto"/>
        </w:rPr>
        <w:t>” means the Consideration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Consideration Schedule</w:t>
      </w:r>
      <w:r>
        <w:rPr>
          <w:rFonts w:ascii="Times New Roman" w:cs="Times New Roman" w:eastAsia="Times New Roman" w:hAnsi="Times New Roman"/>
          <w:sz w:val="18"/>
          <w:szCs w:val="18"/>
          <w:color w:val="auto"/>
        </w:rPr>
        <w:t xml:space="preserve">” means the schedule of Parent Common Stock to be issued to Stock Recipients, attached hereto as </w:t>
      </w:r>
      <w:r>
        <w:rPr>
          <w:rFonts w:ascii="Times New Roman" w:cs="Times New Roman" w:eastAsia="Times New Roman" w:hAnsi="Times New Roman"/>
          <w:sz w:val="18"/>
          <w:szCs w:val="18"/>
          <w:b w:val="1"/>
          <w:bCs w:val="1"/>
          <w:color w:val="auto"/>
        </w:rPr>
        <w:t>Schedule 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Option Plan</w:t>
      </w:r>
      <w:r>
        <w:rPr>
          <w:rFonts w:ascii="Times New Roman" w:cs="Times New Roman" w:eastAsia="Times New Roman" w:hAnsi="Times New Roman"/>
          <w:sz w:val="18"/>
          <w:szCs w:val="18"/>
          <w:color w:val="auto"/>
        </w:rPr>
        <w:t>” means the 2019 Equity Incentive Plan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Recipients</w:t>
      </w:r>
      <w:r>
        <w:rPr>
          <w:rFonts w:ascii="Times New Roman" w:cs="Times New Roman" w:eastAsia="Times New Roman" w:hAnsi="Times New Roman"/>
          <w:sz w:val="18"/>
          <w:szCs w:val="18"/>
          <w:color w:val="auto"/>
        </w:rPr>
        <w:t>” means those holders of Company Common Stock that are either: (a) Accredited Investors; or (b) Non-U.S. Persons.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 means a holder of Company Common Stock.</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federal, state, local, foreign and other income, gross receipts, sales, use, production, ad valorem, transfer, franchise, registration, profits, license, lease, service, service use, withholding, payroll, employment, unemployment, estimated, excise, severance, environmental, stamp, occupation, premium, property (real or personal), real property gains, windfall profits, customs, duties or other taxes, fees, assessments or charges of any kind whatsoever, together with any interest, additions or penalties with respect thereto and any interest in respect of such additions or penalties.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return, declaration, report, claim for refund, information return or statement or other document relating to Taxes, including any schedule or attachment thereto, and including any amendment thereof.</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Expenses</w:t>
      </w:r>
      <w:r>
        <w:rPr>
          <w:rFonts w:ascii="Times New Roman" w:cs="Times New Roman" w:eastAsia="Times New Roman" w:hAnsi="Times New Roman"/>
          <w:sz w:val="18"/>
          <w:szCs w:val="18"/>
          <w:color w:val="auto"/>
        </w:rPr>
        <w:t>” means, to the extent not paid by the Company, the Stockholders or otherwise prior to the Closing Date, the fees, costs and expenses (including legal, accounting and financial advisory expenses) incurred by the Company on or prior to the Closing Date in connection with the preparation, negotiation and execution of this Agreement and the Ancillary Agreements’, and the performance and consummation of the Merger and the other transactions contemplated hereby and thereby.</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Expense Reimbursement</w:t>
      </w:r>
      <w:r>
        <w:rPr>
          <w:rFonts w:ascii="Times New Roman" w:cs="Times New Roman" w:eastAsia="Times New Roman" w:hAnsi="Times New Roman"/>
          <w:sz w:val="18"/>
          <w:szCs w:val="18"/>
          <w:color w:val="auto"/>
        </w:rPr>
        <w:t>” means the reimbursement or direct payment at Closing by Parent of the reasonable and invoiced legal, accounting, and shareholder advisory fees incurred by the Company of no more than $325,000 for the Company’s Transaction Expenses, which amount may be increased upon mutual written agreement of the parties prior to Closing.</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capitalized terms used herein and not defined above shall have the meanings assigned to such terms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2"/>
              </w:rPr>
              <w:t>Term</w:t>
            </w:r>
          </w:p>
        </w:tc>
        <w:tc>
          <w:tcPr>
            <w:tcW w:w="3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w:t>
            </w: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214"/>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6.03(a)</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Balance Sheet</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4.06</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Balance Sheet Date</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4.06</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Basket</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9.04(a)</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4.17(a)</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3.01(c)</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Merger</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2.04</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2.02</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2.02</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Merger Consideration</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3.10(a)(ii)</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Board Recommendation</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4.02(b)</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Charter Documents</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4.03</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Common Stock</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6.02(b)</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Spreadsheet</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3.10(a)</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Consulting Agreements</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2.03(a)(xiv)</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D&amp;O</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6.08</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 Claim</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9.05(c)</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2.04</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Estimated Merger Consideration Spreadsheet</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3.10(a)</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3.03(a)</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Fund</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3.03(a)</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Merger Consideration Spreadsheet</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3.10(b)</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4.06</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Contracts</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4.09(a)(viii)</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9.05</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9.05</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Insurance Policies</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4.13</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Registrations</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4.12(b)</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Balance Sheet</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4.06</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Balance Sheet Date</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4.06</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Financial Statements</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4.06</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3.03(b)</w:t>
            </w: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4.07</w:t>
            </w:r>
          </w:p>
        </w:tc>
      </w:tr>
      <w:tr>
        <w:trPr>
          <w:trHeight w:val="238"/>
        </w:trPr>
        <w:tc>
          <w:tcPr>
            <w:tcW w:w="66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Majority Holders</w:t>
            </w: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11.01(b)</w:t>
            </w:r>
          </w:p>
        </w:tc>
      </w:tr>
      <w:tr>
        <w:trPr>
          <w:trHeight w:val="432"/>
        </w:trPr>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10</w:t>
            </w:r>
          </w:p>
        </w:tc>
        <w:tc>
          <w:tcPr>
            <w:tcW w:w="50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9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50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67"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 Board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Board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Common Stock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Indemnitees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 Losses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 Indemnitees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 Representative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Straddle Period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Claim</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Year-End Financial Statements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Section 4.09(a)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Preamble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3.01(e)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Preamble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11.01(c)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3.01(a)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Preamble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9.05(a)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4.18(b)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4.06</w:t>
      </w:r>
    </w:p>
    <w:p>
      <w:pPr>
        <w:spacing w:after="0" w:line="200" w:lineRule="exact"/>
        <w:rPr>
          <w:sz w:val="20"/>
          <w:szCs w:val="20"/>
          <w:color w:val="auto"/>
        </w:rPr>
      </w:pPr>
    </w:p>
    <w:p>
      <w:pPr>
        <w:sectPr>
          <w:pgSz w:w="11900" w:h="16838" w:orient="portrait"/>
          <w:cols w:equalWidth="0" w:num="2">
            <w:col w:w="4900" w:space="720"/>
            <w:col w:w="5620"/>
          </w:cols>
          <w:pgMar w:left="320" w:top="576" w:right="339"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ERGER</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2.01 The Merger. </w:t>
      </w:r>
      <w:r>
        <w:rPr>
          <w:rFonts w:ascii="Times New Roman" w:cs="Times New Roman" w:eastAsia="Times New Roman" w:hAnsi="Times New Roman"/>
          <w:sz w:val="18"/>
          <w:szCs w:val="18"/>
          <w:color w:val="auto"/>
        </w:rPr>
        <w:t>On the terms and subject to the conditions set forth in this Agreement, and in accordance with the DGCL,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Time, (a) Merger Sub will merge with and into the Company, and (b) the separate corporate existence of Merger Sub will cease, and the Company will continue its corporate existence under the DGCL as the surviving corporation in the Merger (sometimes referred to herein as the “</w:t>
      </w:r>
      <w:r>
        <w:rPr>
          <w:rFonts w:ascii="Times New Roman" w:cs="Times New Roman" w:eastAsia="Times New Roman" w:hAnsi="Times New Roman"/>
          <w:sz w:val="18"/>
          <w:szCs w:val="18"/>
          <w:b w:val="1"/>
          <w:bCs w:val="1"/>
          <w:color w:val="auto"/>
        </w:rPr>
        <w:t>Surviving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2.02</w:t>
        <w:tab/>
        <w:t xml:space="preserve">Closing. </w:t>
      </w:r>
      <w:r>
        <w:rPr>
          <w:rFonts w:ascii="Times New Roman" w:cs="Times New Roman" w:eastAsia="Times New Roman" w:hAnsi="Times New Roman"/>
          <w:sz w:val="18"/>
          <w:szCs w:val="18"/>
          <w:color w:val="auto"/>
        </w:rPr>
        <w:t>Upon the terms and subject to the conditions set forth herein, the closing of the Merger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will take place 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12:00 P.M., Pacific Time, as soon as practicable (and, in any event, within three (3) Business Days) after the satisfaction or waiver of, all conditions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Merger set forth in </w:t>
      </w:r>
      <w:r>
        <w:rPr>
          <w:rFonts w:ascii="Times New Roman" w:cs="Times New Roman" w:eastAsia="Times New Roman" w:hAnsi="Times New Roman"/>
          <w:sz w:val="18"/>
          <w:szCs w:val="18"/>
          <w:b w:val="1"/>
          <w:bCs w:val="1"/>
          <w:color w:val="auto"/>
        </w:rPr>
        <w:t>Article VIII</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waiver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all such conditions), unless this Agreement has been terminated pursuant to its terms or unless another time or date is mutually agreed to in writing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Merger Sub, and Parent. The Closing shall take place via the electronic exchange of documents and executed signature pages, unless another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 or means is mutually agreed to in writing by the Company, Merger Sub, and Parent, and the actual date of the Closing is hereinafter referred to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2.03</w:t>
      </w:r>
      <w:r>
        <w:rPr>
          <w:sz w:val="20"/>
          <w:szCs w:val="20"/>
          <w:color w:val="auto"/>
        </w:rPr>
        <w:tab/>
      </w:r>
      <w:r>
        <w:rPr>
          <w:rFonts w:ascii="Times New Roman" w:cs="Times New Roman" w:eastAsia="Times New Roman" w:hAnsi="Times New Roman"/>
          <w:sz w:val="17"/>
          <w:szCs w:val="17"/>
          <w:b w:val="1"/>
          <w:bCs w:val="1"/>
          <w:color w:val="auto"/>
        </w:rPr>
        <w:t>Closing Deliverables.</w:t>
      </w:r>
    </w:p>
    <w:p>
      <w:pPr>
        <w:spacing w:after="0" w:line="229"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the Company shall deliver to Parent and Merger Sub the following:</w:t>
      </w:r>
    </w:p>
    <w:p>
      <w:pPr>
        <w:spacing w:after="0" w:line="22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resignations of the directors and officers of the Company pursuant to </w:t>
      </w:r>
      <w:r>
        <w:rPr>
          <w:rFonts w:ascii="Times New Roman" w:cs="Times New Roman" w:eastAsia="Times New Roman" w:hAnsi="Times New Roman"/>
          <w:sz w:val="18"/>
          <w:szCs w:val="18"/>
          <w:b w:val="1"/>
          <w:bCs w:val="1"/>
          <w:color w:val="auto"/>
        </w:rPr>
        <w:t>Section 6.06</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7" w:name="page18"/>
    <w:bookmarkEnd w:id="17"/>
    <w:p>
      <w:pPr>
        <w:ind w:firstLine="1304"/>
        <w:spacing w:after="0" w:line="282" w:lineRule="auto"/>
        <w:tabs>
          <w:tab w:leader="none" w:pos="17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dated the Closing Date and signed by a duly authorized officer of the Company, that each of the conditions set forth in </w:t>
      </w:r>
      <w:r>
        <w:rPr>
          <w:rFonts w:ascii="Times New Roman" w:cs="Times New Roman" w:eastAsia="Times New Roman" w:hAnsi="Times New Roman"/>
          <w:sz w:val="18"/>
          <w:szCs w:val="18"/>
          <w:b w:val="1"/>
          <w:bCs w:val="1"/>
          <w:color w:val="auto"/>
        </w:rPr>
        <w:t xml:space="preserve">Section 8.02(a)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Section 1.01(a) </w:t>
      </w:r>
      <w:r>
        <w:rPr>
          <w:rFonts w:ascii="Times New Roman" w:cs="Times New Roman" w:eastAsia="Times New Roman" w:hAnsi="Times New Roman"/>
          <w:sz w:val="18"/>
          <w:szCs w:val="18"/>
          <w:color w:val="auto"/>
        </w:rPr>
        <w:t>have been satisfied;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or an Assistant Secretary (or equivalent officer) of the Company certifying that (A) attached thereto are true and complete copies of (1) all resolutions adopted by the Company Board authorizing the execution, delivery and performance of this Agreement and the Ancillary Documents and the consummation of the transactions contemplated hereby and thereby and (2) resolutions of the Stockholders approving the Merger and adopting this Agreement, and (B) all such resolutions are in full force and effect and are all the resolutions adopted in connection with the transactions contemplated hereby and thereby;</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or an Assistant Secretary (or equivalent officer) of the Company certifying the names and signatures of the officers of the Company authorized to sign this Agreement, the Ancillary Documents and the other documents to be delivered hereunder and thereunder;</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good standing certificate (or its equivalent) from the secretary of state or similar Governmental Authority of the jurisdiction under the Laws in which the Company is organized;</w:t>
      </w:r>
    </w:p>
    <w:p>
      <w:pPr>
        <w:spacing w:after="0" w:line="16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(1) Business Day prior to the Closing, the Closing Transaction Expenses Certificate;</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Indebtedness Certificate;</w:t>
      </w:r>
    </w:p>
    <w:p>
      <w:pPr>
        <w:spacing w:after="0" w:line="221"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three (3) Business Days prior to Closing, the Estimated Merger Consideration Spreadsheet contemplated in </w:t>
      </w:r>
      <w:r>
        <w:rPr>
          <w:rFonts w:ascii="Times New Roman" w:cs="Times New Roman" w:eastAsia="Times New Roman" w:hAnsi="Times New Roman"/>
          <w:sz w:val="18"/>
          <w:szCs w:val="18"/>
          <w:b w:val="1"/>
          <w:bCs w:val="1"/>
          <w:color w:val="auto"/>
        </w:rPr>
        <w:t>Section</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3.10</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Business Days prior to Closing, the Investor Suitability Documentation received by the Company through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206"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one (1) Business Day prior to Closing, evidence of termination of any Benefit Plan and Company Stock Plan;</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Assignments, executed by all signatories thereto, except Parent;</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 executed by all signatories thereto, except Parent;</w:t>
      </w:r>
    </w:p>
    <w:p>
      <w:pPr>
        <w:spacing w:after="0" w:line="225"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executed by the Equityholders who have executed the Registration Rights Agreement as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Date;</w:t>
      </w:r>
    </w:p>
    <w:p>
      <w:pPr>
        <w:spacing w:after="0" w:line="202"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of termination of all consulting agreements to which the Company is a party (the “</w:t>
      </w:r>
      <w:r>
        <w:rPr>
          <w:rFonts w:ascii="Times New Roman" w:cs="Times New Roman" w:eastAsia="Times New Roman" w:hAnsi="Times New Roman"/>
          <w:sz w:val="17"/>
          <w:szCs w:val="17"/>
          <w:b w:val="1"/>
          <w:bCs w:val="1"/>
          <w:color w:val="auto"/>
        </w:rPr>
        <w:t>Company Consulting Agreements</w:t>
      </w:r>
      <w:r>
        <w:rPr>
          <w:rFonts w:ascii="Times New Roman" w:cs="Times New Roman" w:eastAsia="Times New Roman" w:hAnsi="Times New Roman"/>
          <w:sz w:val="17"/>
          <w:szCs w:val="17"/>
          <w:color w:val="auto"/>
        </w:rPr>
        <w:t>”);</w:t>
      </w:r>
    </w:p>
    <w:p>
      <w:pPr>
        <w:spacing w:after="0" w:line="240" w:lineRule="exact"/>
        <w:rPr>
          <w:rFonts w:ascii="Times New Roman" w:cs="Times New Roman" w:eastAsia="Times New Roman" w:hAnsi="Times New Roman"/>
          <w:sz w:val="17"/>
          <w:szCs w:val="17"/>
          <w:color w:val="auto"/>
        </w:rPr>
      </w:pPr>
    </w:p>
    <w:p>
      <w:pPr>
        <w:ind w:left="1800" w:hanging="496"/>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payment of any Company withholding tax obligations incurred between the execution of the Agreement and Closing;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8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or instruments as Parent reasonably requests and are reasonably necessary to consummate the transactions contemplated by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ind w:left="1320" w:hanging="664"/>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Parent shall deliver to the Company (or such other Person as may be specified herein) the following:</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6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(in form reasonably satisfactory to the Company) of the wiring by Parent of the Transaction Expense Reimbursement, less any amount that was paid by Parent upon execution of this Agreement, in immediately available funds to the individuals set forth in the respective invoices;</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80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dated the Closing Date and signed by a duly authorized officer of the Parent and Merger Sub, that each of the conditions set forth in </w:t>
      </w:r>
      <w:r>
        <w:rPr>
          <w:rFonts w:ascii="Times New Roman" w:cs="Times New Roman" w:eastAsia="Times New Roman" w:hAnsi="Times New Roman"/>
          <w:sz w:val="18"/>
          <w:szCs w:val="18"/>
          <w:b w:val="1"/>
          <w:bCs w:val="1"/>
          <w:color w:val="auto"/>
        </w:rPr>
        <w:t>Section 8.03(a)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8.03(b)</w:t>
      </w:r>
      <w:r>
        <w:rPr>
          <w:rFonts w:ascii="Times New Roman" w:cs="Times New Roman" w:eastAsia="Times New Roman" w:hAnsi="Times New Roman"/>
          <w:sz w:val="18"/>
          <w:szCs w:val="18"/>
          <w:color w:val="auto"/>
        </w:rPr>
        <w:t xml:space="preserve"> have been satisfied;</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1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or an Assistant Secretary (or equivalent officer) of Parent and Merger Sub certifying that attached thereto are true and complete copies of all resolutions adopted by the board of directors of Parent and Merger Sub authorizing the execution, delivery and performance of this Agreement and the Ancillary Documents and the consummation of the transactions contemplated hereby and thereby, and that all such resolutions are in full force and effect and are all the resolutions adopted in connection with the transactions contemplated hereby and thereby;</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8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or an Assistant Secretary (or equivalent officer) of Parent and Merger Sub certifying the names and signatures of the officers of Parent and Merger Sub authorized to sign this Agreement, the Ancillary Documents and the other documents to be delivered hereunder and thereunder;</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executed by Parent;</w:t>
      </w:r>
    </w:p>
    <w:p>
      <w:pPr>
        <w:spacing w:after="0" w:line="22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 executed by Parent;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90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or instruments as the Company reasonably requests and are reasonably necessary to consummate the transactions contemplated by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7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Confirmation (in form reasonably satisfactory to the Company) of initiation of a wire transfer to the Exchange Agent in immediately available funds in an amount equal to (i) the aggregate Cash Consideration under this Agreement, and (ii) any cash in lieu of fractional shares of Parent Common Stock, payable to Stock Recipients pursuant to </w:t>
      </w:r>
      <w:r>
        <w:rPr>
          <w:rFonts w:ascii="Times New Roman" w:cs="Times New Roman" w:eastAsia="Times New Roman" w:hAnsi="Times New Roman"/>
          <w:sz w:val="18"/>
          <w:szCs w:val="18"/>
          <w:b w:val="1"/>
          <w:bCs w:val="1"/>
          <w:color w:val="auto"/>
        </w:rPr>
        <w:t>Section 3.01(e)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letter of instruction to Parent’s transfer agent, submitted to Parent’s transfer agent on the Closing Date, instructing the transfer agent to issue to the Exchange Agent, in book-entry form, the Stock Consideration (the "</w:t>
      </w:r>
      <w:r>
        <w:rPr>
          <w:rFonts w:ascii="Times New Roman" w:cs="Times New Roman" w:eastAsia="Times New Roman" w:hAnsi="Times New Roman"/>
          <w:sz w:val="18"/>
          <w:szCs w:val="18"/>
          <w:b w:val="1"/>
          <w:bCs w:val="1"/>
          <w:color w:val="auto"/>
        </w:rPr>
        <w:t>Instruction Letter</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1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directions to the Exchange Agent to (i) pay the Cash Consideration to Cash Recipients in accordance with the Cash Consideration Schedule and the Final Merger Consideration Spreadsheet and (ii) issue and register the Consideration Shares to the Stock Recipients in accordance with the Cash Consideration Schedule and the Final Merger Consideration Spreadsheet.</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2.04 Effective Time. </w:t>
      </w:r>
      <w:r>
        <w:rPr>
          <w:rFonts w:ascii="Times New Roman" w:cs="Times New Roman" w:eastAsia="Times New Roman" w:hAnsi="Times New Roman"/>
          <w:sz w:val="18"/>
          <w:szCs w:val="18"/>
          <w:color w:val="auto"/>
        </w:rPr>
        <w:t>Subject to the provisions of this Agreement, at the Closing, the Company, Parent and Merger Sub shall cause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merger (the “</w:t>
      </w:r>
      <w:r>
        <w:rPr>
          <w:rFonts w:ascii="Times New Roman" w:cs="Times New Roman" w:eastAsia="Times New Roman" w:hAnsi="Times New Roman"/>
          <w:sz w:val="18"/>
          <w:szCs w:val="18"/>
          <w:b w:val="1"/>
          <w:bCs w:val="1"/>
          <w:color w:val="auto"/>
        </w:rPr>
        <w:t>Certificate of Merger</w:t>
      </w:r>
      <w:r>
        <w:rPr>
          <w:rFonts w:ascii="Times New Roman" w:cs="Times New Roman" w:eastAsia="Times New Roman" w:hAnsi="Times New Roman"/>
          <w:sz w:val="18"/>
          <w:szCs w:val="18"/>
          <w:color w:val="auto"/>
        </w:rPr>
        <w:t>”) to be executed, acknowledged and filed with the Secretary of State of the State of Delaware in accordance with the relevant provisions of the DGCL and shall make all other filings or recordings required under the DGCL. The Merger shall become effective at such time as the Certificate of Merger has been duly filed with the Secretary of State of the State of Delaware or at such later date or time as may be agreed by the Company and Parent in writing and specified in the Certificate of Merger in accordance with the DGCL (the effective time of the Merger being hereinafter referred to as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2.05 Effects of the Merger. </w:t>
      </w:r>
      <w:r>
        <w:rPr>
          <w:rFonts w:ascii="Times New Roman" w:cs="Times New Roman" w:eastAsia="Times New Roman" w:hAnsi="Times New Roman"/>
          <w:sz w:val="18"/>
          <w:szCs w:val="18"/>
          <w:color w:val="auto"/>
        </w:rPr>
        <w:t>The Merger shall have the effects set forth herein and in the applicable provisions of the DGCL.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limiting the generality of the foregoing, and subject thereto, from and after the Effective Time, all property, rights, privileges, immunities, powers, franchises, licenses and authority of the Company and Merger Sub shall vest in the Surviving Corporation, and all debts, liabilities, obligations, restrictions and duties of each of the Company and Merger Sub shall become the debts, liabilities, obligations, restrictions and duties of the Surviving Corporation.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2.06 Certificate of Incorporation; By-laws. </w:t>
      </w:r>
      <w:r>
        <w:rPr>
          <w:rFonts w:ascii="Times New Roman" w:cs="Times New Roman" w:eastAsia="Times New Roman" w:hAnsi="Times New Roman"/>
          <w:sz w:val="18"/>
          <w:szCs w:val="18"/>
          <w:color w:val="auto"/>
        </w:rPr>
        <w:t>At the Effective Time, (a) the certificate of incorporation of Merger Sub as in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immediately prior to the Effective Time shall be the certificate of incorporation of the Surviving Corporation until thereafter amended in accordance with the terms thereof or as provided by applicable Law, and (b) the by-laws of Merger Sub as in effect immediately prior to the Effective Time shall be the by-laws of the Surviving Corporation until thereafter amended in accordance with the terms thereof, the certificate of incorporation of the Surviving Corporation or as provided by applicable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in each case, that the name of the corporation set forth therein shall be changed to the name of the Company.</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2.07 Directors and Officers. </w:t>
      </w:r>
      <w:r>
        <w:rPr>
          <w:rFonts w:ascii="Times New Roman" w:cs="Times New Roman" w:eastAsia="Times New Roman" w:hAnsi="Times New Roman"/>
          <w:sz w:val="18"/>
          <w:szCs w:val="18"/>
          <w:color w:val="auto"/>
        </w:rPr>
        <w:t>The directors and officers of Merger Sub, in each case, immediately prior to the Effective Time shall,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after the Effective Time, be the directors and officers, respectively, of the Surviving Corporation until their successors have been duly elected or appointed and qualified or until their earlier death, resignation or removal in accordance with the certificate of incorporation and by-laws of the Surviving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FFECT OF 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ERGER 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APITAL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p>
    <w:p>
      <w:pPr>
        <w:spacing w:after="0" w:line="203"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Section 3.01</w:t>
        <w:tab/>
        <w:t xml:space="preserve">Effect of the Merger on Common Stock. </w:t>
      </w:r>
      <w:r>
        <w:rPr>
          <w:rFonts w:ascii="Times New Roman" w:cs="Times New Roman" w:eastAsia="Times New Roman" w:hAnsi="Times New Roman"/>
          <w:sz w:val="18"/>
          <w:szCs w:val="18"/>
          <w:color w:val="auto"/>
        </w:rPr>
        <w:t>At the Effective Time, as a result of the Merger and without any action on the part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Merger Sub, the Company or any Stockholder:</w:t>
      </w:r>
    </w:p>
    <w:p>
      <w:pPr>
        <w:spacing w:after="0" w:line="203" w:lineRule="exact"/>
        <w:rPr>
          <w:sz w:val="20"/>
          <w:szCs w:val="20"/>
          <w:color w:val="auto"/>
        </w:rPr>
      </w:pPr>
    </w:p>
    <w:p>
      <w:pPr>
        <w:jc w:val="both"/>
        <w:ind w:firstLine="656"/>
        <w:spacing w:after="0" w:line="268" w:lineRule="auto"/>
        <w:tabs>
          <w:tab w:leader="none" w:pos="11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Cancellation of Certain Shares of Company Common Stock. </w:t>
      </w:r>
      <w:r>
        <w:rPr>
          <w:rFonts w:ascii="Times New Roman" w:cs="Times New Roman" w:eastAsia="Times New Roman" w:hAnsi="Times New Roman"/>
          <w:sz w:val="18"/>
          <w:szCs w:val="18"/>
          <w:color w:val="auto"/>
        </w:rPr>
        <w:t>Shares of Company Common Stock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that are owned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Merger Sub or the Company (as treasury stock or otherwise) or any of their respective direct or indirect wholly owned Subsidiaries shall automatically be cancelled and retired and shall cease to exist, and no consideration shall be delivered in exchange therefor.</w:t>
      </w:r>
    </w:p>
    <w:p>
      <w:pPr>
        <w:spacing w:after="0" w:line="170"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Conversion of Company Common Stock. </w:t>
      </w:r>
      <w:r>
        <w:rPr>
          <w:rFonts w:ascii="Times New Roman" w:cs="Times New Roman" w:eastAsia="Times New Roman" w:hAnsi="Times New Roman"/>
          <w:sz w:val="18"/>
          <w:szCs w:val="18"/>
          <w:color w:val="auto"/>
        </w:rPr>
        <w:t>Other than Shares to be cancelled and retired in accordance with</w:t>
      </w:r>
      <w:r>
        <w:rPr>
          <w:rFonts w:ascii="Times New Roman" w:cs="Times New Roman" w:eastAsia="Times New Roman" w:hAnsi="Times New Roman"/>
          <w:sz w:val="18"/>
          <w:szCs w:val="18"/>
          <w:b w:val="1"/>
          <w:bCs w:val="1"/>
          <w:color w:val="auto"/>
        </w:rPr>
        <w:t xml:space="preserve"> Section 3.01(a)</w:t>
      </w:r>
      <w:r>
        <w:rPr>
          <w:rFonts w:ascii="Times New Roman" w:cs="Times New Roman" w:eastAsia="Times New Roman" w:hAnsi="Times New Roman"/>
          <w:sz w:val="18"/>
          <w:szCs w:val="18"/>
          <w:color w:val="auto"/>
        </w:rPr>
        <w:t>, and Dissenting</w:t>
      </w:r>
    </w:p>
    <w:p>
      <w:pPr>
        <w:spacing w:after="0" w:line="3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(i) Shares issued and outstanding immediately prior to the Effective Time held by Stock Recipients will be converted into the right to receive: (A) the Stock Consideration, as detailed in the Stock Consideration Schedule and as set forth on the Final Merger Consideration Spreadsheet; and (B) any cash in lieu of fractional shares of Parent Common Stock payable to Stock Recipients pursuant to </w:t>
      </w:r>
      <w:r>
        <w:rPr>
          <w:rFonts w:ascii="Times New Roman" w:cs="Times New Roman" w:eastAsia="Times New Roman" w:hAnsi="Times New Roman"/>
          <w:sz w:val="18"/>
          <w:szCs w:val="18"/>
          <w:b w:val="1"/>
          <w:bCs w:val="1"/>
          <w:color w:val="auto"/>
        </w:rPr>
        <w:t>Section 3.01(e)</w:t>
      </w:r>
      <w:r>
        <w:rPr>
          <w:rFonts w:ascii="Times New Roman" w:cs="Times New Roman" w:eastAsia="Times New Roman" w:hAnsi="Times New Roman"/>
          <w:sz w:val="18"/>
          <w:szCs w:val="18"/>
          <w:color w:val="auto"/>
        </w:rPr>
        <w:t>; and (ii) Shares issued and outstanding immediately prior to the Effective Time held by Cash Recipients will be converted into the right to receive the Cash Consideration as detailed in the Cash Consideration Schedule and as set forth on the Final Merger Consideration Spreadsheet.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jc w:val="both"/>
        <w:ind w:firstLine="656"/>
        <w:spacing w:after="0" w:line="259" w:lineRule="auto"/>
        <w:tabs>
          <w:tab w:leader="none" w:pos="10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Cancellation of Shares. </w:t>
      </w:r>
      <w:r>
        <w:rPr>
          <w:rFonts w:ascii="Times New Roman" w:cs="Times New Roman" w:eastAsia="Times New Roman" w:hAnsi="Times New Roman"/>
          <w:sz w:val="18"/>
          <w:szCs w:val="18"/>
          <w:color w:val="auto"/>
        </w:rPr>
        <w:t>At the Effective Time, all shares of Company Common Stock will be cancelled and retired and shall cease to exist,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subject to </w:t>
      </w:r>
      <w:r>
        <w:rPr>
          <w:rFonts w:ascii="Times New Roman" w:cs="Times New Roman" w:eastAsia="Times New Roman" w:hAnsi="Times New Roman"/>
          <w:sz w:val="18"/>
          <w:szCs w:val="18"/>
          <w:b w:val="1"/>
          <w:bCs w:val="1"/>
          <w:color w:val="auto"/>
        </w:rPr>
        <w:t>Section 3.01(a)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3.02</w:t>
      </w:r>
      <w:r>
        <w:rPr>
          <w:rFonts w:ascii="Times New Roman" w:cs="Times New Roman" w:eastAsia="Times New Roman" w:hAnsi="Times New Roman"/>
          <w:sz w:val="18"/>
          <w:szCs w:val="18"/>
          <w:color w:val="auto"/>
        </w:rPr>
        <w:t>, each holder of: (i) a certificate formerly representing any Shares (each, a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or (ii) any book-entry shares which immediately prior to the Effective Time represented Shares (each, a “</w:t>
      </w:r>
      <w:r>
        <w:rPr>
          <w:rFonts w:ascii="Times New Roman" w:cs="Times New Roman" w:eastAsia="Times New Roman" w:hAnsi="Times New Roman"/>
          <w:sz w:val="18"/>
          <w:szCs w:val="18"/>
          <w:b w:val="1"/>
          <w:bCs w:val="1"/>
          <w:color w:val="auto"/>
        </w:rPr>
        <w:t>Book-Entry Share</w:t>
      </w:r>
      <w:r>
        <w:rPr>
          <w:rFonts w:ascii="Times New Roman" w:cs="Times New Roman" w:eastAsia="Times New Roman" w:hAnsi="Times New Roman"/>
          <w:sz w:val="18"/>
          <w:szCs w:val="18"/>
          <w:color w:val="auto"/>
        </w:rPr>
        <w:t xml:space="preserve">”) shall cease to have any rights with respect thereto, except the right to receive (A) the applicable Merger Consideration, as set forth on the Final Merger Consideration Spreadsheet; and (B) any cash in lieu of fractional shares of Parent Common Stock, payable to Stock Recipients pursuant to </w:t>
      </w:r>
      <w:r>
        <w:rPr>
          <w:rFonts w:ascii="Times New Roman" w:cs="Times New Roman" w:eastAsia="Times New Roman" w:hAnsi="Times New Roman"/>
          <w:sz w:val="18"/>
          <w:szCs w:val="18"/>
          <w:b w:val="1"/>
          <w:bCs w:val="1"/>
          <w:color w:val="auto"/>
        </w:rPr>
        <w:t>Section 3.01(e)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57" w:lineRule="auto"/>
        <w:tabs>
          <w:tab w:leader="none" w:pos="10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Conversion of Merger Sub Capital Stock. </w:t>
      </w:r>
      <w:r>
        <w:rPr>
          <w:rFonts w:ascii="Times New Roman" w:cs="Times New Roman" w:eastAsia="Times New Roman" w:hAnsi="Times New Roman"/>
          <w:sz w:val="18"/>
          <w:szCs w:val="18"/>
          <w:color w:val="auto"/>
        </w:rPr>
        <w:t>Each share of common stock, par value $0.001 per share, of Merger Sub issued and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prior to the Effective Time shall be converted into and become one newly issued, fully paid, and non-assessable share of common stock, par value $0.001 per share, of the Surviving Corporation with the same rights, powers, and privileges as the shares so converted and shall constitute the only outstanding shares of capital stock of the Surviving Corporation. From and after the Effective Time, all certificates representing shares of Merger Sub Common Stock shall be deemed for all purposes to represent the number of shares of common stock of the Surviving Corporation into which they were converted in accordance with the immediately preceding sentence.</w:t>
      </w:r>
    </w:p>
    <w:p>
      <w:pPr>
        <w:spacing w:after="0" w:line="182" w:lineRule="exact"/>
        <w:rPr>
          <w:rFonts w:ascii="Times New Roman" w:cs="Times New Roman" w:eastAsia="Times New Roman" w:hAnsi="Times New Roman"/>
          <w:sz w:val="18"/>
          <w:szCs w:val="18"/>
          <w:color w:val="auto"/>
        </w:rPr>
      </w:pPr>
    </w:p>
    <w:p>
      <w:pPr>
        <w:jc w:val="both"/>
        <w:ind w:firstLine="656"/>
        <w:spacing w:after="0" w:line="255" w:lineRule="auto"/>
        <w:tabs>
          <w:tab w:leader="none" w:pos="10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Fractional Shares. </w:t>
      </w:r>
      <w:r>
        <w:rPr>
          <w:rFonts w:ascii="Times New Roman" w:cs="Times New Roman" w:eastAsia="Times New Roman" w:hAnsi="Times New Roman"/>
          <w:sz w:val="18"/>
          <w:szCs w:val="18"/>
          <w:color w:val="auto"/>
        </w:rPr>
        <w:t>No certificates or scrip representing fractional shares of Parent Common Stock shall be issued upon the conversion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Common Stock to Stock Recipients pursuant to </w:t>
      </w:r>
      <w:r>
        <w:rPr>
          <w:rFonts w:ascii="Times New Roman" w:cs="Times New Roman" w:eastAsia="Times New Roman" w:hAnsi="Times New Roman"/>
          <w:sz w:val="18"/>
          <w:szCs w:val="18"/>
          <w:b w:val="1"/>
          <w:bCs w:val="1"/>
          <w:color w:val="auto"/>
        </w:rPr>
        <w:t>Section 3.01(b)</w:t>
      </w:r>
      <w:r>
        <w:rPr>
          <w:rFonts w:ascii="Times New Roman" w:cs="Times New Roman" w:eastAsia="Times New Roman" w:hAnsi="Times New Roman"/>
          <w:sz w:val="18"/>
          <w:szCs w:val="18"/>
          <w:color w:val="auto"/>
        </w:rPr>
        <w:t>, and such fractional share interests shall not entitle the owner thereof to vote or to any other rights of a holder of shares of Parent Common Stock. Notwithstanding any other provision of this Agreement, each holder of shares of Company Common Stock converted pursuant to the Merger who would otherwise have been entitled to receive a fraction of a share of Parent Common Stock (after taking into account all shares of Company Common Stock exchanged by such holder and with respect to the delivery by Parent of the Consideration Shares) shall in lieu thereof, upon surrender of such holder’s Certificates and Book-Entry Shares, receive in cash (rounded to the nearest whole cent), without interest, an amount equal to such fractional amount multiplied by the Closing Price on the NASDAQ Capital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on the last complete trading day prior to the date of the Effective Time.</w:t>
      </w:r>
    </w:p>
    <w:p>
      <w:pPr>
        <w:spacing w:after="0" w:line="184" w:lineRule="exact"/>
        <w:rPr>
          <w:rFonts w:ascii="Times New Roman" w:cs="Times New Roman" w:eastAsia="Times New Roman" w:hAnsi="Times New Roman"/>
          <w:sz w:val="18"/>
          <w:szCs w:val="18"/>
          <w:color w:val="auto"/>
        </w:rPr>
      </w:pPr>
    </w:p>
    <w:p>
      <w:pPr>
        <w:jc w:val="both"/>
        <w:ind w:firstLine="656"/>
        <w:spacing w:after="0" w:line="253"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Recipients. </w:t>
      </w:r>
      <w:r>
        <w:rPr>
          <w:rFonts w:ascii="Times New Roman" w:cs="Times New Roman" w:eastAsia="Times New Roman" w:hAnsi="Times New Roman"/>
          <w:sz w:val="18"/>
          <w:szCs w:val="18"/>
          <w:color w:val="auto"/>
        </w:rPr>
        <w:t>Notwithstanding anything to the contrary in this</w:t>
      </w:r>
      <w:r>
        <w:rPr>
          <w:rFonts w:ascii="Times New Roman" w:cs="Times New Roman" w:eastAsia="Times New Roman" w:hAnsi="Times New Roman"/>
          <w:sz w:val="18"/>
          <w:szCs w:val="18"/>
          <w:b w:val="1"/>
          <w:bCs w:val="1"/>
          <w:color w:val="auto"/>
        </w:rPr>
        <w:t xml:space="preserve"> Section 3.01 </w:t>
      </w:r>
      <w:r>
        <w:rPr>
          <w:rFonts w:ascii="Times New Roman" w:cs="Times New Roman" w:eastAsia="Times New Roman" w:hAnsi="Times New Roman"/>
          <w:sz w:val="18"/>
          <w:szCs w:val="18"/>
          <w:color w:val="auto"/>
        </w:rPr>
        <w:t>or otherwise in this Agreement, in no event shall Parent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required to issue any shares of Parent Common Stock to any Person (i) that does not provide duly completed and executed Investor Suitability Documentation, or (ii) that Parent has determined prior to the Closing, in its sole discretion, (A) is not an Accredited Investor, and (B) is a U.S. Person. To the extent such Investor Suitability Documentation is not provided, or Parent has made such determination regarding an Equityholder’s status as a Cash Recipient, Parent shall inform the Company in writing of such determination three (3) Business Days prior to the Closing and the Company shall indicate on the Estimated Merger Consideration Spreadsheet (and on or shortly after the Closing, the Final Merger Consideration Spreadsheet) that such Person has not provided the Investor Suitability Documentation or is a Cash Recipient. To the extent Parent has not otherwise made the determinations and provided the written notice detailed in this </w:t>
      </w:r>
      <w:r>
        <w:rPr>
          <w:rFonts w:ascii="Times New Roman" w:cs="Times New Roman" w:eastAsia="Times New Roman" w:hAnsi="Times New Roman"/>
          <w:sz w:val="18"/>
          <w:szCs w:val="18"/>
          <w:b w:val="1"/>
          <w:bCs w:val="1"/>
          <w:color w:val="auto"/>
        </w:rPr>
        <w:t>Section 3.10(f)</w:t>
      </w:r>
      <w:r>
        <w:rPr>
          <w:rFonts w:ascii="Times New Roman" w:cs="Times New Roman" w:eastAsia="Times New Roman" w:hAnsi="Times New Roman"/>
          <w:sz w:val="18"/>
          <w:szCs w:val="18"/>
          <w:color w:val="auto"/>
        </w:rPr>
        <w:t>, the Company shall indicate on the Estimated Merger Consideration Spreadsheet (and, shortly after the Closing, the Final Merger Consideration Spreadsheet) the Equityholders who are Cash Recipients (such determination which the Company shall make in accordance with the definition of ‘Cash Recipient’). All Cash Recipients, as determined hereto and as detailed in the Final Closing Spreadsheet, shall receive Cash Consideration (instead of Stock Consideration) in exchange for such Equityholders’ Company Common Stock, as further detailed in the Final Merger Consideration Spreadsheet.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3.02 Dissenting Shares. </w:t>
      </w:r>
      <w:r>
        <w:rPr>
          <w:rFonts w:ascii="Times New Roman" w:cs="Times New Roman" w:eastAsia="Times New Roman" w:hAnsi="Times New Roman"/>
          <w:sz w:val="18"/>
          <w:szCs w:val="18"/>
          <w:color w:val="auto"/>
        </w:rPr>
        <w:t>Notwithstanding any provision of this Agreement to the contrary, including</w:t>
      </w:r>
      <w:r>
        <w:rPr>
          <w:rFonts w:ascii="Times New Roman" w:cs="Times New Roman" w:eastAsia="Times New Roman" w:hAnsi="Times New Roman"/>
          <w:sz w:val="18"/>
          <w:szCs w:val="18"/>
          <w:b w:val="1"/>
          <w:bCs w:val="1"/>
          <w:color w:val="auto"/>
        </w:rPr>
        <w:t xml:space="preserve"> Article III</w:t>
      </w:r>
      <w:r>
        <w:rPr>
          <w:rFonts w:ascii="Times New Roman" w:cs="Times New Roman" w:eastAsia="Times New Roman" w:hAnsi="Times New Roman"/>
          <w:sz w:val="18"/>
          <w:szCs w:val="18"/>
          <w:color w:val="auto"/>
        </w:rPr>
        <w:t>, Shares issued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outstanding immediately prior to the Effective Time (other than Shares cancelled in accordance with </w:t>
      </w:r>
      <w:r>
        <w:rPr>
          <w:rFonts w:ascii="Times New Roman" w:cs="Times New Roman" w:eastAsia="Times New Roman" w:hAnsi="Times New Roman"/>
          <w:sz w:val="18"/>
          <w:szCs w:val="18"/>
          <w:b w:val="1"/>
          <w:bCs w:val="1"/>
          <w:color w:val="auto"/>
        </w:rPr>
        <w:t>Section 3.01(a)</w:t>
      </w:r>
      <w:r>
        <w:rPr>
          <w:rFonts w:ascii="Times New Roman" w:cs="Times New Roman" w:eastAsia="Times New Roman" w:hAnsi="Times New Roman"/>
          <w:sz w:val="18"/>
          <w:szCs w:val="18"/>
          <w:color w:val="auto"/>
        </w:rPr>
        <w:t>) and held by a Stockholder who has not voted in favor of adoption of this Agreement or consented thereto in writing and who has properly exercised appraisal rights of such Shares in accordance with Section 262 of the DGCL (such Shares being referred to collectively as the “</w:t>
      </w: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xml:space="preserve">” until such time as such Stockholder fails to perfect or otherwise loses such Stockholder’s appraisal rights under the DGCL with respect to such Shares) shall not be converted into a right to receive a portion of the Merger Consideration, but instead shall be entitled to only such rights as are granted by Section 262 of the DGCL;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after the Effective Time, such Stockholder fails to perfect, withdraws or loses such Stockholder’s right to appraisal pursuant to Section 262 of the DGCL or if a court of competent jurisdiction shall determine that such Stockholder is not entitled to the relief provided by Section 262 of the DGCL, such Shares shall be treated as if they had been converted as of the Effective Time into the right to receive the portion of the Merger Consideration, if any, to which such Stockholder is entitled pursuant to </w:t>
      </w:r>
      <w:r>
        <w:rPr>
          <w:rFonts w:ascii="Times New Roman" w:cs="Times New Roman" w:eastAsia="Times New Roman" w:hAnsi="Times New Roman"/>
          <w:sz w:val="18"/>
          <w:szCs w:val="18"/>
          <w:b w:val="1"/>
          <w:bCs w:val="1"/>
          <w:color w:val="auto"/>
        </w:rPr>
        <w:t>Section 3.01(b)</w:t>
      </w:r>
      <w:r>
        <w:rPr>
          <w:rFonts w:ascii="Times New Roman" w:cs="Times New Roman" w:eastAsia="Times New Roman" w:hAnsi="Times New Roman"/>
          <w:sz w:val="18"/>
          <w:szCs w:val="18"/>
          <w:color w:val="auto"/>
        </w:rPr>
        <w:t>, without interest thereon. The Company shall provide Parent prompt written notice of any demands received by the Company for appraisal of Shares, any withdrawal of any such demand and any other demand, notice or instrument delivered to the Company prior to the Effective Time pursuant to the DGCL that relates to such demand, and Parent shall have the opportunity and the Company (or Stockholders’ Representative, after the Closing) shall jointly participate in all negotiations and proceedings with respect to such demands. Neither Parent nor the Company (or Stockholders’ Representative, after the Closing) shall, except with the prior written consent of the other, make any payment with respect to, or settle or offer to settle, any such demands.</w:t>
      </w:r>
    </w:p>
    <w:p>
      <w:pPr>
        <w:spacing w:after="0" w:line="183"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3.03</w:t>
      </w:r>
      <w:r>
        <w:rPr>
          <w:sz w:val="20"/>
          <w:szCs w:val="20"/>
          <w:color w:val="auto"/>
        </w:rPr>
        <w:tab/>
      </w:r>
      <w:r>
        <w:rPr>
          <w:rFonts w:ascii="Times New Roman" w:cs="Times New Roman" w:eastAsia="Times New Roman" w:hAnsi="Times New Roman"/>
          <w:sz w:val="17"/>
          <w:szCs w:val="17"/>
          <w:b w:val="1"/>
          <w:bCs w:val="1"/>
          <w:color w:val="auto"/>
        </w:rPr>
        <w:t>Exchange Procedures.</w:t>
      </w:r>
    </w:p>
    <w:p>
      <w:pPr>
        <w:spacing w:after="0" w:line="225" w:lineRule="exact"/>
        <w:rPr>
          <w:sz w:val="20"/>
          <w:szCs w:val="20"/>
          <w:color w:val="auto"/>
        </w:rPr>
      </w:pPr>
    </w:p>
    <w:p>
      <w:pPr>
        <w:jc w:val="both"/>
        <w:ind w:firstLine="656"/>
        <w:spacing w:after="0" w:line="256" w:lineRule="auto"/>
        <w:tabs>
          <w:tab w:leader="none" w:pos="112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Exchange Agent; Exchange Fund. </w:t>
      </w:r>
      <w:r>
        <w:rPr>
          <w:rFonts w:ascii="Times New Roman" w:cs="Times New Roman" w:eastAsia="Times New Roman" w:hAnsi="Times New Roman"/>
          <w:sz w:val="18"/>
          <w:szCs w:val="18"/>
          <w:color w:val="auto"/>
        </w:rPr>
        <w:t>Prior to the Effective Time, Parent shall appoint an exchange agent reasonably satisfactory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to act as the agent for the purpose of paying the Merger Consideration in exchange for: (i) the Certificates; and (ii) the Book-Entry Shares. At the Effective Time, Parent shall deposit, or cause the Surviving Corporation to deposit, with the Exchange Agent: (i) the Consideration Shares, in book-entry form with Computershare, the Parent’s transfer agent, and each time as set forth on the Stock Consideration Schedule),</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2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in lieu of any fractional shares payable pursuant to </w:t>
      </w:r>
      <w:r>
        <w:rPr>
          <w:rFonts w:ascii="Times New Roman" w:cs="Times New Roman" w:eastAsia="Times New Roman" w:hAnsi="Times New Roman"/>
          <w:sz w:val="18"/>
          <w:szCs w:val="18"/>
          <w:b w:val="1"/>
          <w:bCs w:val="1"/>
          <w:color w:val="auto"/>
        </w:rPr>
        <w:t>Section 3.01(e)</w:t>
      </w:r>
      <w:r>
        <w:rPr>
          <w:rFonts w:ascii="Times New Roman" w:cs="Times New Roman" w:eastAsia="Times New Roman" w:hAnsi="Times New Roman"/>
          <w:sz w:val="18"/>
          <w:szCs w:val="18"/>
          <w:color w:val="auto"/>
        </w:rPr>
        <w:t xml:space="preserve"> to Stock Recipients, and (iii) cash sufficient to make payments with respect to the Cash Payment (as estimated in the Estimated Closing Statements). Promptly following the Effective Time, and after Parent receives the Final Closing Statement from the Company (or the Stockholder’s Representative, as applicable), Parent shall make such adjustments to the deposit of the Cash Payment (either as an increase or decrease) in accordance with the Final Closing Statement. Parent shall instruct: (i) that number of shares of Parent Common Stock to be issued to Stock Recipients as Merger Consideration at the Closing Date, and (ii) an amount of cash sufficient to pay the Cash Recipients the applicable Merger Consideration at the Closing Date. Such shares of Stock Consideration, cash for the Cash Consideration, and cash in lieu of any fractional shares payable pursuant to </w:t>
      </w:r>
      <w:r>
        <w:rPr>
          <w:rFonts w:ascii="Times New Roman" w:cs="Times New Roman" w:eastAsia="Times New Roman" w:hAnsi="Times New Roman"/>
          <w:sz w:val="18"/>
          <w:szCs w:val="18"/>
          <w:b w:val="1"/>
          <w:bCs w:val="1"/>
          <w:color w:val="auto"/>
        </w:rPr>
        <w:t>Section 3.01(e)</w:t>
      </w:r>
      <w:r>
        <w:rPr>
          <w:rFonts w:ascii="Times New Roman" w:cs="Times New Roman" w:eastAsia="Times New Roman" w:hAnsi="Times New Roman"/>
          <w:sz w:val="18"/>
          <w:szCs w:val="18"/>
          <w:color w:val="auto"/>
        </w:rPr>
        <w:t>, are referred to collectively in this Agreement as the “</w:t>
      </w:r>
      <w:r>
        <w:rPr>
          <w:rFonts w:ascii="Times New Roman" w:cs="Times New Roman" w:eastAsia="Times New Roman" w:hAnsi="Times New Roman"/>
          <w:sz w:val="18"/>
          <w:szCs w:val="18"/>
          <w:b w:val="1"/>
          <w:bCs w:val="1"/>
          <w:color w:val="auto"/>
        </w:rPr>
        <w:t>Exchange Fund</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jc w:val="both"/>
        <w:ind w:firstLine="656"/>
        <w:spacing w:after="0" w:line="253" w:lineRule="auto"/>
        <w:tabs>
          <w:tab w:leader="none" w:pos="110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Procedures for Surrender. </w:t>
      </w:r>
      <w:r>
        <w:rPr>
          <w:rFonts w:ascii="Times New Roman" w:cs="Times New Roman" w:eastAsia="Times New Roman" w:hAnsi="Times New Roman"/>
          <w:sz w:val="18"/>
          <w:szCs w:val="18"/>
          <w:color w:val="auto"/>
        </w:rPr>
        <w:t>As promptly as practicable following the date hereof, the Exchange Agent shall send to each Stockholder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 holder of Shares at the Effective Time, a letter of transmittal in such form reasonably satisfactory to the Company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xml:space="preserve">”) and instructions for completing, executing and delivering (which shall specify that the delivery shall be effected, and risk of loss and title shall pass, only upon proper delivery of the Certificates or transfer of the Book-Entry Shares to the Exchange Agent), and any other customary documents that the Exchange Agent may reasonably require for use in such exchange or in connection therewith. Each Equityholder’s Shares that have been converted into the right to receive the applicable Merger Consideration shall be entitled to receive such Equityholder’s respective Merger Consideration (as determined in accordance with the Final Consideration Spreadsheet) into which such Shares have been converted pursuant to </w:t>
      </w:r>
      <w:r>
        <w:rPr>
          <w:rFonts w:ascii="Times New Roman" w:cs="Times New Roman" w:eastAsia="Times New Roman" w:hAnsi="Times New Roman"/>
          <w:sz w:val="18"/>
          <w:szCs w:val="18"/>
          <w:b w:val="1"/>
          <w:bCs w:val="1"/>
          <w:color w:val="auto"/>
        </w:rPr>
        <w:t>Section 3.01(b)</w:t>
      </w:r>
      <w:r>
        <w:rPr>
          <w:rFonts w:ascii="Times New Roman" w:cs="Times New Roman" w:eastAsia="Times New Roman" w:hAnsi="Times New Roman"/>
          <w:sz w:val="18"/>
          <w:szCs w:val="18"/>
          <w:color w:val="auto"/>
        </w:rPr>
        <w:t xml:space="preserve"> in respect of the Company Common Stock represented by a Certificate or Book-Entry Share, and any cash in lieu of fractional shares which the Stockholder has the right to receive pursuant to </w:t>
      </w:r>
      <w:r>
        <w:rPr>
          <w:rFonts w:ascii="Times New Roman" w:cs="Times New Roman" w:eastAsia="Times New Roman" w:hAnsi="Times New Roman"/>
          <w:sz w:val="18"/>
          <w:szCs w:val="18"/>
          <w:b w:val="1"/>
          <w:bCs w:val="1"/>
          <w:color w:val="auto"/>
        </w:rPr>
        <w:t>Section 3.01(e)</w:t>
      </w:r>
      <w:r>
        <w:rPr>
          <w:rFonts w:ascii="Times New Roman" w:cs="Times New Roman" w:eastAsia="Times New Roman" w:hAnsi="Times New Roman"/>
          <w:sz w:val="18"/>
          <w:szCs w:val="18"/>
          <w:color w:val="auto"/>
        </w:rPr>
        <w:t>, upon: (i) surrender to the Exchange Agent of a Certificate; or (ii) receipt of an “agent’s message” by the Exchange Agent (or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evidence, if any, of transfer as the Exchange Agent may reasonably request) in the case of Book-Entry Shares; in each case, together with a duly completed and validly executed Letter of Transmittal and such other documents as may reasonably be requested by the Exchange Agent. No interest shall be paid or accrued upon the surrender or transfer of any Book-Entry Share. Upon payment of the Merger Consideration pursuant to the provisions of this </w:t>
      </w:r>
      <w:r>
        <w:rPr>
          <w:rFonts w:ascii="Times New Roman" w:cs="Times New Roman" w:eastAsia="Times New Roman" w:hAnsi="Times New Roman"/>
          <w:sz w:val="18"/>
          <w:szCs w:val="18"/>
          <w:b w:val="1"/>
          <w:bCs w:val="1"/>
          <w:color w:val="auto"/>
        </w:rPr>
        <w:t>Article III</w:t>
      </w:r>
      <w:r>
        <w:rPr>
          <w:rFonts w:ascii="Times New Roman" w:cs="Times New Roman" w:eastAsia="Times New Roman" w:hAnsi="Times New Roman"/>
          <w:sz w:val="18"/>
          <w:szCs w:val="18"/>
          <w:color w:val="auto"/>
        </w:rPr>
        <w:t>, each Book-Entry Share or Book-Entry Shares so surrendered or transferred, as the case may be, shall immediately be cancelled and surrendered and cancelled Shares shall only retain the right to receive the Merger Consideration (to the extent not issued or paid with respect to such Book-Entry Share or Book-Entry Shares on the Closing Date).</w:t>
      </w:r>
    </w:p>
    <w:p>
      <w:pPr>
        <w:spacing w:after="0" w:line="183" w:lineRule="exact"/>
        <w:rPr>
          <w:rFonts w:ascii="Times New Roman" w:cs="Times New Roman" w:eastAsia="Times New Roman" w:hAnsi="Times New Roman"/>
          <w:sz w:val="18"/>
          <w:szCs w:val="18"/>
          <w:color w:val="auto"/>
        </w:rPr>
      </w:pPr>
    </w:p>
    <w:p>
      <w:pPr>
        <w:jc w:val="both"/>
        <w:ind w:firstLine="656"/>
        <w:spacing w:after="0" w:line="257" w:lineRule="auto"/>
        <w:tabs>
          <w:tab w:leader="none" w:pos="10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Payments to Non-Registered Holders. </w:t>
      </w:r>
      <w:r>
        <w:rPr>
          <w:rFonts w:ascii="Times New Roman" w:cs="Times New Roman" w:eastAsia="Times New Roman" w:hAnsi="Times New Roman"/>
          <w:sz w:val="18"/>
          <w:szCs w:val="18"/>
          <w:color w:val="auto"/>
        </w:rPr>
        <w:t>If any portion of the Merger Consideration is to be paid to a Person other than the Person in whose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the surrendered Certificate or the transferred Book-Entry Share, as applicable, is registered, it shall be a condition to such payment that: (i) such Certificate shall be properly endorsed or shall otherwise be in proper form for transfer or such Book-Entry Share shall be properly transferred; and (ii) the Person requesting such payment shall pay to the Exchange Agent any transfer or other Tax required as a result of such payment to a Person other than the registered holder of such Certificate or Book-Entry Share, as applicable, or establish to the reasonable satisfaction of the Exchange Agent that such Tax has been paid or is not payable.</w:t>
      </w:r>
    </w:p>
    <w:p>
      <w:pPr>
        <w:spacing w:after="0" w:line="182" w:lineRule="exact"/>
        <w:rPr>
          <w:rFonts w:ascii="Times New Roman" w:cs="Times New Roman" w:eastAsia="Times New Roman" w:hAnsi="Times New Roman"/>
          <w:sz w:val="18"/>
          <w:szCs w:val="18"/>
          <w:color w:val="auto"/>
        </w:rPr>
      </w:pPr>
    </w:p>
    <w:p>
      <w:pPr>
        <w:jc w:val="both"/>
        <w:ind w:firstLine="656"/>
        <w:spacing w:after="0" w:line="256" w:lineRule="auto"/>
        <w:tabs>
          <w:tab w:leader="none" w:pos="10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of Exchange Fund. </w:t>
      </w:r>
      <w:r>
        <w:rPr>
          <w:rFonts w:ascii="Times New Roman" w:cs="Times New Roman" w:eastAsia="Times New Roman" w:hAnsi="Times New Roman"/>
          <w:sz w:val="18"/>
          <w:szCs w:val="18"/>
          <w:color w:val="auto"/>
        </w:rPr>
        <w:t>Any portion of the Merger Consideration that remains unclaimed by the Stockholders twelve (12)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after the Effective Time shall be returned to Parent, upon demand, and any such Stockholder who has not exchanged Shares for the applicable Merger Consideration in accordance with this </w:t>
      </w:r>
      <w:r>
        <w:rPr>
          <w:rFonts w:ascii="Times New Roman" w:cs="Times New Roman" w:eastAsia="Times New Roman" w:hAnsi="Times New Roman"/>
          <w:sz w:val="18"/>
          <w:szCs w:val="18"/>
          <w:b w:val="1"/>
          <w:bCs w:val="1"/>
          <w:color w:val="auto"/>
        </w:rPr>
        <w:t>Section 3.03</w:t>
      </w:r>
      <w:r>
        <w:rPr>
          <w:rFonts w:ascii="Times New Roman" w:cs="Times New Roman" w:eastAsia="Times New Roman" w:hAnsi="Times New Roman"/>
          <w:sz w:val="18"/>
          <w:szCs w:val="18"/>
          <w:color w:val="auto"/>
        </w:rPr>
        <w:t xml:space="preserve"> prior to that time shall thereafter look only to Parent for payment of the applicable Merger Consideration. Notwithstanding the foregoing, Parent shall not be liable to any Stockholder for any amounts paid to a public official pursuant to applicable abandoned property, escheat or similar Laws. Any amounts remaining unclaimed by Stockholders two (2) years after the Effective Time (or such earlier date, immediately prior to such time when the amounts would otherwise escheat to or become property of any Governmental Entity) shall become, to the extent permitted by applicable Law, the property of Parent free and clear of any claims or interest of any Person previously entitled thereto.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ind w:right="20" w:firstLine="656"/>
        <w:spacing w:after="0" w:line="282" w:lineRule="auto"/>
        <w:tabs>
          <w:tab w:leader="none" w:pos="10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the Merger Consideration made available to the Exchange Agent in respect of any Dissenting Shares shall be returned to Parent, upon demand.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0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pay, or cause the Surviving Corporation to pay, all charges and expenses, including those of the Exchange Agent, in connection with the exchange of Shares for the Merger Consideration.</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3.04 Shares of Parent Common Stock. </w:t>
      </w:r>
      <w:r>
        <w:rPr>
          <w:rFonts w:ascii="Times New Roman" w:cs="Times New Roman" w:eastAsia="Times New Roman" w:hAnsi="Times New Roman"/>
          <w:sz w:val="18"/>
          <w:szCs w:val="18"/>
          <w:color w:val="auto"/>
        </w:rPr>
        <w:t>The shares of Parent Common Stock issuable pursuant to this Agreement to the Equityholders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who are Accredited Persons are intended to be issued pursuant to Section 4(a)(2) of the Securities Act, and/or Regulation D promulgated thereunder. The issuance of such Parent Common Stock to such Equityholders is not being registered with the SEC under the Securities Act or being qualified under any other applicable securities laws, but instead such shares of Parent Common Stock are being issued under an exemption or exemptions from the registration and qualification requirements of the Securities Act and any other applicable securities. The shares of Parent Common Stock issued by Parent to the Stock Recipients pursuant to this </w:t>
      </w:r>
      <w:r>
        <w:rPr>
          <w:rFonts w:ascii="Times New Roman" w:cs="Times New Roman" w:eastAsia="Times New Roman" w:hAnsi="Times New Roman"/>
          <w:sz w:val="18"/>
          <w:szCs w:val="18"/>
          <w:b w:val="1"/>
          <w:bCs w:val="1"/>
          <w:color w:val="auto"/>
        </w:rPr>
        <w:t>Article III</w:t>
      </w:r>
      <w:r>
        <w:rPr>
          <w:rFonts w:ascii="Times New Roman" w:cs="Times New Roman" w:eastAsia="Times New Roman" w:hAnsi="Times New Roman"/>
          <w:sz w:val="18"/>
          <w:szCs w:val="18"/>
          <w:color w:val="auto"/>
        </w:rPr>
        <w:t xml:space="preserve"> shall be placed in a restrictive class and:</w:t>
      </w:r>
    </w:p>
    <w:p>
      <w:pPr>
        <w:spacing w:after="0" w:line="186" w:lineRule="exact"/>
        <w:rPr>
          <w:sz w:val="20"/>
          <w:szCs w:val="20"/>
          <w:color w:val="auto"/>
        </w:rPr>
      </w:pPr>
    </w:p>
    <w:p>
      <w:pPr>
        <w:ind w:firstLine="656"/>
        <w:spacing w:after="0" w:line="282" w:lineRule="auto"/>
        <w:tabs>
          <w:tab w:leader="none" w:pos="11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shares of Parent Common Stock issued to Accredited Investors, unless otherwise registered under the Securities Act pursuant to an effective registration statement, such shares shall bear the following legend:</w:t>
      </w:r>
    </w:p>
    <w:p>
      <w:pPr>
        <w:spacing w:after="0" w:line="162" w:lineRule="exact"/>
        <w:rPr>
          <w:sz w:val="20"/>
          <w:szCs w:val="20"/>
          <w:color w:val="auto"/>
        </w:rPr>
      </w:pPr>
    </w:p>
    <w:p>
      <w:pPr>
        <w:jc w:val="both"/>
        <w:ind w:left="980" w:right="720"/>
        <w:spacing w:after="0" w:line="255"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(THE “SECURITIES ACT”), OR THE SECURITIES LAWS OF ANY STATE OF THE UNITED STATES OR IN ANY OTHER JURISDICTION. THE SECURITIES REPRESENTED HEREBY MAY NOT BE SOLD, OFFERED FOR SALE, PLEDGED, HYPOTHECATED, OR OTHERWISE TRANSFERRED EXCEPT PURSUANT TO AN EFFECTIVE REGISTRATION STATEMENT UNDER THE SECURITIES ACT, OR AN OPINION OF COUNSEL SATISFACTORY TO THE COMPANY THAT REGISTRATION IS NOT REQUIRED UNDER SUCH ACT OR UNLESS SOLD PURSUANT TO RULE 144 UNDER SUCH ACT.”</w:t>
      </w:r>
    </w:p>
    <w:p>
      <w:pPr>
        <w:spacing w:after="0" w:line="200" w:lineRule="exact"/>
        <w:rPr>
          <w:sz w:val="20"/>
          <w:szCs w:val="20"/>
          <w:color w:val="auto"/>
        </w:rPr>
      </w:pPr>
    </w:p>
    <w:p>
      <w:pPr>
        <w:spacing w:after="0" w:line="205" w:lineRule="exact"/>
        <w:rPr>
          <w:sz w:val="20"/>
          <w:szCs w:val="20"/>
          <w:color w:val="auto"/>
        </w:rPr>
      </w:pPr>
    </w:p>
    <w:p>
      <w:pPr>
        <w:ind w:left="1040" w:hanging="384"/>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shares of Parent Common Stock issued to Non-U.S. Persons, such shares shall bear the following legends:</w:t>
      </w:r>
    </w:p>
    <w:p>
      <w:pPr>
        <w:spacing w:after="0" w:line="225" w:lineRule="exact"/>
        <w:rPr>
          <w:rFonts w:ascii="Times New Roman" w:cs="Times New Roman" w:eastAsia="Times New Roman" w:hAnsi="Times New Roman"/>
          <w:sz w:val="18"/>
          <w:szCs w:val="18"/>
          <w:color w:val="auto"/>
        </w:rPr>
      </w:pPr>
    </w:p>
    <w:p>
      <w:pPr>
        <w:jc w:val="both"/>
        <w:ind w:left="980" w:right="720"/>
        <w:spacing w:after="0" w:line="254" w:lineRule="auto"/>
        <w:tabs>
          <w:tab w:leader="none" w:pos="120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REPRESENTED BY THIS CERTIFICATE ARE BEING OFFERED TO INVESTORS WHO ARE NOT U.S. PERSONS (AS DEFINED IN REGULATION S UNDER THE SECURITIES ACT OF 1933, AS AMENDED (THE “SECURITIES ACT”)) AND WITHOUT REGISTRATION WITH THE UNITED STATES SECURITIES AND EXCHANGE COMMISSION UNDER THE SECURITIES ACT IN RELIANCE UPON REGULATION S PROMULGATED UNDER THE SECURITIES ACT. THE SECURITIES REPRESENTED BY THIS CERTIFICATE MAY NOT BE SOLD OR TRANSFERRED EXCEPT IN ACCORDANCE WITH THE PROVISIONS OF REGULATION S UNDER THE SECURITIES ACT, PURSUANT TO REGISTRATION UNDER THE SECURITIES ACT, OR PURSUANT TO AN AVAILABLE EXEMPTION FROM REGISTRATION. HEDGING TRANSACTIONS WITH REGARD TO THESE SECURITIES MAY NOT BE CONDUCTED UNLESS IN COMPLIANCE WITH THE SECURITIES ACT.”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jc w:val="both"/>
        <w:ind w:left="980" w:right="720"/>
        <w:spacing w:after="0" w:line="252" w:lineRule="auto"/>
        <w:tabs>
          <w:tab w:leader="none" w:pos="125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“SUBSCRIPTIONS MAY BE ACCEPTED ONLY FROM A PERSON THAT, AT ANY TIME THE BUY ORDER FOR THE SECURITIES IS ORIGINATED, IS OUTSIDE THE UNITED STATES, ITS TERRITORIES AND POSSESSIONS, AND IS NOT A U.S. PERSON (AS DEFINED IN REGULATION S), WAS NOT FORMED UNDER THE LAWS OF ANY UNITED STATES JURISDICTION, WAS NOT FORMED FOR THE PURPOSE OF INVESTING IN SECURITIES NOT REGISTERED UNDER THE SECURITIES ACT, AND IS NOT PURCHASING THE SECURITIES FOR THE ACCOUNT OR BENEFIT OF A U.S. PERSON, WITHIN THE MEANING OF REGULATION S UNDER THE ACT. BY SIGNING THE SHARE PURCHASE AGREEMENT, A PERSON UNDER REGULATION S CERTIFIES TO THE COMPANY THAT IT QUALIFIES AS A NON-U.S. PERSON AND IS THEREFORE ELIGIBLE TO PURCHASE SECURITIES IN THE OFFERING, THAT IT IS NOT PURCHASING THE SECURITIES AS A RESULT OF OR IN CONNECTION WITH ANY ACTIVITY THAT WOULD CONSTITUTE “DIRECTED SELLING EFFORTS” (WITHIN THE MEANING GIVEN TO SUCH TERM IN REGULATION S) IN THE UNITED STATES, THAT IT WILL NOT BECOME AN AFFILIATE OF THE COMPANY AS A RESULT OF THE PURCHASE OF THE SECURITIES, THAT NO OFFER OR SALE OF THE SECURITIES WAS MADE TO SUCH PERSON IN THE UNITED STATES, AND THAT SUCH PERSON IS NOT PURCHASING THE SECURITIES WITH A VIEW TO THEIR DISTRIBUTION IN VIOLATION OF THE SECURITIES ACT.”</w:t>
      </w:r>
    </w:p>
    <w:p>
      <w:pPr>
        <w:spacing w:after="0" w:line="197" w:lineRule="exact"/>
        <w:rPr>
          <w:rFonts w:ascii="Times New Roman" w:cs="Times New Roman" w:eastAsia="Times New Roman" w:hAnsi="Times New Roman"/>
          <w:sz w:val="18"/>
          <w:szCs w:val="18"/>
          <w:color w:val="auto"/>
        </w:rPr>
      </w:pPr>
    </w:p>
    <w:p>
      <w:pPr>
        <w:jc w:val="both"/>
        <w:ind w:left="980" w:right="720"/>
        <w:spacing w:after="0" w:line="261" w:lineRule="auto"/>
        <w:tabs>
          <w:tab w:leader="none" w:pos="137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UNDER REGULATION S ARE ADVISED THAT NO OFFERS OR SALES OF THE SHARES REPRESENTED BY THIS CERTIFICATE MAY BE MADE IN THE UNITED STATES OR TO U.S. PERSONS UNLESS THE SHARES HAVE BEEN REGISTERED UNDER THE SECURITIES ACT, OR AN EXEMPTION FROM REGISTRATION IS AVAILABLE.”</w:t>
      </w:r>
    </w:p>
    <w:p>
      <w:pPr>
        <w:spacing w:after="0" w:line="179" w:lineRule="exact"/>
        <w:rPr>
          <w:rFonts w:ascii="Times New Roman" w:cs="Times New Roman" w:eastAsia="Times New Roman" w:hAnsi="Times New Roman"/>
          <w:sz w:val="18"/>
          <w:szCs w:val="18"/>
          <w:color w:val="auto"/>
        </w:rPr>
      </w:pPr>
    </w:p>
    <w:p>
      <w:pPr>
        <w:ind w:left="980" w:right="720"/>
        <w:spacing w:after="0" w:line="282" w:lineRule="auto"/>
        <w:tabs>
          <w:tab w:leader="none" w:pos="130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legend required to be placed thereon by applicable United States federal or state, European Union or other applicable securities laws.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1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shares of Parent Common Stock issued to the Company’s officers, and holders of more than 10% of Company Common Stock immediately prior to the Effective Time, such shares shall bear the following legend, in addition to any applicable legend set forth in Section 3.04(a) or Section 3.04(b), above:</w:t>
      </w:r>
    </w:p>
    <w:p>
      <w:pPr>
        <w:spacing w:after="0" w:line="176" w:lineRule="exact"/>
        <w:rPr>
          <w:sz w:val="20"/>
          <w:szCs w:val="20"/>
          <w:color w:val="auto"/>
        </w:rPr>
      </w:pPr>
    </w:p>
    <w:p>
      <w:pPr>
        <w:ind w:left="980" w:right="1000"/>
        <w:spacing w:after="0" w:line="266" w:lineRule="auto"/>
        <w:rPr>
          <w:sz w:val="20"/>
          <w:szCs w:val="20"/>
          <w:color w:val="auto"/>
        </w:rPr>
      </w:pPr>
      <w:r>
        <w:rPr>
          <w:rFonts w:ascii="Times New Roman" w:cs="Times New Roman" w:eastAsia="Times New Roman" w:hAnsi="Times New Roman"/>
          <w:sz w:val="18"/>
          <w:szCs w:val="18"/>
          <w:color w:val="auto"/>
        </w:rPr>
        <w:t>“THE SHARES REPRESENTED BY THIS CERTIFICATE ARE SUBJECT TO RESTRICTIONS ON TRANSFERABILITY AND RESALE, INCLUDING A LOCK-UP PERIOD, AS SET FORTH IN AN AGREEMENT, COPIES OF WHICH MAY BE OBTAINED FROM THE PRINCIPAL OFFICE OF THE COMPANY.”</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3.05 No Further Ownership Rights in Company Common Stock. </w:t>
      </w:r>
      <w:r>
        <w:rPr>
          <w:rFonts w:ascii="Times New Roman" w:cs="Times New Roman" w:eastAsia="Times New Roman" w:hAnsi="Times New Roman"/>
          <w:sz w:val="18"/>
          <w:szCs w:val="18"/>
          <w:color w:val="auto"/>
        </w:rPr>
        <w:t>All Merger Consideration paid or payable upon the surrender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Certificates or transfer of Book-Entry Shares in accordance with the terms hereof shall be deemed to have been paid or payable in full satisfaction of all rights pertaining to such Shares formerly represented by such Certificate or Book-Entry Shares, and from and after the Effective Time, there shall be no further registration of transfers of shares of Company Common Stock on the stock transfer books of the Surviving Corporation. If, after the Effective Time, Certificates or Book-Entry Shares are presented to the Surviving Corporation, they shall be cancelled and exchanged for the Merger Consideration provided for, and in accordance with the procedures set forth, in this </w:t>
      </w:r>
      <w:r>
        <w:rPr>
          <w:rFonts w:ascii="Times New Roman" w:cs="Times New Roman" w:eastAsia="Times New Roman" w:hAnsi="Times New Roman"/>
          <w:sz w:val="18"/>
          <w:szCs w:val="18"/>
          <w:b w:val="1"/>
          <w:bCs w:val="1"/>
          <w:color w:val="auto"/>
        </w:rPr>
        <w:t>Article III</w:t>
      </w:r>
      <w:r>
        <w:rPr>
          <w:rFonts w:ascii="Times New Roman" w:cs="Times New Roman" w:eastAsia="Times New Roman" w:hAnsi="Times New Roman"/>
          <w:sz w:val="18"/>
          <w:szCs w:val="18"/>
          <w:color w:val="auto"/>
        </w:rPr>
        <w:t>, the Final Merger Consideration Spreadsheet and elsewhere in this Agreement.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3.06 Adjustments. </w:t>
      </w:r>
      <w:r>
        <w:rPr>
          <w:rFonts w:ascii="Times New Roman" w:cs="Times New Roman" w:eastAsia="Times New Roman" w:hAnsi="Times New Roman"/>
          <w:sz w:val="18"/>
          <w:szCs w:val="18"/>
          <w:color w:val="auto"/>
        </w:rPr>
        <w:t>Without limiting the other provisions of this Agreement, if at any time during the period between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and the Effective Time, any change in the outstanding shares of capital stock of the Company shall occur, including by reason of any reclassification, recapitalization, stock split (including reverse stock split) or combination, exchange or readjustment of shares, or any stock dividend or distribution paid in stock, the Merger Consideration and any other amounts payable pursuant to this Agreement shall be appropriately adjusted to reflect such change;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sentence shall not be construed to permit the Company to take any action with respect to its securities that is prohibited by the terms of this Agreement. Without limiting the other provisions of this Agreement, if at any time during the period between the date of this Agreement and the Effective Time, any change in the outstanding shares of Parent Common Stock, including by reason of any reclassification, recapitalization, stock split (including reverse stock split) or combination, exchange or readjustment of shares, or any stock dividend or distribution in respect of Parent Common Stock, the Merger Consideration and any other amounts payable pursuant to this Agreement shall be appropriately adjusted to reflect such change.</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3.07 Withholding Rights. </w:t>
      </w:r>
      <w:r>
        <w:rPr>
          <w:rFonts w:ascii="Times New Roman" w:cs="Times New Roman" w:eastAsia="Times New Roman" w:hAnsi="Times New Roman"/>
          <w:sz w:val="18"/>
          <w:szCs w:val="18"/>
          <w:color w:val="auto"/>
        </w:rPr>
        <w:t>Each of the Exchange Agent, Parent, Merger Sub and the Surviving Corporation shall be entitled to deduct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withhold from the consideration otherwise payable to any Person pursuant to this </w:t>
      </w:r>
      <w:r>
        <w:rPr>
          <w:rFonts w:ascii="Times New Roman" w:cs="Times New Roman" w:eastAsia="Times New Roman" w:hAnsi="Times New Roman"/>
          <w:sz w:val="18"/>
          <w:szCs w:val="18"/>
          <w:b w:val="1"/>
          <w:bCs w:val="1"/>
          <w:color w:val="auto"/>
        </w:rPr>
        <w:t>Article III</w:t>
      </w:r>
      <w:r>
        <w:rPr>
          <w:rFonts w:ascii="Times New Roman" w:cs="Times New Roman" w:eastAsia="Times New Roman" w:hAnsi="Times New Roman"/>
          <w:sz w:val="18"/>
          <w:szCs w:val="18"/>
          <w:color w:val="auto"/>
        </w:rPr>
        <w:t xml:space="preserve"> such amounts as may be required to be deducted and withheld with respect to the making of such payment under any provision of Tax Laws;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Person intending to deduct or withhold shall use reasonable efforts to notify such Persons of any amounts otherwise payable to such Persons that it intends to deduct and withhold at least five (5) Business Days prior to the due date for any relevant payment, other than required withholdings in respect of In-Money Options or other compensatory payments for income, employment and similar Taxes. To the extent that amounts are so deducted and withheld by the Exchange Agent, Parent, Merger Sub or the Surviving Corporation, as the case may be, such amounts shall be treated for all purposes of this Agreement as having been paid to the Person in respect of which the Exchange Agent, Parent, Merger Sub or the Surviving Corporation, as the case may be, made such deduction and withholding.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3.08 Lost Certificates. </w:t>
      </w:r>
      <w:r>
        <w:rPr>
          <w:rFonts w:ascii="Times New Roman" w:cs="Times New Roman" w:eastAsia="Times New Roman" w:hAnsi="Times New Roman"/>
          <w:sz w:val="18"/>
          <w:szCs w:val="18"/>
          <w:color w:val="auto"/>
        </w:rPr>
        <w:t>If any Certificate shall have been lost, stolen or destroyed, upon the making of an affidavit of that fact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Person claiming such Certificate to be lost, stolen or destroyed and, if required by Parent, the posting by such Person of a bond, in such reasonable amount as Parent may direct, as indemnity against any claim that may be made against it with respect to such Certificate, the Exchange Agent shall issue, in exchange for such lost, stolen or destroyed Certificate, the Merger Consideration to be paid in respect of the Shares formerly represented by such Certificate as contemplated under this </w:t>
      </w:r>
      <w:r>
        <w:rPr>
          <w:rFonts w:ascii="Times New Roman" w:cs="Times New Roman" w:eastAsia="Times New Roman" w:hAnsi="Times New Roman"/>
          <w:sz w:val="18"/>
          <w:szCs w:val="18"/>
          <w:b w:val="1"/>
          <w:bCs w:val="1"/>
          <w:color w:val="auto"/>
        </w:rPr>
        <w:t>Article III</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3.09</w:t>
      </w:r>
      <w:r>
        <w:rPr>
          <w:sz w:val="20"/>
          <w:szCs w:val="20"/>
          <w:color w:val="auto"/>
        </w:rPr>
        <w:tab/>
      </w:r>
      <w:r>
        <w:rPr>
          <w:rFonts w:ascii="Times New Roman" w:cs="Times New Roman" w:eastAsia="Times New Roman" w:hAnsi="Times New Roman"/>
          <w:sz w:val="17"/>
          <w:szCs w:val="17"/>
          <w:b w:val="1"/>
          <w:bCs w:val="1"/>
          <w:color w:val="auto"/>
        </w:rPr>
        <w:t>Closing Indebtedness and Assets.</w:t>
      </w:r>
    </w:p>
    <w:p>
      <w:pPr>
        <w:spacing w:after="0" w:line="229" w:lineRule="exact"/>
        <w:rPr>
          <w:sz w:val="20"/>
          <w:szCs w:val="20"/>
          <w:color w:val="auto"/>
        </w:rPr>
      </w:pPr>
    </w:p>
    <w:p>
      <w:pPr>
        <w:jc w:val="both"/>
        <w:ind w:firstLine="656"/>
        <w:spacing w:after="0" w:line="256"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Company shall prepare and deliver to Parent a Closing Indebtedness Statement, which statement shall contain an estimated balance sheet of the Company as of the Closing Date (without giving effect to the transactions contemplated herein), a calculation of Indebtedness as of the Closing Date, and a certificate executed by the Company’s Chief Executive Officer that the Closing Indebtedness Statement was prepared using the same accounting methods, practices, principles, policies and procedures, with consistent classifications, judgments and valuation and estimation methodologies that were used in the preparation of the Financial Statements for the most recent fiscal year end as if such Closing Indebtedness Statement was being prepared as of a fiscal year end.</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0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the Closing Merger Consideration shall be reduced in an amount equal to the amount of outstanding Indebtedness as of Closing as set for in the Closing Indebtedness Certificate, pro-rata between the Merger Consideration due to Stock Recipients and Cash Recipients.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dispose of all shares of Parent Common Stock held by the Company prior to the Effective Time by sale to such Persons as the Company’s Board of Directors may decide, and such shares of Parent Common Stock shall, in no event, be the property of or an asset that is retained by Parent, Merger Sub, the Surviving Corporation or any Affiliate thereto.</w:t>
      </w:r>
    </w:p>
    <w:p>
      <w:pPr>
        <w:spacing w:after="0" w:line="172"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3.10</w:t>
      </w:r>
      <w:r>
        <w:rPr>
          <w:sz w:val="20"/>
          <w:szCs w:val="20"/>
          <w:color w:val="auto"/>
        </w:rPr>
        <w:tab/>
      </w:r>
      <w:r>
        <w:rPr>
          <w:rFonts w:ascii="Times New Roman" w:cs="Times New Roman" w:eastAsia="Times New Roman" w:hAnsi="Times New Roman"/>
          <w:sz w:val="17"/>
          <w:szCs w:val="17"/>
          <w:b w:val="1"/>
          <w:bCs w:val="1"/>
          <w:color w:val="auto"/>
        </w:rPr>
        <w:t>Consideration Spreadsheet.</w:t>
      </w:r>
    </w:p>
    <w:p>
      <w:pPr>
        <w:spacing w:after="0" w:line="225" w:lineRule="exact"/>
        <w:rPr>
          <w:sz w:val="20"/>
          <w:szCs w:val="20"/>
          <w:color w:val="auto"/>
        </w:rPr>
      </w:pPr>
    </w:p>
    <w:p>
      <w:pPr>
        <w:jc w:val="both"/>
        <w:ind w:firstLine="656"/>
        <w:spacing w:after="0" w:line="268" w:lineRule="auto"/>
        <w:tabs>
          <w:tab w:leader="none" w:pos="10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(3) Business Days before the Closing, the Company shall prepare and deliver to Parent a spreadsheet (the “</w:t>
      </w:r>
      <w:r>
        <w:rPr>
          <w:rFonts w:ascii="Times New Roman" w:cs="Times New Roman" w:eastAsia="Times New Roman" w:hAnsi="Times New Roman"/>
          <w:sz w:val="18"/>
          <w:szCs w:val="18"/>
          <w:b w:val="1"/>
          <w:bCs w:val="1"/>
          <w:color w:val="auto"/>
        </w:rPr>
        <w:t>Estimated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 Spreadsheet</w:t>
      </w:r>
      <w:r>
        <w:rPr>
          <w:rFonts w:ascii="Times New Roman" w:cs="Times New Roman" w:eastAsia="Times New Roman" w:hAnsi="Times New Roman"/>
          <w:sz w:val="18"/>
          <w:szCs w:val="18"/>
          <w:color w:val="auto"/>
        </w:rPr>
        <w:t>”), certified by the Chief Executive Officer of the Company, which shall set forth, as of the Closing Date and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Effective Date, the following:</w:t>
      </w:r>
    </w:p>
    <w:p>
      <w:pPr>
        <w:spacing w:after="0" w:line="174" w:lineRule="exact"/>
        <w:rPr>
          <w:rFonts w:ascii="Times New Roman" w:cs="Times New Roman" w:eastAsia="Times New Roman" w:hAnsi="Times New Roman"/>
          <w:sz w:val="18"/>
          <w:szCs w:val="18"/>
          <w:color w:val="auto"/>
        </w:rPr>
      </w:pPr>
    </w:p>
    <w:p>
      <w:pPr>
        <w:ind w:left="1500" w:hanging="358"/>
        <w:spacing w:after="0"/>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last known contact information of all Equityholders and the number of Shares held by such Persons;</w:t>
      </w:r>
    </w:p>
    <w:p>
      <w:pPr>
        <w:spacing w:after="0" w:line="221" w:lineRule="exact"/>
        <w:rPr>
          <w:rFonts w:ascii="Times New Roman" w:cs="Times New Roman" w:eastAsia="Times New Roman" w:hAnsi="Times New Roman"/>
          <w:sz w:val="18"/>
          <w:szCs w:val="18"/>
          <w:color w:val="auto"/>
        </w:rPr>
      </w:pPr>
    </w:p>
    <w:p>
      <w:pPr>
        <w:ind w:firstLine="1142"/>
        <w:spacing w:after="0" w:line="286" w:lineRule="auto"/>
        <w:tabs>
          <w:tab w:leader="none" w:pos="154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estimated calculations of the Merger Consideration due at Closing, including any estimated adjustments pursuant to </w:t>
      </w:r>
      <w:r>
        <w:rPr>
          <w:rFonts w:ascii="Times New Roman" w:cs="Times New Roman" w:eastAsia="Times New Roman" w:hAnsi="Times New Roman"/>
          <w:sz w:val="18"/>
          <w:szCs w:val="18"/>
          <w:b w:val="1"/>
          <w:bCs w:val="1"/>
          <w:color w:val="auto"/>
        </w:rPr>
        <w:t>Section 3.09</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Closing Merger Consideration</w:t>
      </w:r>
      <w:r>
        <w:rPr>
          <w:rFonts w:ascii="Times New Roman" w:cs="Times New Roman" w:eastAsia="Times New Roman" w:hAnsi="Times New Roman"/>
          <w:sz w:val="18"/>
          <w:szCs w:val="18"/>
          <w:color w:val="auto"/>
        </w:rPr>
        <w:t>”), Fully Diluted Share Number and the applicable Merger Consideration to be delivered per Share at Closing; and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jc w:val="both"/>
        <w:ind w:firstLine="1142"/>
        <w:spacing w:after="0" w:line="266" w:lineRule="auto"/>
        <w:tabs>
          <w:tab w:leader="none" w:pos="16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estimate of each Stockholder’s Pro Rata Share (as a percentage interest and the interest in dollar terms using the most recent closing price of Parent’s Common Stock as listed on Nasdaq as of the date the Company prepares the Estimated Consideration Spreadsheet) of the Closing Merger Consideration.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the Closing Price is definitely known by the Parent and the Company, the Company shall begin preparing and shall deliver to Parent, as soon as practically possible, an update and final spreadsheet (the “</w:t>
      </w:r>
      <w:r>
        <w:rPr>
          <w:rFonts w:ascii="Times New Roman" w:cs="Times New Roman" w:eastAsia="Times New Roman" w:hAnsi="Times New Roman"/>
          <w:sz w:val="18"/>
          <w:szCs w:val="18"/>
          <w:b w:val="1"/>
          <w:bCs w:val="1"/>
          <w:color w:val="auto"/>
        </w:rPr>
        <w:t>Final Merger Consideration Spreadsheet</w:t>
      </w:r>
      <w:r>
        <w:rPr>
          <w:rFonts w:ascii="Times New Roman" w:cs="Times New Roman" w:eastAsia="Times New Roman" w:hAnsi="Times New Roman"/>
          <w:sz w:val="18"/>
          <w:szCs w:val="18"/>
          <w:color w:val="auto"/>
        </w:rPr>
        <w:t>”), certified by the Chief Executive Officer of the Company, which shall set forth, as of the Closing Date and immediately prior to the Effective Date, all of the items set forth in the Estimated Merger Consideration Spreadsheet.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0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Parent and Merger Sub shall be entitled to rely on the Final Merger Consideration Spreadsheet in making payments this </w:t>
      </w:r>
      <w:r>
        <w:rPr>
          <w:rFonts w:ascii="Times New Roman" w:cs="Times New Roman" w:eastAsia="Times New Roman" w:hAnsi="Times New Roman"/>
          <w:sz w:val="18"/>
          <w:szCs w:val="18"/>
          <w:b w:val="1"/>
          <w:bCs w:val="1"/>
          <w:color w:val="auto"/>
        </w:rPr>
        <w:t xml:space="preserve">Article III </w:t>
      </w:r>
      <w:r>
        <w:rPr>
          <w:rFonts w:ascii="Times New Roman" w:cs="Times New Roman" w:eastAsia="Times New Roman" w:hAnsi="Times New Roman"/>
          <w:sz w:val="18"/>
          <w:szCs w:val="18"/>
          <w:color w:val="auto"/>
        </w:rPr>
        <w:t>and Parent and Merger Sub shall not be responsible for the calculations or the determinations regarding such calculations in such Final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Spreadsheet.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EPRESENTATIONS AND WARRANTIES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Except as set forth in the correspondingly numbered Section of the Disclosure Schedules, the Company represents and warrants to Parent that the statements contained in this </w:t>
      </w:r>
      <w:r>
        <w:rPr>
          <w:rFonts w:ascii="Times New Roman" w:cs="Times New Roman" w:eastAsia="Times New Roman" w:hAnsi="Times New Roman"/>
          <w:sz w:val="18"/>
          <w:szCs w:val="18"/>
          <w:b w:val="1"/>
          <w:bCs w:val="1"/>
          <w:color w:val="auto"/>
        </w:rPr>
        <w:t>Article IV</w:t>
      </w:r>
      <w:r>
        <w:rPr>
          <w:rFonts w:ascii="Times New Roman" w:cs="Times New Roman" w:eastAsia="Times New Roman" w:hAnsi="Times New Roman"/>
          <w:sz w:val="18"/>
          <w:szCs w:val="18"/>
          <w:color w:val="auto"/>
        </w:rPr>
        <w:t xml:space="preserve"> are true and correct as of the date hereof.</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4.01 Organization and Qualification of the Company. </w:t>
      </w:r>
      <w:r>
        <w:rPr>
          <w:rFonts w:ascii="Times New Roman" w:cs="Times New Roman" w:eastAsia="Times New Roman" w:hAnsi="Times New Roman"/>
          <w:sz w:val="18"/>
          <w:szCs w:val="18"/>
          <w:color w:val="auto"/>
        </w:rPr>
        <w:t>The Company is a corporation duly organized, validly existing and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standing under the Laws of the state of Delaware and has full corporate power and authority to own, operate or lease the properties and assets now owned, operated or leased by it and to carry on its business as it is currently conducted. </w:t>
      </w:r>
      <w:r>
        <w:rPr>
          <w:rFonts w:ascii="Times New Roman" w:cs="Times New Roman" w:eastAsia="Times New Roman" w:hAnsi="Times New Roman"/>
          <w:sz w:val="18"/>
          <w:szCs w:val="18"/>
          <w:b w:val="1"/>
          <w:bCs w:val="1"/>
          <w:color w:val="auto"/>
        </w:rPr>
        <w:t>Section 4.01</w:t>
      </w:r>
      <w:r>
        <w:rPr>
          <w:rFonts w:ascii="Times New Roman" w:cs="Times New Roman" w:eastAsia="Times New Roman" w:hAnsi="Times New Roman"/>
          <w:sz w:val="18"/>
          <w:szCs w:val="18"/>
          <w:color w:val="auto"/>
        </w:rPr>
        <w:t xml:space="preserve"> of the Disclosure Schedules sets forth each jurisdiction in which the Company is licensed or qualified to do business, and the Company is duly licensed or qualified to do business and is in good standing in each jurisdiction in which the properties owned or leased by it or the operation of its business as currently conducted makes such licensing or qualification necessary.</w:t>
      </w:r>
    </w:p>
    <w:p>
      <w:pPr>
        <w:spacing w:after="0" w:line="18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Section 4.02</w:t>
      </w:r>
      <w:r>
        <w:rPr>
          <w:sz w:val="20"/>
          <w:szCs w:val="20"/>
          <w:color w:val="auto"/>
        </w:rPr>
        <w:tab/>
      </w:r>
      <w:r>
        <w:rPr>
          <w:rFonts w:ascii="Times New Roman" w:cs="Times New Roman" w:eastAsia="Times New Roman" w:hAnsi="Times New Roman"/>
          <w:sz w:val="17"/>
          <w:szCs w:val="17"/>
          <w:b w:val="1"/>
          <w:bCs w:val="1"/>
          <w:color w:val="auto"/>
        </w:rPr>
        <w:t>Authority; Board Approval.</w:t>
      </w:r>
    </w:p>
    <w:p>
      <w:pPr>
        <w:spacing w:after="0" w:line="229" w:lineRule="exact"/>
        <w:rPr>
          <w:sz w:val="20"/>
          <w:szCs w:val="20"/>
          <w:color w:val="auto"/>
        </w:rPr>
      </w:pPr>
    </w:p>
    <w:p>
      <w:pPr>
        <w:jc w:val="both"/>
        <w:ind w:firstLine="656"/>
        <w:spacing w:after="0" w:line="252" w:lineRule="auto"/>
        <w:tabs>
          <w:tab w:leader="none" w:pos="112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full corporate power and authority to enter into and perform its obligations under this Agreement and the Ancillary Documents to which it is a party and, subject to, in the case of the consummation of the Merger, approval and adoption of this Agreement by action by written consent of the Stockholders of the Company in lieu of a meeting , to consummate the transactions contemplated hereby and thereby (the “</w:t>
      </w:r>
      <w:r>
        <w:rPr>
          <w:rFonts w:ascii="Times New Roman" w:cs="Times New Roman" w:eastAsia="Times New Roman" w:hAnsi="Times New Roman"/>
          <w:sz w:val="18"/>
          <w:szCs w:val="18"/>
          <w:b w:val="1"/>
          <w:b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Consent Requirement</w:t>
      </w:r>
      <w:r>
        <w:rPr>
          <w:rFonts w:ascii="Times New Roman" w:cs="Times New Roman" w:eastAsia="Times New Roman" w:hAnsi="Times New Roman"/>
          <w:sz w:val="18"/>
          <w:szCs w:val="18"/>
          <w:color w:val="auto"/>
        </w:rPr>
        <w:t>”). The execution, delivery and performance by the Company of this Agreement and any Ancillary Document to which it is a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consummation by the Company of the transactions contemplated hereby and thereby have been duly authorized by all requisite corporate action on the part of the Company and no other corporate proceedings on the part of the Company are necessary to authorize the execution, delivery and performance of this Agreement or to consummate the Merger and the other transactions contemplated hereby and thereby, subject only, in the case of consummation of the Merger, to the receipt of the DE Consent Requirement. Except as otherwise agreed to in this Agreement, the DE Consent Requirement is the only vote or consent of the holders of any class or series of the Company’s capital stock required to approve and adopt this Agreement and the Ancillary Documents, approve the Merger and consummate the Merger and the other transactions contemplated hereby and thereby. This Agreement has been duly executed and delivered by the Company, and (assuming due authorization, execution and delivery by each other party hereto) this Agreement constitutes a legal, valid and binding obligation of the Company enforceable against the Company in accordance with its terms. When each Ancillary Document to which the Company is or will be a party has been duly executed and delivered by the Company (assuming due authorization, execution and delivery by each other party thereto), such Ancillary Document will constitute a legal and binding obligation of the Company enforceable against it in accordance with its terms.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jc w:val="both"/>
        <w:ind w:firstLine="656"/>
        <w:spacing w:after="0" w:line="255" w:lineRule="auto"/>
        <w:tabs>
          <w:tab w:leader="none" w:pos="105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by resolutions duly adopted by unanimous written consent of all directors of the Company not subsequently rescinded or modified in any way, has, as of the date hereof (i) determined that this Agreement and the transactions contemplated hereby, including the Merger, are fair to, and in the best interests of, the Stockholders, (ii) approved and declared advisable the “agreement of merger” (as such term is used in Section 251 of the DGCL) contained in this Agreement and the transactions contemplated by this Agreement, including the Merger, in accordance with the DGCL, (iii) directed that the “agreement of merger” contained in this Agreement be submitted to the Stockholders for adoption, and (iv) resolved to recommend that the Stockholders adopt the “agreement of merger” set forth in this Agreement (collectively, the “</w:t>
      </w:r>
      <w:r>
        <w:rPr>
          <w:rFonts w:ascii="Times New Roman" w:cs="Times New Roman" w:eastAsia="Times New Roman" w:hAnsi="Times New Roman"/>
          <w:sz w:val="18"/>
          <w:szCs w:val="18"/>
          <w:b w:val="1"/>
          <w:bCs w:val="1"/>
          <w:color w:val="auto"/>
        </w:rPr>
        <w:t>Company Board Recommendation</w:t>
      </w:r>
      <w:r>
        <w:rPr>
          <w:rFonts w:ascii="Times New Roman" w:cs="Times New Roman" w:eastAsia="Times New Roman" w:hAnsi="Times New Roman"/>
          <w:sz w:val="18"/>
          <w:szCs w:val="18"/>
          <w:color w:val="auto"/>
        </w:rPr>
        <w:t>”) and directed that such matter be submitted for consideration of the Stockholders by way of Stockholder action by written consent.</w:t>
      </w:r>
    </w:p>
    <w:p>
      <w:pPr>
        <w:spacing w:after="0" w:line="185"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4.03</w:t>
      </w:r>
      <w:r>
        <w:rPr>
          <w:sz w:val="20"/>
          <w:szCs w:val="20"/>
          <w:color w:val="auto"/>
        </w:rPr>
        <w:tab/>
      </w:r>
      <w:r>
        <w:rPr>
          <w:rFonts w:ascii="Times New Roman" w:cs="Times New Roman" w:eastAsia="Times New Roman" w:hAnsi="Times New Roman"/>
          <w:sz w:val="17"/>
          <w:szCs w:val="17"/>
          <w:b w:val="1"/>
          <w:bCs w:val="1"/>
          <w:color w:val="auto"/>
        </w:rPr>
        <w:t>No Conflicts; Consents.</w:t>
      </w:r>
    </w:p>
    <w:p>
      <w:pPr>
        <w:spacing w:after="0" w:line="229" w:lineRule="exact"/>
        <w:rPr>
          <w:sz w:val="20"/>
          <w:szCs w:val="20"/>
          <w:color w:val="auto"/>
        </w:rPr>
      </w:pPr>
    </w:p>
    <w:p>
      <w:pPr>
        <w:jc w:val="both"/>
        <w:ind w:firstLine="656"/>
        <w:spacing w:after="0" w:line="253" w:lineRule="auto"/>
        <w:tabs>
          <w:tab w:leader="none" w:pos="108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and the Ancillary Documents to which it is a party, and the consummation of the transactions contemplated hereby and thereby, including the Merger, do not and will not: (i) conflict with or result in a violation or breach of, or default under, any provision of the certificate of incorporation, by-laws or other organizational documents of the Company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Charter Documents</w:t>
      </w:r>
      <w:r>
        <w:rPr>
          <w:rFonts w:ascii="Times New Roman" w:cs="Times New Roman" w:eastAsia="Times New Roman" w:hAnsi="Times New Roman"/>
          <w:sz w:val="18"/>
          <w:szCs w:val="18"/>
          <w:color w:val="auto"/>
        </w:rPr>
        <w:t>”); (ii) subject to, in the case of the Merger, obtaining the DE Consent Requirement or any other consents required pursuant</w:t>
      </w:r>
      <w:r>
        <w:rPr>
          <w:rFonts w:ascii="Times New Roman" w:cs="Times New Roman" w:eastAsia="Times New Roman" w:hAnsi="Times New Roman"/>
          <w:sz w:val="18"/>
          <w:szCs w:val="18"/>
          <w:b w:val="1"/>
          <w:bCs w:val="1"/>
          <w:color w:val="auto"/>
        </w:rPr>
        <w:t xml:space="preserve"> Section 8.02(c)</w:t>
      </w:r>
      <w:r>
        <w:rPr>
          <w:rFonts w:ascii="Times New Roman" w:cs="Times New Roman" w:eastAsia="Times New Roman" w:hAnsi="Times New Roman"/>
          <w:sz w:val="18"/>
          <w:szCs w:val="18"/>
          <w:color w:val="auto"/>
        </w:rPr>
        <w:t>, conflict with or result in a violation or breach of any provision of any Law or Governmental Order applicable to the Company; (iii) require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notice or other action by any Person under, conflict with, result in a violation or breach of, constitute a default or an event that, with or without notice or lapse of time or both, would constitute a default under, result in the acceleration of or create in any party the right to accelerate, terminate, modify or cancel any Contract to which the Company is a party or by which the Company is bound or to which any of their respective properties and assets are subject (including any Material Contract) or any Permit affecting the properties, assets or business of the Company; or (iv) result in the creation or imposition of any Encumbrance.</w:t>
      </w:r>
    </w:p>
    <w:p>
      <w:pPr>
        <w:spacing w:after="0" w:line="194" w:lineRule="exact"/>
        <w:rPr>
          <w:rFonts w:ascii="Times New Roman" w:cs="Times New Roman" w:eastAsia="Times New Roman" w:hAnsi="Times New Roman"/>
          <w:sz w:val="18"/>
          <w:szCs w:val="18"/>
          <w:color w:val="auto"/>
        </w:rPr>
      </w:pPr>
    </w:p>
    <w:p>
      <w:pPr>
        <w:jc w:val="both"/>
        <w:ind w:firstLine="656"/>
        <w:spacing w:after="0" w:line="261" w:lineRule="auto"/>
        <w:tabs>
          <w:tab w:leader="none" w:pos="10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otherwise contemplated by Section 5.02, to the Company’s Knowledge, no consent, approval, Permit, Governmental Order, declaration or filing with, or notice to, any Governmental Authority is required by or with respect to the Company in connection with the execution, delivery and performance of this Agreement and the Ancillary Documents and the consummation of the transactions contemplated hereby and thereby, except for the filing of the Certificate of Merger with the Secretary of State of Delaware.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4.04</w:t>
        <w:tab/>
        <w:t>Capitalization.</w:t>
      </w:r>
    </w:p>
    <w:p>
      <w:pPr>
        <w:spacing w:after="0" w:line="229" w:lineRule="exact"/>
        <w:rPr>
          <w:sz w:val="20"/>
          <w:szCs w:val="20"/>
          <w:color w:val="auto"/>
        </w:rPr>
      </w:pPr>
    </w:p>
    <w:p>
      <w:pPr>
        <w:ind w:firstLine="656"/>
        <w:spacing w:after="0" w:line="282" w:lineRule="auto"/>
        <w:tabs>
          <w:tab w:leader="none" w:pos="10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45,000,000 Shares, of which 34,173,090 Shares are issued and outstanding as of the close of business on the date of this Agreement.</w:t>
      </w:r>
    </w:p>
    <w:p>
      <w:pPr>
        <w:spacing w:after="0" w:line="157" w:lineRule="exact"/>
        <w:rPr>
          <w:rFonts w:ascii="Times New Roman" w:cs="Times New Roman" w:eastAsia="Times New Roman" w:hAnsi="Times New Roman"/>
          <w:sz w:val="18"/>
          <w:szCs w:val="18"/>
          <w:color w:val="auto"/>
        </w:rPr>
      </w:pPr>
    </w:p>
    <w:p>
      <w:pPr>
        <w:jc w:val="both"/>
        <w:ind w:firstLine="656"/>
        <w:spacing w:after="0" w:line="254" w:lineRule="auto"/>
        <w:tabs>
          <w:tab w:leader="none" w:pos="10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4.04(b) </w:t>
      </w:r>
      <w:r>
        <w:rPr>
          <w:rFonts w:ascii="Times New Roman" w:cs="Times New Roman" w:eastAsia="Times New Roman" w:hAnsi="Times New Roman"/>
          <w:sz w:val="18"/>
          <w:szCs w:val="18"/>
          <w:color w:val="auto"/>
        </w:rPr>
        <w:t>of the Disclosure Schedules set forth, as of the date hereof, (i) the name of each Person that is the registered owner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and the number of Shares owned by such Person, and (ii) a list of all holders of outstanding Options, including the number of Shares subject to each such Option, the grant date, exercise price and vesting schedule for such Option, the extent to which such Option is vested and exercisable and the date on which such Option expires. Each Option was granted in compliance with all applicable Laws and all of the terms and conditions of the Stock Option Plan pursuant to which it was issued. Each Option was granted with an exercise price per share equal to or greater than the fair market value of the underlying shares on the date of grant and has a grant date identical to the date on which the Company Board or compensation committee actually awarded the Option. Each Option qualifies for the tax and accounting treatment afforded to such Option in the Company’s tax returns and the Company’s financial statements, respectively, and does not trigger any liability for the Optionholder under Section 409A of the Code. The Company has heretofore provided Parent (or Parent’s Representatives) with true and complete copies of the standard form of option agreement and any stock option agreements that differ from such standard form.</w:t>
      </w:r>
    </w:p>
    <w:p>
      <w:pPr>
        <w:spacing w:after="0" w:line="185" w:lineRule="exact"/>
        <w:rPr>
          <w:rFonts w:ascii="Times New Roman" w:cs="Times New Roman" w:eastAsia="Times New Roman" w:hAnsi="Times New Roman"/>
          <w:sz w:val="18"/>
          <w:szCs w:val="18"/>
          <w:color w:val="auto"/>
        </w:rPr>
      </w:pPr>
    </w:p>
    <w:p>
      <w:pPr>
        <w:jc w:val="both"/>
        <w:ind w:firstLine="656"/>
        <w:spacing w:after="0" w:line="257" w:lineRule="auto"/>
        <w:tabs>
          <w:tab w:leader="none" w:pos="114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b w:val="1"/>
          <w:bCs w:val="1"/>
          <w:color w:val="auto"/>
        </w:rPr>
        <w:t>Section 4.04(c)</w:t>
      </w:r>
      <w:r>
        <w:rPr>
          <w:rFonts w:ascii="Times New Roman" w:cs="Times New Roman" w:eastAsia="Times New Roman" w:hAnsi="Times New Roman"/>
          <w:sz w:val="18"/>
          <w:szCs w:val="18"/>
          <w:color w:val="auto"/>
        </w:rPr>
        <w:t xml:space="preserve"> of the Disclosure Schedules, (i) no subscription, warrant, option, convertible or exchangeable security, or other right (contingent or otherwise) to purchase or otherwise acquire equity securities of the Company is authorized or outstanding, and (ii) there is no commitment by the Company to issue shares, subscriptions, warrants, options, convertible or exchangeable securities, or other such rights or to distribute to holders of any of its equity securities any evidence of indebtedness or asset, to repurchase or redeem any securities of the Company or to grant, extend, accelerate the vesting of, change the price of, or otherwise amend any warrant, option, convertible or exchangeable security or other such right. There are no declared or accrued unpaid dividends with respect to any shares of Company Common Stock.</w:t>
      </w:r>
    </w:p>
    <w:p>
      <w:pPr>
        <w:spacing w:after="0" w:line="186" w:lineRule="exact"/>
        <w:rPr>
          <w:rFonts w:ascii="Times New Roman" w:cs="Times New Roman" w:eastAsia="Times New Roman" w:hAnsi="Times New Roman"/>
          <w:sz w:val="18"/>
          <w:szCs w:val="18"/>
          <w:color w:val="auto"/>
        </w:rPr>
      </w:pPr>
    </w:p>
    <w:p>
      <w:pPr>
        <w:jc w:val="both"/>
        <w:ind w:firstLine="656"/>
        <w:spacing w:after="0" w:line="258" w:lineRule="auto"/>
        <w:tabs>
          <w:tab w:leader="none" w:pos="10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shares of Company Common Stock are, and all shares which may be issued pursuant to the exercise of Options, when issued in accordance with the applicable security, will be (i) duly authorized, validly issued, fully paid and non-assessable; (ii) not subject to any preemptive rights created by statute, the Company Charter Documents or any agreement to which the Company is a party; and (iii) free of any Encumbrances created by the Company in respect thereof. All issued and outstanding shares of Company Common Stock and Options were issued in compliance with applicable Law.</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03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outstanding Company Common Stock is subject to vesting or forfeiture rights or repurchase by the Company. There are no outstanding or authorized stock appreciation, dividend equivalent, phantom stock, profit participation or other similar rights with respect to the Company or any of its securities.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distributions, dividends, repurchases and redemptions of the capital stock (or other equity interests) of the Company were undertaken in compliance with the Company Charter Documents then in effect, any agreement to which the Company then was a party and in compliance with applicable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4.05 No Subsidiaries. </w:t>
      </w:r>
      <w:r>
        <w:rPr>
          <w:rFonts w:ascii="Times New Roman" w:cs="Times New Roman" w:eastAsia="Times New Roman" w:hAnsi="Times New Roman"/>
          <w:sz w:val="18"/>
          <w:szCs w:val="18"/>
          <w:color w:val="auto"/>
        </w:rPr>
        <w:t>Except as disclosed on</w:t>
      </w:r>
      <w:r>
        <w:rPr>
          <w:rFonts w:ascii="Times New Roman" w:cs="Times New Roman" w:eastAsia="Times New Roman" w:hAnsi="Times New Roman"/>
          <w:sz w:val="18"/>
          <w:szCs w:val="18"/>
          <w:b w:val="1"/>
          <w:bCs w:val="1"/>
          <w:color w:val="auto"/>
        </w:rPr>
        <w:t xml:space="preserve"> Section 4.05 </w:t>
      </w:r>
      <w:r>
        <w:rPr>
          <w:rFonts w:ascii="Times New Roman" w:cs="Times New Roman" w:eastAsia="Times New Roman" w:hAnsi="Times New Roman"/>
          <w:sz w:val="18"/>
          <w:szCs w:val="18"/>
          <w:color w:val="auto"/>
        </w:rPr>
        <w:t>of the Disclosure Schedules, the Company does not own, or have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 any shares or have an ownership interest in any other Person.</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4.06 Financial Statements. Section 4.06 </w:t>
      </w:r>
      <w:r>
        <w:rPr>
          <w:rFonts w:ascii="Times New Roman" w:cs="Times New Roman" w:eastAsia="Times New Roman" w:hAnsi="Times New Roman"/>
          <w:sz w:val="18"/>
          <w:szCs w:val="18"/>
          <w:color w:val="auto"/>
        </w:rPr>
        <w:t>of the Disclosure Schedules sets forth complete copies of the Company’s financial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consisting of the balance sheet of the Company as at December 31 in each of the years 2021, 2020 and 2019 and the related statements of income and retained earnings, stockholders’ equity and cash flow for the years then ended (the “</w:t>
      </w:r>
      <w:r>
        <w:rPr>
          <w:rFonts w:ascii="Times New Roman" w:cs="Times New Roman" w:eastAsia="Times New Roman" w:hAnsi="Times New Roman"/>
          <w:sz w:val="18"/>
          <w:szCs w:val="18"/>
          <w:b w:val="1"/>
          <w:bCs w:val="1"/>
          <w:color w:val="auto"/>
        </w:rPr>
        <w:t>Year-End Financial Statements</w:t>
      </w:r>
      <w:r>
        <w:rPr>
          <w:rFonts w:ascii="Times New Roman" w:cs="Times New Roman" w:eastAsia="Times New Roman" w:hAnsi="Times New Roman"/>
          <w:sz w:val="18"/>
          <w:szCs w:val="18"/>
          <w:color w:val="auto"/>
        </w:rPr>
        <w:t>”), and financial statements consisting of the balance sheet of the Company as at November 30, 2022 and the related statements of income and retained earnings, stockholders’ equity and cash flow for the ten-month period then ended (the “</w:t>
      </w:r>
      <w:r>
        <w:rPr>
          <w:rFonts w:ascii="Times New Roman" w:cs="Times New Roman" w:eastAsia="Times New Roman" w:hAnsi="Times New Roman"/>
          <w:sz w:val="18"/>
          <w:szCs w:val="18"/>
          <w:b w:val="1"/>
          <w:bCs w:val="1"/>
          <w:color w:val="auto"/>
        </w:rPr>
        <w:t>Interim Financial Statements</w:t>
      </w:r>
      <w:r>
        <w:rPr>
          <w:rFonts w:ascii="Times New Roman" w:cs="Times New Roman" w:eastAsia="Times New Roman" w:hAnsi="Times New Roman"/>
          <w:sz w:val="18"/>
          <w:szCs w:val="18"/>
          <w:color w:val="auto"/>
        </w:rPr>
        <w:t>” and together with the Year-End Financial Statements, the “</w:t>
      </w:r>
      <w:r>
        <w:rPr>
          <w:rFonts w:ascii="Times New Roman" w:cs="Times New Roman" w:eastAsia="Times New Roman" w:hAnsi="Times New Roman"/>
          <w:sz w:val="18"/>
          <w:szCs w:val="18"/>
          <w:b w:val="1"/>
          <w:b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The information contained in the Financial Statements complies with the accrual method of accounting, subject, in the case of the Interim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 to normal and recurring year-end adjustments (the effect of which will not be materially adverse) and the absence of notes (that, if presented, would not differ materially from those presented in the Year-End Financial Statements). The Financial Statements are based on the books and records of the Company, and fairly present the financial condition of the Company as of the respective dates they were prepared and the results of the operations of the Company for the periods indicated. The balance sheet of the Company as of December 31, 2021 is referred to herein as the “</w:t>
      </w:r>
      <w:r>
        <w:rPr>
          <w:rFonts w:ascii="Times New Roman" w:cs="Times New Roman" w:eastAsia="Times New Roman" w:hAnsi="Times New Roman"/>
          <w:sz w:val="18"/>
          <w:szCs w:val="18"/>
          <w:b w:val="1"/>
          <w:bCs w:val="1"/>
          <w:color w:val="auto"/>
        </w:rPr>
        <w:t>Balance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Sheet</w:t>
      </w:r>
      <w:r>
        <w:rPr>
          <w:rFonts w:ascii="Times New Roman" w:cs="Times New Roman" w:eastAsia="Times New Roman" w:hAnsi="Times New Roman"/>
          <w:sz w:val="18"/>
          <w:szCs w:val="18"/>
          <w:color w:val="auto"/>
        </w:rPr>
        <w:t>” and the date thereof as the “</w:t>
      </w:r>
      <w:r>
        <w:rPr>
          <w:rFonts w:ascii="Times New Roman" w:cs="Times New Roman" w:eastAsia="Times New Roman" w:hAnsi="Times New Roman"/>
          <w:sz w:val="18"/>
          <w:szCs w:val="18"/>
          <w:b w:val="1"/>
          <w:bCs w:val="1"/>
          <w:color w:val="auto"/>
        </w:rPr>
        <w:t>Balance Sheet Date</w:t>
      </w:r>
      <w:r>
        <w:rPr>
          <w:rFonts w:ascii="Times New Roman" w:cs="Times New Roman" w:eastAsia="Times New Roman" w:hAnsi="Times New Roman"/>
          <w:sz w:val="18"/>
          <w:szCs w:val="18"/>
          <w:color w:val="auto"/>
        </w:rPr>
        <w:t>” and the balance sheet of the Company as of November 30, 2022 is referred to herein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Balance Sheet</w:t>
      </w:r>
      <w:r>
        <w:rPr>
          <w:rFonts w:ascii="Times New Roman" w:cs="Times New Roman" w:eastAsia="Times New Roman" w:hAnsi="Times New Roman"/>
          <w:sz w:val="18"/>
          <w:szCs w:val="18"/>
          <w:color w:val="auto"/>
        </w:rPr>
        <w:t>” and the date thereof as the “</w:t>
      </w:r>
      <w:r>
        <w:rPr>
          <w:rFonts w:ascii="Times New Roman" w:cs="Times New Roman" w:eastAsia="Times New Roman" w:hAnsi="Times New Roman"/>
          <w:sz w:val="18"/>
          <w:szCs w:val="18"/>
          <w:b w:val="1"/>
          <w:bCs w:val="1"/>
          <w:color w:val="auto"/>
        </w:rPr>
        <w:t>Interim Balance Sheet Date</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4.07 Undisclosed Liabilities. </w:t>
      </w:r>
      <w:r>
        <w:rPr>
          <w:rFonts w:ascii="Times New Roman" w:cs="Times New Roman" w:eastAsia="Times New Roman" w:hAnsi="Times New Roman"/>
          <w:sz w:val="18"/>
          <w:szCs w:val="18"/>
          <w:color w:val="auto"/>
        </w:rPr>
        <w:t>The Company has no liabilities, obligations or commitments of any nature whatsoever, asserted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unasserted, known or unknown, absolute or contingent, accrued or unaccrued, matured or unmatured or otherwise (“</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xml:space="preserve">”), except those which are adequately reflected or reserved against in the Balance Sheet as of the Balance Sheet Date or as otherwise disclosed in </w:t>
      </w:r>
      <w:r>
        <w:rPr>
          <w:rFonts w:ascii="Times New Roman" w:cs="Times New Roman" w:eastAsia="Times New Roman" w:hAnsi="Times New Roman"/>
          <w:sz w:val="18"/>
          <w:szCs w:val="18"/>
          <w:b w:val="1"/>
          <w:bCs w:val="1"/>
          <w:color w:val="auto"/>
        </w:rPr>
        <w:t>Section 4.07</w:t>
      </w:r>
      <w:r>
        <w:rPr>
          <w:rFonts w:ascii="Times New Roman" w:cs="Times New Roman" w:eastAsia="Times New Roman" w:hAnsi="Times New Roman"/>
          <w:sz w:val="18"/>
          <w:szCs w:val="18"/>
          <w:color w:val="auto"/>
        </w:rPr>
        <w:t xml:space="preserve"> the Disclosure Schedules.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4.08 Absence of Certain Changes, Events and Conditions. </w:t>
      </w:r>
      <w:r>
        <w:rPr>
          <w:rFonts w:ascii="Times New Roman" w:cs="Times New Roman" w:eastAsia="Times New Roman" w:hAnsi="Times New Roman"/>
          <w:sz w:val="18"/>
          <w:szCs w:val="18"/>
          <w:color w:val="auto"/>
        </w:rPr>
        <w:t>Since the Balance Sheet Date, and other than in the ordinary course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consistent with past practice, or as specifically contemplated by this Agreement and the Ancillary Agreements, there has not been, with respect to the Company, any:</w:t>
      </w:r>
    </w:p>
    <w:p>
      <w:pPr>
        <w:spacing w:after="0" w:line="175" w:lineRule="exact"/>
        <w:rPr>
          <w:sz w:val="20"/>
          <w:szCs w:val="20"/>
          <w:color w:val="auto"/>
        </w:rPr>
      </w:pPr>
    </w:p>
    <w:p>
      <w:pPr>
        <w:ind w:left="1040" w:hanging="384"/>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 occurrence or development that has had, or could reasonably be expected to have, individually or in the aggregate, a Material Adverse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207" w:lineRule="exact"/>
        <w:rPr>
          <w:sz w:val="20"/>
          <w:szCs w:val="20"/>
          <w:color w:val="auto"/>
        </w:rPr>
      </w:pPr>
    </w:p>
    <w:p>
      <w:pPr>
        <w:ind w:left="1040" w:hanging="384"/>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the charter, by-laws or other organizational documents of the Company;</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combination or reclassification of any shares of its capital stock;</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sale or other disposition of any of its capital stock or grant of any options, warrants or other rights to purchase or obtain (including upon conversion, exchange or exercise) any of its capital stock;</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or payment of any dividends or distributions on or in respect of any of its capital stock or redemption, purchase or acquisition of its capital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ind w:left="1120" w:hanging="464"/>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 in any method of accounting or accounting practice of the Company, except as disclosed in the notes to the Financial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03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 in the Company’s cash management practices and its policies, practices and procedures with respect to collection of accounts receivable, establishment of reserves for uncollectible accounts, accrual of accounts receivable, inventory control, prepayment of expenses, payment of trade accounts payable, accrual of other expenses, deferral of revenue and acceptance of customer deposits;</w:t>
      </w:r>
    </w:p>
    <w:p>
      <w:pPr>
        <w:spacing w:after="0" w:line="17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any Contract that would constitute a Material Contract;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assumption or guarantee of any indebtedness for borrowed money except unsecured current obligations and Liabilities incurred in the ordinary course of business or consistent with past practice;</w:t>
      </w:r>
    </w:p>
    <w:p>
      <w:pPr>
        <w:spacing w:after="0" w:line="161"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assignment, sale or other disposition of any of the assets shown or reflected in the Balance Sheet or cancellation of any debts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entitlements;</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03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assignment or grant of any license or sublicense of any material rights under or with respect to any Company Intellectual Property or Company IP Agreements;</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damage, destruction or loss (whether or not covered by insurance) to its property;</w:t>
      </w:r>
    </w:p>
    <w:p>
      <w:pPr>
        <w:spacing w:after="0" w:line="225"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investment in, or any loan to, any other Person;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4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termination, material modification to or cancellation of any material Contract (including, but not limited to, any Material Contract) to which the Company is a party or by which it is bound;</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capital expenditures;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any Encumbrance upon any of the Company properties, capital stock or assets, tangible or intangible;</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1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grant of any bonuses, whether monetary or otherwise, or increase in any wages, salary, severance, pension or other compensation or benefits in respect of its current or former employees, officers, directors, independent contractors or consultants, other than as provided for in any written agreements or required by applicable Law, (ii) change in the terms of employment for any employee or any termination of any employee or (iii) action to accelerate the vesting or payment of any compensation or benefit for any current or former employee, officer, director, independent contractor or consultant;</w:t>
      </w:r>
    </w:p>
    <w:p>
      <w:pPr>
        <w:spacing w:after="0" w:line="183"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or promoting any person;</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modification or termination of any: (i) employment, severance, retention or other agreement with any current or former employee, officer, director, independent contractor or consultant, (ii) Benefit Plan or (iii) collective bargaining or other agreement with a Union, in each case whether written or oral;</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to (or forgiveness of any loan to), or entry into any other transaction with, any of its stockholders or current or former directors, officers and employees;</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a new line of business or abandonment or discontinuance of existing lines of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ind w:firstLine="656"/>
        <w:spacing w:after="0" w:line="282" w:lineRule="auto"/>
        <w:tabs>
          <w:tab w:leader="none" w:pos="112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Merger, adoption of any plan of merger, consolidation, reorganization, liquidation or dissolution or filing of a petition in bankruptcy under any provisions of federal or state bankruptcy Law or consent to the filing of any bankruptcy petition against it under any similar Law;</w:t>
      </w:r>
    </w:p>
    <w:p>
      <w:pPr>
        <w:spacing w:after="0" w:line="16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lease or other acquisition of the right to own, use or lease any property or assets for any amount;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8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by merger or consolidation with, or by purchase of a substantial portion of the assets or stock of, or by any other manner, any business or any Person or any division thereof;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by the Company to make, change or rescind any Tax election, amend any Tax Return or take any position on any Tax Return, take any action, omit to take any action or enter into any other transaction that would have the effect of increasing the Tax liability or reducing any Tax asset of Parent in respect of any Post-Closing Tax Period; or</w:t>
      </w:r>
    </w:p>
    <w:p>
      <w:pPr>
        <w:spacing w:after="0" w:line="17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to do any of the foregoing, or any action that would result in any of the foregoing.</w:t>
      </w:r>
    </w:p>
    <w:p>
      <w:pPr>
        <w:spacing w:after="0" w:line="221"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4.09</w:t>
      </w:r>
      <w:r>
        <w:rPr>
          <w:sz w:val="20"/>
          <w:szCs w:val="20"/>
          <w:color w:val="auto"/>
        </w:rPr>
        <w:tab/>
      </w:r>
      <w:r>
        <w:rPr>
          <w:rFonts w:ascii="Times New Roman" w:cs="Times New Roman" w:eastAsia="Times New Roman" w:hAnsi="Times New Roman"/>
          <w:sz w:val="17"/>
          <w:szCs w:val="17"/>
          <w:b w:val="1"/>
          <w:bCs w:val="1"/>
          <w:color w:val="auto"/>
        </w:rPr>
        <w:t>Material Contracts.</w:t>
      </w:r>
    </w:p>
    <w:p>
      <w:pPr>
        <w:spacing w:after="0" w:line="225" w:lineRule="exact"/>
        <w:rPr>
          <w:sz w:val="20"/>
          <w:szCs w:val="20"/>
          <w:color w:val="auto"/>
        </w:rPr>
      </w:pPr>
    </w:p>
    <w:p>
      <w:pPr>
        <w:jc w:val="both"/>
        <w:ind w:firstLine="656"/>
        <w:spacing w:after="0" w:line="268" w:lineRule="auto"/>
        <w:tabs>
          <w:tab w:leader="none" w:pos="10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of the Disclosure Schedules lists each of the following Contracts of the Company (such Contracts, together with all Contracts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disclosed in </w:t>
      </w:r>
      <w:r>
        <w:rPr>
          <w:rFonts w:ascii="Times New Roman" w:cs="Times New Roman" w:eastAsia="Times New Roman" w:hAnsi="Times New Roman"/>
          <w:sz w:val="18"/>
          <w:szCs w:val="18"/>
          <w:b w:val="1"/>
          <w:bCs w:val="1"/>
          <w:color w:val="auto"/>
        </w:rPr>
        <w:t>Section 4.10(b)</w:t>
      </w:r>
      <w:r>
        <w:rPr>
          <w:rFonts w:ascii="Times New Roman" w:cs="Times New Roman" w:eastAsia="Times New Roman" w:hAnsi="Times New Roman"/>
          <w:sz w:val="18"/>
          <w:szCs w:val="18"/>
          <w:color w:val="auto"/>
        </w:rPr>
        <w:t xml:space="preserve"> of the Disclosure Schedules and all Company IP Agreements set forth in </w:t>
      </w:r>
      <w:r>
        <w:rPr>
          <w:rFonts w:ascii="Times New Roman" w:cs="Times New Roman" w:eastAsia="Times New Roman" w:hAnsi="Times New Roman"/>
          <w:sz w:val="18"/>
          <w:szCs w:val="18"/>
          <w:b w:val="1"/>
          <w:bCs w:val="1"/>
          <w:color w:val="auto"/>
        </w:rPr>
        <w:t>Section 4.12(b)</w:t>
      </w:r>
      <w:r>
        <w:rPr>
          <w:rFonts w:ascii="Times New Roman" w:cs="Times New Roman" w:eastAsia="Times New Roman" w:hAnsi="Times New Roman"/>
          <w:sz w:val="18"/>
          <w:szCs w:val="18"/>
          <w:color w:val="auto"/>
        </w:rPr>
        <w:t xml:space="preserve"> of the Disclosure Schedules, being “</w:t>
      </w:r>
      <w:r>
        <w:rPr>
          <w:rFonts w:ascii="Times New Roman" w:cs="Times New Roman" w:eastAsia="Times New Roman" w:hAnsi="Times New Roman"/>
          <w:sz w:val="18"/>
          <w:szCs w:val="18"/>
          <w:b w:val="1"/>
          <w:bCs w:val="1"/>
          <w:color w:val="auto"/>
        </w:rPr>
        <w:t>Material Contracts</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ind w:firstLine="1142"/>
        <w:spacing w:after="0" w:line="282" w:lineRule="auto"/>
        <w:tabs>
          <w:tab w:leader="none" w:pos="150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of the Company requiring payments by the Company in excess of $5,000 in any calendar year and which, in each case, cannot be cancelled by the Company without penalty or without more than thirty (30) ’days’ notice;</w:t>
      </w:r>
    </w:p>
    <w:p>
      <w:pPr>
        <w:spacing w:after="0" w:line="161" w:lineRule="exact"/>
        <w:rPr>
          <w:rFonts w:ascii="Times New Roman" w:cs="Times New Roman" w:eastAsia="Times New Roman" w:hAnsi="Times New Roman"/>
          <w:sz w:val="18"/>
          <w:szCs w:val="18"/>
          <w:color w:val="auto"/>
        </w:rPr>
      </w:pPr>
    </w:p>
    <w:p>
      <w:pPr>
        <w:ind w:firstLine="1142"/>
        <w:spacing w:after="0" w:line="282" w:lineRule="auto"/>
        <w:tabs>
          <w:tab w:leader="none" w:pos="156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require the Company to purchase its total requirements of any product or service from a third party or that contain “take or pay” provisions;</w:t>
      </w:r>
    </w:p>
    <w:p>
      <w:pPr>
        <w:spacing w:after="0" w:line="161" w:lineRule="exact"/>
        <w:rPr>
          <w:rFonts w:ascii="Times New Roman" w:cs="Times New Roman" w:eastAsia="Times New Roman" w:hAnsi="Times New Roman"/>
          <w:sz w:val="18"/>
          <w:szCs w:val="18"/>
          <w:color w:val="auto"/>
        </w:rPr>
      </w:pPr>
    </w:p>
    <w:p>
      <w:pPr>
        <w:ind w:firstLine="1142"/>
        <w:spacing w:after="0" w:line="282" w:lineRule="auto"/>
        <w:tabs>
          <w:tab w:leader="none" w:pos="164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provide for the indemnification by the Company of any Person or the assumption of any Tax, environmental or other material Liability of any Person;</w:t>
      </w:r>
    </w:p>
    <w:p>
      <w:pPr>
        <w:spacing w:after="0" w:line="161" w:lineRule="exact"/>
        <w:rPr>
          <w:rFonts w:ascii="Times New Roman" w:cs="Times New Roman" w:eastAsia="Times New Roman" w:hAnsi="Times New Roman"/>
          <w:sz w:val="18"/>
          <w:szCs w:val="18"/>
          <w:color w:val="auto"/>
        </w:rPr>
      </w:pPr>
    </w:p>
    <w:p>
      <w:pPr>
        <w:ind w:firstLine="1142"/>
        <w:spacing w:after="0" w:line="282" w:lineRule="auto"/>
        <w:tabs>
          <w:tab w:leader="none" w:pos="160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relate to the acquisition or disposition of any business, a material amount of stock or assets of any other Person or any real property (whether by merger, sale of stock, sale of assets or otherwise);</w:t>
      </w:r>
    </w:p>
    <w:p>
      <w:pPr>
        <w:spacing w:after="0" w:line="161" w:lineRule="exact"/>
        <w:rPr>
          <w:rFonts w:ascii="Times New Roman" w:cs="Times New Roman" w:eastAsia="Times New Roman" w:hAnsi="Times New Roman"/>
          <w:sz w:val="18"/>
          <w:szCs w:val="18"/>
          <w:color w:val="auto"/>
        </w:rPr>
      </w:pPr>
    </w:p>
    <w:p>
      <w:pPr>
        <w:ind w:firstLine="1142"/>
        <w:spacing w:after="0" w:line="282" w:lineRule="auto"/>
        <w:tabs>
          <w:tab w:leader="none" w:pos="152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broker, distributor, dealer, manufacturer’s representative, franchise, agency, sales promotion, market research, marketing consulting and advertising Contracts to which the Company is a party;</w:t>
      </w:r>
    </w:p>
    <w:p>
      <w:pPr>
        <w:spacing w:after="0" w:line="161" w:lineRule="exact"/>
        <w:rPr>
          <w:rFonts w:ascii="Times New Roman" w:cs="Times New Roman" w:eastAsia="Times New Roman" w:hAnsi="Times New Roman"/>
          <w:sz w:val="18"/>
          <w:szCs w:val="18"/>
          <w:color w:val="auto"/>
        </w:rPr>
      </w:pPr>
    </w:p>
    <w:p>
      <w:pPr>
        <w:ind w:firstLine="1142"/>
        <w:spacing w:after="0" w:line="282" w:lineRule="auto"/>
        <w:tabs>
          <w:tab w:leader="none" w:pos="170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employment agreements and Contracts with independent contractors or consultants (or similar arrangements) to which the Company is a party and which are not cancellable without material penalty or without more than thirty (30) days’ notice;</w:t>
      </w:r>
    </w:p>
    <w:p>
      <w:pPr>
        <w:spacing w:after="0" w:line="161" w:lineRule="exact"/>
        <w:rPr>
          <w:rFonts w:ascii="Times New Roman" w:cs="Times New Roman" w:eastAsia="Times New Roman" w:hAnsi="Times New Roman"/>
          <w:sz w:val="18"/>
          <w:szCs w:val="18"/>
          <w:color w:val="auto"/>
        </w:rPr>
      </w:pPr>
    </w:p>
    <w:p>
      <w:pPr>
        <w:ind w:left="1640" w:hanging="498"/>
        <w:spacing w:after="0"/>
        <w:tabs>
          <w:tab w:leader="none" w:pos="16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Contracts relating to trade receivables, all Contracts relating to Indebtedness (including, without limitation, guarantees)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02" w:lineRule="exact"/>
        <w:rPr>
          <w:rFonts w:ascii="Times New Roman" w:cs="Times New Roman" w:eastAsia="Times New Roman" w:hAnsi="Times New Roman"/>
          <w:sz w:val="18"/>
          <w:szCs w:val="18"/>
          <w:color w:val="auto"/>
        </w:rPr>
      </w:pPr>
    </w:p>
    <w:p>
      <w:pPr>
        <w:ind w:left="1680" w:hanging="538"/>
        <w:spacing w:after="0"/>
        <w:tabs>
          <w:tab w:leader="none" w:pos="16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with any Governmental Authority to which the Company is a party (“</w:t>
      </w:r>
      <w:r>
        <w:rPr>
          <w:rFonts w:ascii="Times New Roman" w:cs="Times New Roman" w:eastAsia="Times New Roman" w:hAnsi="Times New Roman"/>
          <w:sz w:val="18"/>
          <w:szCs w:val="18"/>
          <w:b w:val="1"/>
          <w:bCs w:val="1"/>
          <w:color w:val="auto"/>
        </w:rPr>
        <w:t>Government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ind w:firstLine="1142"/>
        <w:spacing w:after="0" w:line="282" w:lineRule="auto"/>
        <w:tabs>
          <w:tab w:leader="none" w:pos="159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limit or purport to limit the ability of the Company to compete in any line of business or with any Person or in any geographic area or during any period of time;</w:t>
      </w:r>
    </w:p>
    <w:p>
      <w:pPr>
        <w:spacing w:after="0" w:line="161" w:lineRule="exact"/>
        <w:rPr>
          <w:rFonts w:ascii="Times New Roman" w:cs="Times New Roman" w:eastAsia="Times New Roman" w:hAnsi="Times New Roman"/>
          <w:sz w:val="18"/>
          <w:szCs w:val="18"/>
          <w:color w:val="auto"/>
        </w:rPr>
      </w:pPr>
    </w:p>
    <w:p>
      <w:pPr>
        <w:ind w:left="1540" w:hanging="398"/>
        <w:spacing w:after="0"/>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Contracts to which the Company is a party that provide for any joint venture, partnership or similar arrangement by the Company;</w:t>
      </w:r>
    </w:p>
    <w:p>
      <w:pPr>
        <w:spacing w:after="0" w:line="225" w:lineRule="exact"/>
        <w:rPr>
          <w:rFonts w:ascii="Times New Roman" w:cs="Times New Roman" w:eastAsia="Times New Roman" w:hAnsi="Times New Roman"/>
          <w:sz w:val="18"/>
          <w:szCs w:val="18"/>
          <w:color w:val="auto"/>
        </w:rPr>
      </w:pPr>
    </w:p>
    <w:p>
      <w:pPr>
        <w:ind w:left="1580" w:hanging="438"/>
        <w:spacing w:after="0"/>
        <w:tabs>
          <w:tab w:leader="none" w:pos="15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agreements or Contracts with any Union to which the Company is a party; and</w:t>
      </w:r>
    </w:p>
    <w:p>
      <w:pPr>
        <w:spacing w:after="0" w:line="221" w:lineRule="exact"/>
        <w:rPr>
          <w:rFonts w:ascii="Times New Roman" w:cs="Times New Roman" w:eastAsia="Times New Roman" w:hAnsi="Times New Roman"/>
          <w:sz w:val="18"/>
          <w:szCs w:val="18"/>
          <w:color w:val="auto"/>
        </w:rPr>
      </w:pPr>
    </w:p>
    <w:p>
      <w:pPr>
        <w:ind w:left="1640" w:hanging="498"/>
        <w:spacing w:after="0"/>
        <w:tabs>
          <w:tab w:leader="none" w:pos="16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Contract that is material to the Company and not previously disclosed pursuant to this </w:t>
      </w:r>
      <w:r>
        <w:rPr>
          <w:rFonts w:ascii="Times New Roman" w:cs="Times New Roman" w:eastAsia="Times New Roman" w:hAnsi="Times New Roman"/>
          <w:sz w:val="18"/>
          <w:szCs w:val="18"/>
          <w:b w:val="1"/>
          <w:bCs w:val="1"/>
          <w:color w:val="auto"/>
        </w:rPr>
        <w:t>Section 4.09</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656"/>
        <w:spacing w:after="0" w:line="253" w:lineRule="auto"/>
        <w:tabs>
          <w:tab w:leader="none" w:pos="11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Material Contract is valid and binding on the Company in accordance with its terms and is in full force and effect. None of the Company or, to the Company’s Knowledge, any other party thereto is in breach of or default under (or is alleged to be in breach of or default under), or has provided or received any notice of any intention to terminate, any Material Contract. No event or circumstance has occurred that, with notice or lapse of time or both, would constitute an event of default under any Material Contract or result in a termination thereof or would cause or permit the acceleration or other changes of any right or obligation or the loss of any benefit thereunder. Complete and correct copies of each Material Contract (including all modifications, amendments and supplements thereto and waivers thereunder) have been provided to Parent to the extent requested by Parent. For the avoidance of doubt, Parent has, as of the date hereof, indicated to the Company that it does not wish to receive and/or review certain Material Contracts and neither the Company nor the Equityholders shall have any shall have any liability under any provision of this Agreement or the Ancillary Agreements with respect to any such Material Contracts, so long as such Material Contracts that are not disclosed or otherwise delivered to Parent are briefly described in </w:t>
      </w:r>
      <w:r>
        <w:rPr>
          <w:rFonts w:ascii="Times New Roman" w:cs="Times New Roman" w:eastAsia="Times New Roman" w:hAnsi="Times New Roman"/>
          <w:sz w:val="18"/>
          <w:szCs w:val="18"/>
          <w:b w:val="1"/>
          <w:bCs w:val="1"/>
          <w:color w:val="auto"/>
        </w:rPr>
        <w:t>Section 4.09</w:t>
      </w:r>
      <w:r>
        <w:rPr>
          <w:rFonts w:ascii="Times New Roman" w:cs="Times New Roman" w:eastAsia="Times New Roman" w:hAnsi="Times New Roman"/>
          <w:sz w:val="18"/>
          <w:szCs w:val="18"/>
          <w:color w:val="auto"/>
        </w:rPr>
        <w:t>(b) of the Disclosure Schedules.</w:t>
      </w:r>
    </w:p>
    <w:p>
      <w:pPr>
        <w:spacing w:after="0" w:line="190"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4.10</w:t>
      </w:r>
      <w:r>
        <w:rPr>
          <w:sz w:val="20"/>
          <w:szCs w:val="20"/>
          <w:color w:val="auto"/>
        </w:rPr>
        <w:tab/>
      </w:r>
      <w:r>
        <w:rPr>
          <w:rFonts w:ascii="Times New Roman" w:cs="Times New Roman" w:eastAsia="Times New Roman" w:hAnsi="Times New Roman"/>
          <w:sz w:val="17"/>
          <w:szCs w:val="17"/>
          <w:b w:val="1"/>
          <w:bCs w:val="1"/>
          <w:color w:val="auto"/>
        </w:rPr>
        <w:t>Title to Assets; Real Property.</w:t>
      </w:r>
    </w:p>
    <w:p>
      <w:pPr>
        <w:spacing w:after="0" w:line="229" w:lineRule="exact"/>
        <w:rPr>
          <w:sz w:val="20"/>
          <w:szCs w:val="20"/>
          <w:color w:val="auto"/>
        </w:rPr>
      </w:pPr>
    </w:p>
    <w:p>
      <w:pPr>
        <w:jc w:val="both"/>
        <w:ind w:firstLine="656"/>
        <w:spacing w:after="0" w:line="261" w:lineRule="auto"/>
        <w:tabs>
          <w:tab w:leader="none" w:pos="107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good and valid (and, in the case of owned Real Property, good and marketable fee simple) title to, or a valid leasehold interest in, all Real Property and material personal property and other assets reflected in the Year-End Financial Statements or acquired after the Balance Sheet Date, other than properties and assets sold or otherwise disposed of in the ordinary course of business or consistent with past practice since the Balance Sheet Date. All such properties and assets (including leasehold interests) are free and clear of Encumbrances.</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111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4.10(b) </w:t>
      </w:r>
      <w:r>
        <w:rPr>
          <w:rFonts w:ascii="Times New Roman" w:cs="Times New Roman" w:eastAsia="Times New Roman" w:hAnsi="Times New Roman"/>
          <w:sz w:val="18"/>
          <w:szCs w:val="18"/>
          <w:color w:val="auto"/>
        </w:rPr>
        <w:t>of the Disclosure Schedules lists (i) the street address of each parcel of Real Property; (ii) if such property is leased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subleased by the Company, the landlord under the lease, the rental amount currently being paid, and the expiration of the term of such lease or sublease for each leased or subleased property; and (iii) the current use of such property. The Company owns no Real Property. The Company is not a sublessor or grantor under any sublease or other instrument granting to any other Person any right to the possession, lease, occupancy or enjoyment of any leased Real Property. The use and operation of the Real Property in the conduct of the Company’s business does not violate in any material respect any Law, covenant, condition, restriction, easement, license, permit or agreement. No material improvements constituting a part of the Real Property encroach on real property owned or leased by a Person other than the Company. There are no Actions pending nor, to the Company’s Knowledge, threatened against or affecting the Real Property or any portion thereof or interest therein in the nature or in lieu of condemnation or eminent domain proceedings.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4.11 Condition and Sufficiency of Assets. </w:t>
      </w:r>
      <w:r>
        <w:rPr>
          <w:rFonts w:ascii="Times New Roman" w:cs="Times New Roman" w:eastAsia="Times New Roman" w:hAnsi="Times New Roman"/>
          <w:sz w:val="18"/>
          <w:szCs w:val="18"/>
          <w:color w:val="auto"/>
        </w:rPr>
        <w:t>Except as set forth in</w:t>
      </w:r>
      <w:r>
        <w:rPr>
          <w:rFonts w:ascii="Times New Roman" w:cs="Times New Roman" w:eastAsia="Times New Roman" w:hAnsi="Times New Roman"/>
          <w:sz w:val="18"/>
          <w:szCs w:val="18"/>
          <w:b w:val="1"/>
          <w:bCs w:val="1"/>
          <w:color w:val="auto"/>
        </w:rPr>
        <w:t xml:space="preserve"> Section 4.11 </w:t>
      </w:r>
      <w:r>
        <w:rPr>
          <w:rFonts w:ascii="Times New Roman" w:cs="Times New Roman" w:eastAsia="Times New Roman" w:hAnsi="Times New Roman"/>
          <w:sz w:val="18"/>
          <w:szCs w:val="18"/>
          <w:color w:val="auto"/>
        </w:rPr>
        <w:t>of the Disclosure Schedules, the buildings, plants,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structures, furniture, fixtures, machinery, equipment, vehicles and other items of tangible personal property of the Company are structurally sound, are in good operating condition and repair, and are adequate for the uses to which they are being put, and none of such buildings, plants, structures, furniture, fixtures, machinery, equipment, vehicles and other items of tangible personal property is in need of maintenance or repairs except for ordinary, routine maintenance and repairs that are not material in nature or cost. The buildings, plants, structures, furniture, fixtures, machinery, equipment, vehicles and other items of tangible personal property currently owned or leased by the Company, together with all other properties and assets of the Company, are sufficient for the continued conduct of the Company’s business after the Closing in substantially the same manner as conducted prior to the Closing and constitute all of the rights, property and assets necessary to conduct the business of the Company as currently conducted.</w:t>
      </w:r>
    </w:p>
    <w:p>
      <w:pPr>
        <w:spacing w:after="0" w:line="185"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4.12</w:t>
      </w:r>
      <w:r>
        <w:rPr>
          <w:sz w:val="20"/>
          <w:szCs w:val="20"/>
          <w:color w:val="auto"/>
        </w:rPr>
        <w:tab/>
      </w:r>
      <w:r>
        <w:rPr>
          <w:rFonts w:ascii="Times New Roman" w:cs="Times New Roman" w:eastAsia="Times New Roman" w:hAnsi="Times New Roman"/>
          <w:sz w:val="17"/>
          <w:szCs w:val="17"/>
          <w:b w:val="1"/>
          <w:bCs w:val="1"/>
          <w:color w:val="auto"/>
        </w:rPr>
        <w:t>Intellectual Property.</w:t>
      </w:r>
    </w:p>
    <w:p>
      <w:pPr>
        <w:spacing w:after="0" w:line="225" w:lineRule="exact"/>
        <w:rPr>
          <w:sz w:val="20"/>
          <w:szCs w:val="20"/>
          <w:color w:val="auto"/>
        </w:rPr>
      </w:pPr>
    </w:p>
    <w:p>
      <w:pPr>
        <w:jc w:val="both"/>
        <w:ind w:firstLine="656"/>
        <w:spacing w:after="0" w:line="257" w:lineRule="auto"/>
        <w:tabs>
          <w:tab w:leader="none" w:pos="104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4.12(a) </w:t>
      </w:r>
      <w:r>
        <w:rPr>
          <w:rFonts w:ascii="Times New Roman" w:cs="Times New Roman" w:eastAsia="Times New Roman" w:hAnsi="Times New Roman"/>
          <w:sz w:val="18"/>
          <w:szCs w:val="18"/>
          <w:color w:val="auto"/>
        </w:rPr>
        <w:t>of the Disclosure Schedules lists all Company IP Registrations. Except with respect to those filings required to be filed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maintained by Parent pursuant to the License Agreements, all required filings and fees related to the Company IP Registrations have been timely filed with and paid to the relevant Governmental Authorities and authorized registrars, the Company has, to Company’s Knowledge, complied with the duty of candor and disclosures toward the U.S. Patent and Trademark Office, all Company IP Registrations are believed to be valid and enforceable, and all Company IP Registrations are otherwise in good standing. The Company has provided Parent with true and complete copies of file histories, documents, certificates, office actions, correspondence and other materials related to all Company IP Registrations.</w:t>
      </w:r>
    </w:p>
    <w:p>
      <w:pPr>
        <w:spacing w:after="0" w:line="182" w:lineRule="exact"/>
        <w:rPr>
          <w:rFonts w:ascii="Times New Roman" w:cs="Times New Roman" w:eastAsia="Times New Roman" w:hAnsi="Times New Roman"/>
          <w:sz w:val="18"/>
          <w:szCs w:val="18"/>
          <w:color w:val="auto"/>
        </w:rPr>
      </w:pPr>
    </w:p>
    <w:p>
      <w:pPr>
        <w:jc w:val="both"/>
        <w:ind w:firstLine="656"/>
        <w:spacing w:after="0" w:line="259" w:lineRule="auto"/>
        <w:tabs>
          <w:tab w:leader="none" w:pos="108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4.12(b) </w:t>
      </w:r>
      <w:r>
        <w:rPr>
          <w:rFonts w:ascii="Times New Roman" w:cs="Times New Roman" w:eastAsia="Times New Roman" w:hAnsi="Times New Roman"/>
          <w:sz w:val="18"/>
          <w:szCs w:val="18"/>
          <w:color w:val="auto"/>
        </w:rPr>
        <w:t>of the Disclosure Schedules lists all Company IP Agreements. The Company has provided Parent with true and complete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copies of all such Company IP Agreements, including all modifications, amendments and supplements thereto and waivers thereunder. Each Company IP Agreement is valid and binding on the Company in accordance with its terms and is in full force and effect. Neither the Company nor, to the Company’s Knowledge, any other party thereto is in material breach of or material default under (or is alleged in writing to be in breach of or default under), or has provided or received any notice of breach or default of or notice of any intention to terminate, any Company IP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10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sole and exclusive legal and beneficial, and with respect to the Company IP Registrations, record, owner of all right, title and interest in and to the Company Intellectual Property, and, to the Company’s Knowledge, the Company has the valid right to use all other Intellectual Property used in or necessary for the conduct of the Company’s current business or operations, in each case, free and clear of Encumbrances other than Permitted Encumbrances. Without limiting the generality of the foregoing, the Company has entered into binding, written agreements with every current and former employee, and with every current and former independent contractor, whereby such employees and independent contractors (i) assign to the Company any ownership interest and right they may have in the Company Intellectual Property; and (ii) acknowledge the Company’s exclusive ownership of all Company Intellectual Property. The Company has provided Parent with true and complete copies of all such agreements.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jc w:val="both"/>
        <w:ind w:firstLine="656"/>
        <w:spacing w:after="0" w:line="266" w:lineRule="auto"/>
        <w:tabs>
          <w:tab w:leader="none" w:pos="11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transactions contemplated hereunder will not result in the loss or impairment of or payment of any additional amounts with respect to, nor require the consent of any other Person in respect of, the Company’s right to own, use or hold for use any Intellectual Property as owned, used or held for use in the conduct of the Company’s business or operations as currently conducted.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8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all commercially reasonable steps to maintain the Company Intellectual Property and to protect and preserve the confidentiality of all trade secrets included in the Company Intellectual Property, including requiring all Persons having access thereto to execute written non-disclosure agreements.</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0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the Company’s business as currently and formerly conducted, and the products, processes and services of the Company (as made, used, sole and/or practiced as of the date hereof, and through the Closing Date), have, to the Company’s Knowledge, not infringed, misappropriated, diluted or otherwise violated, and do not infringe, dilute, misappropriate or otherwise violate the Intellectual Property or other rights of any Person. To the Company’s Knowledge, no Person has infringed, misappropriated, diluted or otherwise violated, or is currently infringing, misappropriating, diluting or otherwise violating, any Company Intellectual Property.</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108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(including any oppositions, interferences or re-examinations) settled, pending or, to the Knowledge of the Company, threatened (including in the form of offers to obtain a license): (i) alleging any infringement, misappropriation, dilution or violation of the Intellectual Property of any Person by the Company; (ii) challenging the validity, enforceability, registrability or ownership of any Company Intellectual Property or the Company’s rights with respect to any Company Intellectual Property; or (iii) by the Company or, to the Company’s Knowledge, any other Person alleging any infringement, misappropriation, dilution or violation by any Person of the Company Intellectual Property. The Company is not subject to any outstanding or prospective Governmental Order (including any motion or petition therefor) that does or would restrict or impair the use of any Company Intellectual Property.</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4.13 Insurance. </w:t>
      </w:r>
      <w:r>
        <w:rPr>
          <w:rFonts w:ascii="Times New Roman" w:cs="Times New Roman" w:eastAsia="Times New Roman" w:hAnsi="Times New Roman"/>
          <w:sz w:val="18"/>
          <w:szCs w:val="18"/>
          <w:color w:val="auto"/>
        </w:rPr>
        <w:t>The Company has no current policies or binders of fire, liability, product liability, umbrella liability, real and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workers’ compensation, vehicular, directors’ and officers’ liability, fiduciary liability and other casualty and property insurance maintained by Company and relating to the assets, business, operations, employees, officers and directors of the Company (collectively, the “</w:t>
      </w:r>
      <w:r>
        <w:rPr>
          <w:rFonts w:ascii="Times New Roman" w:cs="Times New Roman" w:eastAsia="Times New Roman" w:hAnsi="Times New Roman"/>
          <w:sz w:val="18"/>
          <w:szCs w:val="18"/>
          <w:b w:val="1"/>
          <w:bCs w:val="1"/>
          <w:color w:val="auto"/>
        </w:rPr>
        <w:t>Insurance Policies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4.14</w:t>
      </w:r>
      <w:r>
        <w:rPr>
          <w:sz w:val="20"/>
          <w:szCs w:val="20"/>
          <w:color w:val="auto"/>
        </w:rPr>
        <w:tab/>
      </w:r>
      <w:r>
        <w:rPr>
          <w:rFonts w:ascii="Times New Roman" w:cs="Times New Roman" w:eastAsia="Times New Roman" w:hAnsi="Times New Roman"/>
          <w:sz w:val="17"/>
          <w:szCs w:val="17"/>
          <w:b w:val="1"/>
          <w:bCs w:val="1"/>
          <w:color w:val="auto"/>
        </w:rPr>
        <w:t>Legal Proceedings; Governmental Orders.</w:t>
      </w:r>
    </w:p>
    <w:p>
      <w:pPr>
        <w:spacing w:after="0" w:line="229" w:lineRule="exact"/>
        <w:rPr>
          <w:sz w:val="20"/>
          <w:szCs w:val="20"/>
          <w:color w:val="auto"/>
        </w:rPr>
      </w:pPr>
    </w:p>
    <w:p>
      <w:pPr>
        <w:jc w:val="both"/>
        <w:ind w:firstLine="656"/>
        <w:spacing w:after="0" w:line="266" w:lineRule="auto"/>
        <w:tabs>
          <w:tab w:leader="none" w:pos="106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pending or, to the Company’s Knowledge, threatened (i) against or by the Company affecting any of its properties or assets, tangible or intangible; or (ii) against or by the Company that challenges or seeks to prevent, enjoin or otherwise delay the transactions contemplated by this Agreement. No event has occurred or circumstances exist that may give rise to, or serve as a basis for, any such Action.</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3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Governmental Orders and no unsatisfied judgments, penalties or awards against or affecting the Company or any of its properties or assets.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4.15</w:t>
      </w:r>
      <w:r>
        <w:rPr>
          <w:sz w:val="20"/>
          <w:szCs w:val="20"/>
          <w:color w:val="auto"/>
        </w:rPr>
        <w:tab/>
      </w:r>
      <w:r>
        <w:rPr>
          <w:rFonts w:ascii="Times New Roman" w:cs="Times New Roman" w:eastAsia="Times New Roman" w:hAnsi="Times New Roman"/>
          <w:sz w:val="17"/>
          <w:szCs w:val="17"/>
          <w:b w:val="1"/>
          <w:bCs w:val="1"/>
          <w:color w:val="auto"/>
        </w:rPr>
        <w:t>Compliance With Laws; Permits.</w:t>
      </w:r>
    </w:p>
    <w:p>
      <w:pPr>
        <w:spacing w:after="0" w:line="229" w:lineRule="exact"/>
        <w:rPr>
          <w:sz w:val="20"/>
          <w:szCs w:val="20"/>
          <w:color w:val="auto"/>
        </w:rPr>
      </w:pPr>
    </w:p>
    <w:p>
      <w:pPr>
        <w:ind w:left="1040" w:hanging="384"/>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and is now complying, with all Laws applicable to it or its business, properties or assets.</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04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Permits required for the Company to conduct its business have been obtained by it and are valid and in full force and effect. All fees and charges with respect to such Permits as of the date hereof have been paid in full. </w:t>
      </w:r>
      <w:r>
        <w:rPr>
          <w:rFonts w:ascii="Times New Roman" w:cs="Times New Roman" w:eastAsia="Times New Roman" w:hAnsi="Times New Roman"/>
          <w:sz w:val="18"/>
          <w:szCs w:val="18"/>
          <w:b w:val="1"/>
          <w:bCs w:val="1"/>
          <w:color w:val="auto"/>
        </w:rPr>
        <w:t>Section 4.15(b)</w:t>
      </w:r>
      <w:r>
        <w:rPr>
          <w:rFonts w:ascii="Times New Roman" w:cs="Times New Roman" w:eastAsia="Times New Roman" w:hAnsi="Times New Roman"/>
          <w:sz w:val="18"/>
          <w:szCs w:val="18"/>
          <w:color w:val="auto"/>
        </w:rPr>
        <w:t xml:space="preserve"> of the Disclosure Schedules lists all current Permits issued to the Company, including the names of the Permits and their respective dates of issuance and expiration. No event has occurred that, with or without notice or lapse of time or both, would reasonably be expected to result in the revocation, suspension, lapse or limitation of any Permit set forth in </w:t>
      </w:r>
      <w:r>
        <w:rPr>
          <w:rFonts w:ascii="Times New Roman" w:cs="Times New Roman" w:eastAsia="Times New Roman" w:hAnsi="Times New Roman"/>
          <w:sz w:val="18"/>
          <w:szCs w:val="18"/>
          <w:b w:val="1"/>
          <w:bCs w:val="1"/>
          <w:color w:val="auto"/>
        </w:rPr>
        <w:t>Section 4.15(b)</w:t>
      </w:r>
      <w:r>
        <w:rPr>
          <w:rFonts w:ascii="Times New Roman" w:cs="Times New Roman" w:eastAsia="Times New Roman" w:hAnsi="Times New Roman"/>
          <w:sz w:val="18"/>
          <w:szCs w:val="18"/>
          <w:color w:val="auto"/>
        </w:rPr>
        <w:t xml:space="preserve"> of the Disclosure Schedules.</w:t>
      </w:r>
    </w:p>
    <w:p>
      <w:pPr>
        <w:spacing w:after="0" w:line="179"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4.16</w:t>
      </w:r>
      <w:r>
        <w:rPr>
          <w:sz w:val="20"/>
          <w:szCs w:val="20"/>
          <w:color w:val="auto"/>
        </w:rPr>
        <w:tab/>
      </w:r>
      <w:r>
        <w:rPr>
          <w:rFonts w:ascii="Times New Roman" w:cs="Times New Roman" w:eastAsia="Times New Roman" w:hAnsi="Times New Roman"/>
          <w:sz w:val="17"/>
          <w:szCs w:val="17"/>
          <w:b w:val="1"/>
          <w:bCs w:val="1"/>
          <w:color w:val="auto"/>
        </w:rPr>
        <w:t>Environmental Matters.</w:t>
      </w:r>
    </w:p>
    <w:p>
      <w:pPr>
        <w:spacing w:after="0" w:line="229" w:lineRule="exact"/>
        <w:rPr>
          <w:sz w:val="20"/>
          <w:szCs w:val="20"/>
          <w:color w:val="auto"/>
        </w:rPr>
      </w:pPr>
    </w:p>
    <w:p>
      <w:pPr>
        <w:jc w:val="both"/>
        <w:ind w:firstLine="656"/>
        <w:spacing w:after="0" w:line="266" w:lineRule="auto"/>
        <w:tabs>
          <w:tab w:leader="none" w:pos="10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and is now complying, with all Environmental Laws. Neither the Company nor Parent has received notice from any Person that the Company, its business or assets, or any real property currently or formerly owned, leased, or used by the Company is or may be in violation of any Environmental Law or any applicable Law regarding Hazardous Substances.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13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spill, leak, discharge, injection, escape, leaching, dumping, disposal, or Release of any kind of any Hazardous Substances in violation of any Environmental Law: (i) with respect to the business or assets of the Company; or (ii) at, from, in, adjacent to, or on any real property currently or formerly owned, leased, or used by the Company. There are no Hazardous Substances in, on, about, or migrating to any real property currently or formerly owned, leased, or used by the Company, and such real property is not affected in any way by any Hazardous Substances.</w:t>
      </w:r>
    </w:p>
    <w:p>
      <w:pPr>
        <w:spacing w:after="0" w:line="175" w:lineRule="exact"/>
        <w:rPr>
          <w:rFonts w:ascii="Times New Roman" w:cs="Times New Roman" w:eastAsia="Times New Roman" w:hAnsi="Times New Roman"/>
          <w:sz w:val="18"/>
          <w:szCs w:val="18"/>
          <w:color w:val="auto"/>
        </w:rPr>
      </w:pPr>
    </w:p>
    <w:p>
      <w:pPr>
        <w:jc w:val="both"/>
        <w:ind w:firstLine="656"/>
        <w:spacing w:after="0" w:line="257" w:lineRule="auto"/>
        <w:tabs>
          <w:tab w:leader="none" w:pos="102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(i)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all Laws, now or hereafter in effect, in each case as amended or supplemented from time to time, relating to the regulation and protection of human health, safety, the environment, and natural resources, including any federal, state, or local transfer of ownership notification or approval statutes; and (ii) “</w:t>
      </w:r>
      <w:r>
        <w:rPr>
          <w:rFonts w:ascii="Times New Roman" w:cs="Times New Roman" w:eastAsia="Times New Roman" w:hAnsi="Times New Roman"/>
          <w:sz w:val="18"/>
          <w:szCs w:val="18"/>
          <w:b w:val="1"/>
          <w:bCs w:val="1"/>
          <w:color w:val="auto"/>
        </w:rPr>
        <w:t>Hazardous Substances</w:t>
      </w:r>
      <w:r>
        <w:rPr>
          <w:rFonts w:ascii="Times New Roman" w:cs="Times New Roman" w:eastAsia="Times New Roman" w:hAnsi="Times New Roman"/>
          <w:sz w:val="18"/>
          <w:szCs w:val="18"/>
          <w:color w:val="auto"/>
        </w:rPr>
        <w:t>” means: (A) “hazardous materials,” “hazardous wastes,” “hazardous substances,” “industrial wastes,” or “toxic pollutants,” as such terms are defined under any Environmental Laws; (B) any other hazardous or radioactive substance, contaminant, or waste; and (C) any other substance with respect to which any Environmental Law or Governmental Authority requires environmental investigation, regulation, monitoring, or remediation.</w:t>
      </w:r>
    </w:p>
    <w:p>
      <w:pPr>
        <w:spacing w:after="0" w:line="182"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4.17</w:t>
      </w:r>
      <w:r>
        <w:rPr>
          <w:sz w:val="20"/>
          <w:szCs w:val="20"/>
          <w:color w:val="auto"/>
        </w:rPr>
        <w:tab/>
      </w:r>
      <w:r>
        <w:rPr>
          <w:rFonts w:ascii="Times New Roman" w:cs="Times New Roman" w:eastAsia="Times New Roman" w:hAnsi="Times New Roman"/>
          <w:sz w:val="17"/>
          <w:szCs w:val="17"/>
          <w:b w:val="1"/>
          <w:bCs w:val="1"/>
          <w:color w:val="auto"/>
        </w:rPr>
        <w:t>Employee Benefit Matters.</w:t>
      </w:r>
    </w:p>
    <w:p>
      <w:pPr>
        <w:spacing w:after="0" w:line="225" w:lineRule="exact"/>
        <w:rPr>
          <w:sz w:val="20"/>
          <w:szCs w:val="20"/>
          <w:color w:val="auto"/>
        </w:rPr>
      </w:pPr>
    </w:p>
    <w:p>
      <w:pPr>
        <w:jc w:val="both"/>
        <w:ind w:firstLine="656"/>
        <w:spacing w:after="0" w:line="254" w:lineRule="auto"/>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4.17(a) </w:t>
      </w:r>
      <w:r>
        <w:rPr>
          <w:rFonts w:ascii="Times New Roman" w:cs="Times New Roman" w:eastAsia="Times New Roman" w:hAnsi="Times New Roman"/>
          <w:sz w:val="18"/>
          <w:szCs w:val="18"/>
          <w:color w:val="auto"/>
        </w:rPr>
        <w:t>of the Disclosure Schedules contains a true and complete list of each pension, benefit, retirement,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employment, consulting, profit-sharing, deferred compensation, incentive, bonus, performance award, phantom equity, stock or stock-based, change in control, retention, severance, vacation, paid time off, welfare, fringe-benefit and other similar agreement, plan, policy, program or arrangement (and any amendments thereto), in each case whether or not reduced to writing and whether funded or unfunded, including each “employee benefit plan” within the meaning of Section 3(3) of ERISA, whether or not tax-qualified and whether or not subject to ERISA, which is or has been maintained, sponsored, contributed to, or required to be contributed to by the Company for the benefit of any current or former employee, officer, director, retiree, independent contractor or consultant of the Company or any spouse or dependent of such individual, or under which the Company or any of its ERISA Affiliates has or may have any Liability, or with respect to which Parent or any of its Affiliates would reasonably be expected to have any Liability, contingent or otherwise (as listed on </w:t>
      </w:r>
      <w:r>
        <w:rPr>
          <w:rFonts w:ascii="Times New Roman" w:cs="Times New Roman" w:eastAsia="Times New Roman" w:hAnsi="Times New Roman"/>
          <w:sz w:val="18"/>
          <w:szCs w:val="18"/>
          <w:b w:val="1"/>
          <w:bCs w:val="1"/>
          <w:color w:val="auto"/>
        </w:rPr>
        <w:t>Section 4.17(a)</w:t>
      </w:r>
      <w:r>
        <w:rPr>
          <w:rFonts w:ascii="Times New Roman" w:cs="Times New Roman" w:eastAsia="Times New Roman" w:hAnsi="Times New Roman"/>
          <w:sz w:val="18"/>
          <w:szCs w:val="18"/>
          <w:color w:val="auto"/>
        </w:rPr>
        <w:t xml:space="preserve"> of the Disclosure Schedules, each, a “</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xml:space="preserve">”). The Company has separately identified in </w:t>
      </w:r>
      <w:r>
        <w:rPr>
          <w:rFonts w:ascii="Times New Roman" w:cs="Times New Roman" w:eastAsia="Times New Roman" w:hAnsi="Times New Roman"/>
          <w:sz w:val="18"/>
          <w:szCs w:val="18"/>
          <w:b w:val="1"/>
          <w:bCs w:val="1"/>
          <w:color w:val="auto"/>
        </w:rPr>
        <w:t>Section 4.17(a)</w:t>
      </w:r>
      <w:r>
        <w:rPr>
          <w:rFonts w:ascii="Times New Roman" w:cs="Times New Roman" w:eastAsia="Times New Roman" w:hAnsi="Times New Roman"/>
          <w:sz w:val="18"/>
          <w:szCs w:val="18"/>
          <w:color w:val="auto"/>
        </w:rPr>
        <w:t xml:space="preserve"> of the Disclosure Schedules each Benefit Plan that contains a change in control provision.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jc w:val="both"/>
        <w:ind w:firstLine="656"/>
        <w:spacing w:after="0" w:line="255" w:lineRule="auto"/>
        <w:tabs>
          <w:tab w:leader="none" w:pos="107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Benefit Plan, the Company has provided Parent with accurate, current, and complete copies of each of the following: (i) the plan document with all amendments, or if not reduced to writing, a written summary of all material plan terms; (ii) any written contracts and arrangements related to such Benefit Plan, including trust agreements or other funding arrangements, and insurance policies, certificates, and contracts; (iii) in the case of a Benefit Plan intended to be qualified under Section 401(a) of the Code, the most recent favorable determination or national office approval letter issued by the Internal Revenue Service and any legal opinions issued thereafter with respect to the Benefit Plan’s continued qualification; (iv) the most recent Form 5500 filed with respect to such Benefit Plan; and (v) any material notices, audits, inquiries, or other correspondence from, or filings with, any Governmental Authority relating to the Benefit Plan.</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05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Benefit Plan and related trust has been established, administered, and maintained in accordance with its terms and in compliance with all applicable Laws (including ERISA and the Code). Nothing has occurred with respect to any Benefit Plan that has subjected or could subject the Company or, with respect to any period on or after the Closing Date, Parent or any of its Affiliates, to a civil action, penalty, surcharge, or Tax under applicable Law or which would jeopardize the previously-determined qualified status of any Benefit Plan. All benefits, contributions, and premiums relating to each Benefit Plan have been timely paid in accordance with the terms of such Benefit Plan and all applicable Laws and accounting principles. Benefits accrued under any unfunded Benefit Plan have been paid, accrued or adequately reserved for to the extent required by applicable accounting rules.</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0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(i) incurred, nor reasonably expects to incur, any Liability under Title I or Title IV of ERISA or related provisions of the Code or applicable Law relating to any Benefit Plan; or (ii) incurred, nor reasonably expects to incur, any Liability to the Pension Benefit Guaranty Corporation. No complete or partial termination of any Benefit Plan has occurred or is expected to occur.</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4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now or at any time within the previous six (6) years contributed to, sponsored, or maintained any: (i) “multiemployer plan” as defined in Section 3(37) of ERISA; (ii) “single-employer plan” as defined in Section 4001(a)(15) of ERISA; (iii) “multiple employer plan” as defined in Section 413(c) of the Code; (iv) “multiple employer welfare arrangement” as defined in Section 3(40) of ERISA; (v) a leveraged employee stock ownership plan described in Section 4975 I(7) of the Code; or (vi) any other Benefit Plan subject to required minimum funding requirements.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0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required under Sections 601 to 608 of ERISA or other applicable Law, no Benefit Plan provides post-termination or retiree welfare benefits to any individual for any reason.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4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who is classified by the Company as an independent contractor has been properly classified for purposes of participation and benefit accrual under each Benefit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both"/>
        <w:ind w:firstLine="656"/>
        <w:spacing w:after="0" w:line="256" w:lineRule="auto"/>
        <w:tabs>
          <w:tab w:leader="none" w:pos="123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of this Agreement nor any of the transactions contemplated by this Agreement will (either alone or upon the occurrence of any additional or subsequent events): (i) entitle any current or former director, officer, employee, independent contractor or consultant of the Company to severance pay or any other payment; (ii) accelerate the time of payment, funding or vesting, or increase the amount of compensation due to any such individual; (iii) limit or restrict the right of the Company to merge, amend or terminate any Benefit Plan; (iv) increase the amount payable under or result in any other material obligation pursuant to any Benefit Plan; (v) result in “excess parachute payments” within the meaning of Section 280G(b) of the Code; or (vi) require a “gross-up” or other payment to any “disqualified individual” within the meaning of Section 280G(c) of the Code.</w:t>
      </w:r>
    </w:p>
    <w:p>
      <w:pPr>
        <w:spacing w:after="0" w:line="183"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4.18</w:t>
      </w:r>
      <w:r>
        <w:rPr>
          <w:sz w:val="20"/>
          <w:szCs w:val="20"/>
          <w:color w:val="auto"/>
        </w:rPr>
        <w:tab/>
      </w:r>
      <w:r>
        <w:rPr>
          <w:rFonts w:ascii="Times New Roman" w:cs="Times New Roman" w:eastAsia="Times New Roman" w:hAnsi="Times New Roman"/>
          <w:sz w:val="17"/>
          <w:szCs w:val="17"/>
          <w:b w:val="1"/>
          <w:bCs w:val="1"/>
          <w:color w:val="auto"/>
        </w:rPr>
        <w:t>Employment Matters.</w:t>
      </w:r>
    </w:p>
    <w:p>
      <w:pPr>
        <w:spacing w:after="0" w:line="225" w:lineRule="exact"/>
        <w:rPr>
          <w:sz w:val="20"/>
          <w:szCs w:val="20"/>
          <w:color w:val="auto"/>
        </w:rPr>
      </w:pPr>
    </w:p>
    <w:p>
      <w:pPr>
        <w:jc w:val="both"/>
        <w:ind w:firstLine="656"/>
        <w:spacing w:after="0" w:line="255" w:lineRule="auto"/>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4.18(a) </w:t>
      </w:r>
      <w:r>
        <w:rPr>
          <w:rFonts w:ascii="Times New Roman" w:cs="Times New Roman" w:eastAsia="Times New Roman" w:hAnsi="Times New Roman"/>
          <w:sz w:val="18"/>
          <w:szCs w:val="18"/>
          <w:color w:val="auto"/>
        </w:rPr>
        <w:t>of the Disclosure Schedules contains a list of all persons who are employees, independent contractors or consultants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as of the date hereof, including any employee who is on a leave of absence of any nature, paid or unpaid, authorized or unauthorized, and sets forth for each such individual the following: (i) name; (ii) title or position (including whether full or part time); (iii) hire date; (iv) current annual base compensation rate; (v) commission, bonus or other incentive-based compensation; and (vi) a description of the fringe benefits provided to each such individual as of the date hereof. Except as set forth in </w:t>
      </w:r>
      <w:r>
        <w:rPr>
          <w:rFonts w:ascii="Times New Roman" w:cs="Times New Roman" w:eastAsia="Times New Roman" w:hAnsi="Times New Roman"/>
          <w:sz w:val="18"/>
          <w:szCs w:val="18"/>
          <w:b w:val="1"/>
          <w:bCs w:val="1"/>
          <w:color w:val="auto"/>
        </w:rPr>
        <w:t>Section 4.18(a)</w:t>
      </w:r>
      <w:r>
        <w:rPr>
          <w:rFonts w:ascii="Times New Roman" w:cs="Times New Roman" w:eastAsia="Times New Roman" w:hAnsi="Times New Roman"/>
          <w:sz w:val="18"/>
          <w:szCs w:val="18"/>
          <w:color w:val="auto"/>
        </w:rPr>
        <w:t xml:space="preserve"> of the Disclosure Schedules, as of the date hereof, all compensation, including wages, commissions and bonuses, payable to all employees, independent contractors or consultants of the Company for services performed on or prior to the date hereof have been paid in full (or accrued in full on the balance sheet contained in the Closing Working Capital Statement) and there are no outstanding agreements, understandings or commitments of the Company with respect to any compensation, commissions or bonuses.</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08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has not since the inception of the Company, been a party to, bound by, or negotiating any collective bargaining agreement or other Contract with a union, works council or labor organization (collectively, “</w:t>
      </w:r>
      <w:r>
        <w:rPr>
          <w:rFonts w:ascii="Times New Roman" w:cs="Times New Roman" w:eastAsia="Times New Roman" w:hAnsi="Times New Roman"/>
          <w:sz w:val="18"/>
          <w:szCs w:val="18"/>
          <w:b w:val="1"/>
          <w:bCs w:val="1"/>
          <w:color w:val="auto"/>
        </w:rPr>
        <w:t>Union</w:t>
      </w:r>
      <w:r>
        <w:rPr>
          <w:rFonts w:ascii="Times New Roman" w:cs="Times New Roman" w:eastAsia="Times New Roman" w:hAnsi="Times New Roman"/>
          <w:sz w:val="18"/>
          <w:szCs w:val="18"/>
          <w:color w:val="auto"/>
        </w:rPr>
        <w:t>”), and there is not, and has not been since the inception of the Company, any Union representing or purporting to represent any employee of the Company, and no Union or group of employees is seeking or has sought to organize employees for the purpose of collective bargaining. There has never been, nor has there been any threat of, any strike, slowdown, work stoppage, lockout, concerted refusal to work overtime or other similar labor disruption or dispute affecting the Company or any of its employees. The Company has no duty to bargain with any Union.</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107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has been in compliance all applicable Laws pertaining to employment and employment practices, including all Laws relating to labor relations, equal employment opportunities, fair employment practices, employment discrimination, harassment, retaliation, reasonable accommodation, disability rights or benefits, immigration, wages, hours, overtime compensation, child labor, hiring, promotion and termination of employees, working conditions, meal and break periods, privacy, health and safety, workers’ compensation, leaves of absence and unemployment insurance. All individuals characterized and treated by the Company as independent contractors or consultants are properly treated as independent contractors under all applicable Laws. All employees of the Company classified as exempt under the Fair Labor Standards Act and state and local wage and hour laws are properly classified. There are no Actions against the Company pending, or to the Company’s Knowledge, threatened to be brought or filed, by or with any Governmental Authority or arbitrator in connection with the employment of any current or former applicant, employee, consultant, volunteer, intern or independent contractor of the Company, including, without limitation, any claim relating to unfair labor practices, employment discrimination, harassment, retaliation, equal pay, wage and hours or any other employment-related matter arising under applicable Laws.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jc w:val="both"/>
        <w:ind w:firstLine="656"/>
        <w:spacing w:after="0" w:line="256" w:lineRule="auto"/>
        <w:tabs>
          <w:tab w:leader="none" w:pos="108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Government Contract, the Company is and has been in compliance with Executive Order No. 11246 of 1965 (“</w:t>
      </w:r>
      <w:r>
        <w:rPr>
          <w:rFonts w:ascii="Times New Roman" w:cs="Times New Roman" w:eastAsia="Times New Roman" w:hAnsi="Times New Roman"/>
          <w:sz w:val="18"/>
          <w:szCs w:val="18"/>
          <w:b w:val="1"/>
          <w:bCs w:val="1"/>
          <w:color w:val="auto"/>
        </w:rPr>
        <w:t>E.O.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11246</w:t>
      </w:r>
      <w:r>
        <w:rPr>
          <w:rFonts w:ascii="Times New Roman" w:cs="Times New Roman" w:eastAsia="Times New Roman" w:hAnsi="Times New Roman"/>
          <w:sz w:val="18"/>
          <w:szCs w:val="18"/>
          <w:color w:val="auto"/>
        </w:rPr>
        <w:t>”), Section 503 of the Rehabilitation Act of 1973 (“</w:t>
      </w:r>
      <w:r>
        <w:rPr>
          <w:rFonts w:ascii="Times New Roman" w:cs="Times New Roman" w:eastAsia="Times New Roman" w:hAnsi="Times New Roman"/>
          <w:sz w:val="18"/>
          <w:szCs w:val="18"/>
          <w:b w:val="1"/>
          <w:bCs w:val="1"/>
          <w:color w:val="auto"/>
        </w:rPr>
        <w:t>Section 503</w:t>
      </w:r>
      <w:r>
        <w:rPr>
          <w:rFonts w:ascii="Times New Roman" w:cs="Times New Roman" w:eastAsia="Times New Roman" w:hAnsi="Times New Roman"/>
          <w:sz w:val="18"/>
          <w:szCs w:val="18"/>
          <w:color w:val="auto"/>
        </w:rPr>
        <w:t>”) and the Vietnam Era Veterans’ Readjustment Assistance Act of 1974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VEVRAA</w:t>
      </w:r>
      <w:r>
        <w:rPr>
          <w:rFonts w:ascii="Times New Roman" w:cs="Times New Roman" w:eastAsia="Times New Roman" w:hAnsi="Times New Roman"/>
          <w:sz w:val="18"/>
          <w:szCs w:val="18"/>
          <w:color w:val="auto"/>
        </w:rPr>
        <w:t>”), including all implementing regulations. The Company maintains and complies with affirmative action plans in compliance with E.O. 11246, Section 503 and VEVRAA, including all implementing regulations. The Company is not, and has not been for the past six (6) years, the subject of any audit, investigation or enforcement action by any Governmental Authority in connection with any Government Contract or related compliance with E.O. 11246, Section 503 and VEVRAA. The Company has not been debarred, suspended or otherwise made ineligible from doing business with the United States government or any government contractor.</w:t>
      </w:r>
    </w:p>
    <w:p>
      <w:pPr>
        <w:spacing w:after="0" w:line="183"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4.19</w:t>
      </w:r>
      <w:r>
        <w:rPr>
          <w:sz w:val="20"/>
          <w:szCs w:val="20"/>
          <w:color w:val="auto"/>
        </w:rPr>
        <w:tab/>
      </w:r>
      <w:r>
        <w:rPr>
          <w:rFonts w:ascii="Times New Roman" w:cs="Times New Roman" w:eastAsia="Times New Roman" w:hAnsi="Times New Roman"/>
          <w:sz w:val="17"/>
          <w:szCs w:val="17"/>
          <w:b w:val="1"/>
          <w:bCs w:val="1"/>
          <w:color w:val="auto"/>
        </w:rPr>
        <w:t>Taxes.</w:t>
      </w:r>
    </w:p>
    <w:p>
      <w:pPr>
        <w:spacing w:after="0" w:line="229" w:lineRule="exact"/>
        <w:rPr>
          <w:sz w:val="20"/>
          <w:szCs w:val="20"/>
          <w:color w:val="auto"/>
        </w:rPr>
      </w:pPr>
    </w:p>
    <w:p>
      <w:pPr>
        <w:jc w:val="both"/>
        <w:ind w:firstLine="656"/>
        <w:spacing w:after="0" w:line="266" w:lineRule="auto"/>
        <w:tabs>
          <w:tab w:leader="none" w:pos="10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required to be filed on or before the Closing Date by the Company have been, or will be, timely filed. Such Tax Returns are, or will be, true, complete and correct in all respects. All Taxes due and owing by the Company (whether or not shown on any Tax Return) have been, or will be, timely paid.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8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withheld and paid each Tax required to have been withheld and paid in connection with amounts paid or owing to any employee, independent contractor, creditor, customer, shareholder or other party, and complied with all information reporting and backup withholding provisions of applicable Law.</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has been made by any taxing authority in any jurisdiction where the Company does not file Tax Returns that it is, or may be, subject to Tax by that jurisdiction.</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extensions or waivers of statutes of limitations have been given or requested with respect to any Taxes of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03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Company’s Liability for unpaid Taxes for all periods ending on or before May 31, 2022 does not, in the aggregate, exceed the amount of accruals for Taxes (excluding reserves for deferred Taxes) reflected on the Financial Statements. The amount of the Company’s Liability for unpaid Taxes for all periods following the end of the recent period covered by the Financial Statements shall not, in the aggregate, exceed the amount of accruals for Taxes (excluding reserves for deferred Taxes) as adjusted for the passage of time in accordance with the past custom and practice of the Company (and which accruals shall not exceed comparable amounts incurred in similar periods in prior years).</w:t>
      </w:r>
    </w:p>
    <w:p>
      <w:pPr>
        <w:spacing w:after="0" w:line="179"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4.19(f) </w:t>
      </w:r>
      <w:r>
        <w:rPr>
          <w:rFonts w:ascii="Times New Roman" w:cs="Times New Roman" w:eastAsia="Times New Roman" w:hAnsi="Times New Roman"/>
          <w:sz w:val="18"/>
          <w:szCs w:val="18"/>
          <w:color w:val="auto"/>
        </w:rPr>
        <w:t>of the Disclosure Schedules sets forth:</w:t>
      </w:r>
    </w:p>
    <w:p>
      <w:pPr>
        <w:spacing w:after="0" w:line="229" w:lineRule="exact"/>
        <w:rPr>
          <w:rFonts w:ascii="Times New Roman" w:cs="Times New Roman" w:eastAsia="Times New Roman" w:hAnsi="Times New Roman"/>
          <w:sz w:val="18"/>
          <w:szCs w:val="18"/>
          <w:color w:val="auto"/>
        </w:rPr>
      </w:pPr>
    </w:p>
    <w:p>
      <w:pPr>
        <w:ind w:firstLine="1142"/>
        <w:spacing w:after="0" w:line="282" w:lineRule="auto"/>
        <w:tabs>
          <w:tab w:leader="none" w:pos="152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 taxable years of the Company as to which the applicable statutes of limitations on the assessment and collection of Taxes have not expired;</w:t>
      </w:r>
    </w:p>
    <w:p>
      <w:pPr>
        <w:spacing w:after="0" w:line="161" w:lineRule="exact"/>
        <w:rPr>
          <w:rFonts w:ascii="Times New Roman" w:cs="Times New Roman" w:eastAsia="Times New Roman" w:hAnsi="Times New Roman"/>
          <w:sz w:val="18"/>
          <w:szCs w:val="18"/>
          <w:color w:val="auto"/>
        </w:rPr>
      </w:pPr>
    </w:p>
    <w:p>
      <w:pPr>
        <w:ind w:left="1540" w:hanging="398"/>
        <w:spacing w:after="0"/>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those years for which examinations by the taxing authorities have been completed;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ind w:left="1600" w:hanging="458"/>
        <w:spacing w:after="0"/>
        <w:tabs>
          <w:tab w:leader="none" w:pos="16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taxable years for which examinations by taxing authorities are presently being conducted.</w:t>
      </w:r>
    </w:p>
    <w:p>
      <w:pPr>
        <w:spacing w:after="0" w:line="225"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deficiencies asserted, or assessments made, against the Company as a result of any examinations by any taxing authority have been fully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w:t>
      </w:r>
    </w:p>
    <w:p>
      <w:pPr>
        <w:spacing w:after="0" w:line="207" w:lineRule="exact"/>
        <w:rPr>
          <w:sz w:val="20"/>
          <w:szCs w:val="20"/>
          <w:color w:val="auto"/>
        </w:rPr>
      </w:pPr>
    </w:p>
    <w:p>
      <w:pPr>
        <w:ind w:left="1040" w:hanging="384"/>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Action by any taxing authority. There are no pending or threatened Actions by any taxing authority.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3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Parent copies of all federal, state, local and foreign income, franchise and similar Tax Returns, examination reports, and statements of deficiencies assessed against, or agreed to by, the Company for all Tax periods ending after December 31, 2017.</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Encumbrances for Taxes (other than for current Taxes not yet due and payable) upon the assets of the Company.</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or bound by, any Tax indemnity, Tax sharing or Tax allocation agreement.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6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private letter rulings, technical advice memoranda or similar agreement or rulings have been requested, entered into or issued by any taxing authority with respect to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10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been a member of an affiliated, combined, consolidated or unitary Tax group for Tax purposes. The Company has no Liability for Taxes of any Person (other than the Company) under Treasury Regulations Section 1.1502-6 (or any corresponding provision of state, local or foreign Law), as transferee or successor, by contract or otherwise.</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10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to include any item of income in, or exclude any item or deduction from, taxable income for taxable period or portion thereof ending after the Closing Date as a result of:</w:t>
      </w:r>
    </w:p>
    <w:p>
      <w:pPr>
        <w:spacing w:after="0" w:line="161" w:lineRule="exact"/>
        <w:rPr>
          <w:rFonts w:ascii="Times New Roman" w:cs="Times New Roman" w:eastAsia="Times New Roman" w:hAnsi="Times New Roman"/>
          <w:sz w:val="18"/>
          <w:szCs w:val="18"/>
          <w:color w:val="auto"/>
        </w:rPr>
      </w:pPr>
    </w:p>
    <w:p>
      <w:pPr>
        <w:ind w:firstLine="1142"/>
        <w:spacing w:after="0" w:line="282" w:lineRule="auto"/>
        <w:tabs>
          <w:tab w:leader="none" w:pos="156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a method of accounting under Section 481 of the Code (or any comparable provision of state, local or foreign Tax Laws), or use of an improper method of accounting, for a taxable period ending on or prior to the Closing Date;</w:t>
      </w:r>
    </w:p>
    <w:p>
      <w:pPr>
        <w:spacing w:after="0" w:line="161" w:lineRule="exact"/>
        <w:rPr>
          <w:rFonts w:ascii="Times New Roman" w:cs="Times New Roman" w:eastAsia="Times New Roman" w:hAnsi="Times New Roman"/>
          <w:sz w:val="18"/>
          <w:szCs w:val="18"/>
          <w:color w:val="auto"/>
        </w:rPr>
      </w:pPr>
    </w:p>
    <w:p>
      <w:pPr>
        <w:ind w:left="1540" w:hanging="398"/>
        <w:spacing w:after="0"/>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installment sale or open transaction occurring on or prior to the Closing Date;</w:t>
      </w:r>
    </w:p>
    <w:p>
      <w:pPr>
        <w:spacing w:after="0" w:line="225" w:lineRule="exact"/>
        <w:rPr>
          <w:rFonts w:ascii="Times New Roman" w:cs="Times New Roman" w:eastAsia="Times New Roman" w:hAnsi="Times New Roman"/>
          <w:sz w:val="18"/>
          <w:szCs w:val="18"/>
          <w:color w:val="auto"/>
        </w:rPr>
      </w:pPr>
    </w:p>
    <w:p>
      <w:pPr>
        <w:ind w:left="1600" w:hanging="458"/>
        <w:spacing w:after="0"/>
        <w:tabs>
          <w:tab w:leader="none" w:pos="16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prepaid amount received on or before the Closing Date;</w:t>
      </w:r>
    </w:p>
    <w:p>
      <w:pPr>
        <w:spacing w:after="0" w:line="225" w:lineRule="exact"/>
        <w:rPr>
          <w:rFonts w:ascii="Times New Roman" w:cs="Times New Roman" w:eastAsia="Times New Roman" w:hAnsi="Times New Roman"/>
          <w:sz w:val="18"/>
          <w:szCs w:val="18"/>
          <w:color w:val="auto"/>
        </w:rPr>
      </w:pPr>
    </w:p>
    <w:p>
      <w:pPr>
        <w:ind w:left="1580" w:hanging="438"/>
        <w:spacing w:after="0"/>
        <w:tabs>
          <w:tab w:leader="none" w:pos="15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closing agreement under Section 7121 of the Code, or similar provision of state, local or foreign Law; or</w:t>
      </w:r>
    </w:p>
    <w:p>
      <w:pPr>
        <w:spacing w:after="0" w:line="225" w:lineRule="exact"/>
        <w:rPr>
          <w:rFonts w:ascii="Times New Roman" w:cs="Times New Roman" w:eastAsia="Times New Roman" w:hAnsi="Times New Roman"/>
          <w:sz w:val="18"/>
          <w:szCs w:val="18"/>
          <w:color w:val="auto"/>
        </w:rPr>
      </w:pPr>
    </w:p>
    <w:p>
      <w:pPr>
        <w:ind w:left="1540" w:hanging="398"/>
        <w:spacing w:after="0"/>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election under Section 108(i) of the Code.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nor has it been, a United States real property holding corporation (as defined in Section 897(c)(2) of the Code) during the applicable period specified in Section 897(c)(1)(a) of the Code.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been a “distributing corporation” or a “controlled corporation” in connection with a distribution described in Section 355 of the Code.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ind w:firstLine="656"/>
        <w:spacing w:after="0" w:line="282" w:lineRule="auto"/>
        <w:tabs>
          <w:tab w:leader="none" w:pos="10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has not been, a party to, or a promoter of, a “reportable transaction” within the meaning of Section 67I(c)(1) of the Code and Treasury Regulations Section 1.6011 4(b).</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7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currently no limitation on the utilization of net operating losses, capital losses, built-in losses, tax credits or similar items of the Company under Sections 269, 382, 383, 384 or 1502 of the Code and the Treasury Regulations thereunder (and comparable provisions of state, local or foreign Law).</w:t>
      </w:r>
    </w:p>
    <w:p>
      <w:pPr>
        <w:spacing w:after="0" w:line="171" w:lineRule="exact"/>
        <w:rPr>
          <w:rFonts w:ascii="Times New Roman" w:cs="Times New Roman" w:eastAsia="Times New Roman" w:hAnsi="Times New Roman"/>
          <w:sz w:val="18"/>
          <w:szCs w:val="18"/>
          <w:color w:val="auto"/>
        </w:rPr>
      </w:pPr>
    </w:p>
    <w:p>
      <w:pPr>
        <w:jc w:val="both"/>
        <w:ind w:firstLine="656"/>
        <w:spacing w:after="0" w:line="268" w:lineRule="auto"/>
        <w:tabs>
          <w:tab w:leader="none" w:pos="10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4.19(s) </w:t>
      </w:r>
      <w:r>
        <w:rPr>
          <w:rFonts w:ascii="Times New Roman" w:cs="Times New Roman" w:eastAsia="Times New Roman" w:hAnsi="Times New Roman"/>
          <w:sz w:val="18"/>
          <w:szCs w:val="18"/>
          <w:color w:val="auto"/>
        </w:rPr>
        <w:t>of the Disclosure Schedules sets forth all foreign jurisdictions in which the Company is subject to Tax, is engaged in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has a permanent establishment. The Company has not entered into a gain recognition agreement pursuant to Treasury Regulations Section 1.367(a)-8. The Company has not transferred an intangible the transfer of which would be subject to the rules of Section 367(d) of the Code.</w:t>
      </w:r>
    </w:p>
    <w:p>
      <w:pPr>
        <w:spacing w:after="0" w:line="174" w:lineRule="exact"/>
        <w:rPr>
          <w:rFonts w:ascii="Times New Roman" w:cs="Times New Roman" w:eastAsia="Times New Roman" w:hAnsi="Times New Roman"/>
          <w:sz w:val="18"/>
          <w:szCs w:val="18"/>
          <w:color w:val="auto"/>
        </w:rPr>
      </w:pPr>
    </w:p>
    <w:p>
      <w:pPr>
        <w:jc w:val="both"/>
        <w:ind w:firstLine="656"/>
        <w:spacing w:after="0" w:line="266" w:lineRule="auto"/>
        <w:tabs>
          <w:tab w:leader="none" w:pos="105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property owned by the Company is (i) required to be treated as being owned by another person pursuant to the so-called “safe harbor lease” provisions of former Section 168(f)(8) of the Internal Revenue Code of 1954, as amended, (ii) subject to Section 168(g)(1)(A) of the Code, or (iii) subject to a disqualified leaseback or long-term agreement as defined in Section 467 of the Code.</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4.20 Books and Records. </w:t>
      </w:r>
      <w:r>
        <w:rPr>
          <w:rFonts w:ascii="Times New Roman" w:cs="Times New Roman" w:eastAsia="Times New Roman" w:hAnsi="Times New Roman"/>
          <w:sz w:val="18"/>
          <w:szCs w:val="18"/>
          <w:color w:val="auto"/>
        </w:rPr>
        <w:t>The minute books and stock record books of the Company, all of which have been provided to Parent,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and correct and have been maintained in accordance with sound business practices. The minute books of the Company contain accurate and complete records of all meetings, and actions taken by written consent of, the Stockholders, the Company Board and any committees of the Company Board, and no meeting, or action taken by written consent, of any such Stockholders, Company Board or committee has been held for which minutes have not been prepared and are not contained in such minute books. At the Closing, all of those books and records will be in the possession of the Company.</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4.21 Related Party Transactions. </w:t>
      </w:r>
      <w:r>
        <w:rPr>
          <w:rFonts w:ascii="Times New Roman" w:cs="Times New Roman" w:eastAsia="Times New Roman" w:hAnsi="Times New Roman"/>
          <w:sz w:val="18"/>
          <w:szCs w:val="18"/>
          <w:color w:val="auto"/>
        </w:rPr>
        <w:t>No executive officer or director of the Company or any person owning 5% or of the Shares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person’s immediate family members or Affiliates or associates) is a party to any Contract with or binding upon the Company or any of its assets, rights or properties or has any interest in any property owned by the Company or has engaged in any transaction with any of the foregoing within the last twelve (12) months.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4.22 Investment Company Act Representation</w:t>
      </w:r>
      <w:r>
        <w:rPr>
          <w:rFonts w:ascii="Times New Roman" w:cs="Times New Roman" w:eastAsia="Times New Roman" w:hAnsi="Times New Roman"/>
          <w:sz w:val="18"/>
          <w:szCs w:val="18"/>
          <w:color w:val="auto"/>
        </w:rPr>
        <w:t>. Neither the Company nor any subsidiary is an “</w:t>
      </w:r>
      <w:r>
        <w:rPr>
          <w:rFonts w:ascii="Times New Roman" w:cs="Times New Roman" w:eastAsia="Times New Roman" w:hAnsi="Times New Roman"/>
          <w:sz w:val="18"/>
          <w:szCs w:val="18"/>
          <w:i w:val="1"/>
          <w:iCs w:val="1"/>
          <w:color w:val="auto"/>
        </w:rPr>
        <w:t>investment company</w:t>
      </w:r>
      <w:r>
        <w:rPr>
          <w:rFonts w:ascii="Times New Roman" w:cs="Times New Roman" w:eastAsia="Times New Roman" w:hAnsi="Times New Roman"/>
          <w:sz w:val="18"/>
          <w:szCs w:val="18"/>
          <w:color w:val="auto"/>
        </w:rPr>
        <w:t>” or a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controlled</w:t>
      </w:r>
      <w:r>
        <w:rPr>
          <w:rFonts w:ascii="Times New Roman" w:cs="Times New Roman" w:eastAsia="Times New Roman" w:hAnsi="Times New Roman"/>
          <w:sz w:val="18"/>
          <w:szCs w:val="18"/>
          <w:color w:val="auto"/>
        </w:rPr>
        <w:t>” by an “</w:t>
      </w:r>
      <w:r>
        <w:rPr>
          <w:rFonts w:ascii="Times New Roman" w:cs="Times New Roman" w:eastAsia="Times New Roman" w:hAnsi="Times New Roman"/>
          <w:sz w:val="18"/>
          <w:szCs w:val="18"/>
          <w:i w:val="1"/>
          <w:iCs w:val="1"/>
          <w:color w:val="auto"/>
        </w:rPr>
        <w:t>investment company</w:t>
      </w:r>
      <w:r>
        <w:rPr>
          <w:rFonts w:ascii="Times New Roman" w:cs="Times New Roman" w:eastAsia="Times New Roman" w:hAnsi="Times New Roman"/>
          <w:sz w:val="18"/>
          <w:szCs w:val="18"/>
          <w:color w:val="auto"/>
        </w:rPr>
        <w:t>”, within the meaning of the Investment Company Act of 1940, as amended.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4.23 Brokers. </w:t>
      </w:r>
      <w:r>
        <w:rPr>
          <w:rFonts w:ascii="Times New Roman" w:cs="Times New Roman" w:eastAsia="Times New Roman" w:hAnsi="Times New Roman"/>
          <w:sz w:val="18"/>
          <w:szCs w:val="18"/>
          <w:color w:val="auto"/>
        </w:rPr>
        <w:t>No broker, finder or investment banker is entitled to any brokerage, finder’s or other fee or commission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transactions contemplated by this Agreement or any Ancillary Document based upon arrangements made by or on behalf of the Company.</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4.24 Full Disclosure. </w:t>
      </w:r>
      <w:r>
        <w:rPr>
          <w:rFonts w:ascii="Times New Roman" w:cs="Times New Roman" w:eastAsia="Times New Roman" w:hAnsi="Times New Roman"/>
          <w:sz w:val="18"/>
          <w:szCs w:val="18"/>
          <w:color w:val="auto"/>
        </w:rPr>
        <w:t>To the Company’s Knowledge, no representation or warranty by the Company in this Agreement and no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the Disclosure Schedules to this Agreement or any certificate or other document furnished or to be furnished or offered to be made available to Parent or any of its Representatives pursuant to this Agreement contains any untrue statement of a material fact, or omits to state a material fact necessary to make the statements contained therein, in light of the circumstances in which they are made, not misleading.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EPRESENTATIONS AND WARRANTIES OF PARENT AND MERGER SUB</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Except as disclosed in the Parent SEC Documents as noted below, Parent and Merger Sub represent and warrant to the Company that the statements contained in this </w:t>
      </w:r>
      <w:r>
        <w:rPr>
          <w:rFonts w:ascii="Times New Roman" w:cs="Times New Roman" w:eastAsia="Times New Roman" w:hAnsi="Times New Roman"/>
          <w:sz w:val="18"/>
          <w:szCs w:val="18"/>
          <w:b w:val="1"/>
          <w:bCs w:val="1"/>
          <w:color w:val="auto"/>
        </w:rPr>
        <w:t>Article V</w:t>
      </w:r>
      <w:r>
        <w:rPr>
          <w:rFonts w:ascii="Times New Roman" w:cs="Times New Roman" w:eastAsia="Times New Roman" w:hAnsi="Times New Roman"/>
          <w:sz w:val="18"/>
          <w:szCs w:val="18"/>
          <w:color w:val="auto"/>
        </w:rPr>
        <w:t xml:space="preserve"> are true and correct as of the date hereof.</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5.01 Organization and Authority of Parent and Merger Sub. </w:t>
      </w:r>
      <w:r>
        <w:rPr>
          <w:rFonts w:ascii="Times New Roman" w:cs="Times New Roman" w:eastAsia="Times New Roman" w:hAnsi="Times New Roman"/>
          <w:sz w:val="18"/>
          <w:szCs w:val="18"/>
          <w:color w:val="auto"/>
        </w:rPr>
        <w:t>Each of Parent and Merger Sub is a corporation duly organized, 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and in good standing under the Laws of the jurisdiction of its incorporation. Each of Parent and Merger Sub has full corporate power and authority to enter into and perform its obligations under this Agreement and the Ancillary Documents to which it is a party and to consummate the transactions contemplated hereby and thereby. The execution, delivery and performance by Parent and Merger Sub of this Agreement and any Ancillary Document to which they are a party and the consummation by Parent and Merger Sub of the transactions contemplated hereby and thereby have been duly authorized by all requisite corporate action on the part of each of Parent and Merger Sub and no other corporate proceedings on the part of Parent and Merger Sub are necessary to authorize the execution, delivery and performance of this Agreement or to consummate the Merger and the other transactions contemplated hereby and thereby. This Agreement has been duly executed and delivered by Parent and Merger Sub, and (assuming due authorization, execution and delivery by each other party hereto) this Agreement constitutes a legal, valid and binding obligation of Parent and Merger Sub enforceable against Parent and Merger Sub in accordance with its terms. When each Ancillary Document to which Parent or Merger Sub is or will be a party has been duly executed and delivered by Parent or Merger Sub (assuming due authorization, execution and delivery by each other party thereto), such Ancillary Document will constitute a legal and binding obligation of Parent or Merger Sub enforceable against it in accordance with its terms.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5.02 No Conflicts; Consents. </w:t>
      </w:r>
      <w:r>
        <w:rPr>
          <w:rFonts w:ascii="Times New Roman" w:cs="Times New Roman" w:eastAsia="Times New Roman" w:hAnsi="Times New Roman"/>
          <w:sz w:val="18"/>
          <w:szCs w:val="18"/>
          <w:color w:val="auto"/>
        </w:rPr>
        <w:t>The execution, delivery and performance by Parent and Merger Sub of this Agreement and the Ancillary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to which they are a party, and the consummation of the transactions contemplated hereby and thereby, do not and will not: (a) conflict with or result in a violation or breach of, or default under, any provision of the certificate of incorporation, by-laws or other organizational documents of Parent or Merger Sub; (b) conflict with or result in a violation or breach of any provision of any Law or Governmental Order applicable to Parent or Merger Sub; or</w:t>
      </w:r>
    </w:p>
    <w:p>
      <w:pPr>
        <w:spacing w:after="0" w:line="3" w:lineRule="exact"/>
        <w:rPr>
          <w:sz w:val="20"/>
          <w:szCs w:val="20"/>
          <w:color w:val="auto"/>
        </w:rPr>
      </w:pPr>
    </w:p>
    <w:p>
      <w:pPr>
        <w:jc w:val="both"/>
        <w:ind w:firstLine="8"/>
        <w:spacing w:after="0" w:line="253" w:lineRule="auto"/>
        <w:tabs>
          <w:tab w:leader="none" w:pos="25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consent, notice or other action by any Person under any Contract to which Parent or Merger Sub is a party. No consent, approval, Permit, Governmental Order, declaration or filing with, or notice to, any Governmental Authority is required by or with respect to Parent or Merger Sub in connection with the execution, delivery and performance of this Agreement and the Ancillary Documents and the consummation of the transactions contemplated hereby and thereby, except for the filing of the Certificate of Merger with the Secretary of State of Delaware.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5.03 No Prior Merger Sub Operations. </w:t>
      </w:r>
      <w:r>
        <w:rPr>
          <w:rFonts w:ascii="Times New Roman" w:cs="Times New Roman" w:eastAsia="Times New Roman" w:hAnsi="Times New Roman"/>
          <w:sz w:val="18"/>
          <w:szCs w:val="18"/>
          <w:color w:val="auto"/>
        </w:rPr>
        <w:t>Merger Sub was formed solely for the purpose of effecting the Merger and has not engaged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business activities or conducted any operations other than in connection with the transactions contemplated hereby. Merger Sub is, and as of the Closing, will be, a subsidiary of Parent and all of the issued and outstanding stock of Merger Sub will be held and owned by Parent.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5.04 Brokers. </w:t>
      </w:r>
      <w:r>
        <w:rPr>
          <w:rFonts w:ascii="Times New Roman" w:cs="Times New Roman" w:eastAsia="Times New Roman" w:hAnsi="Times New Roman"/>
          <w:sz w:val="18"/>
          <w:szCs w:val="18"/>
          <w:color w:val="auto"/>
        </w:rPr>
        <w:t>No broker, finder or investment banker is entitled to any brokerage, finder’s or other fee or commission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transactions contemplated by this Agreement or any Ancillary Document based upon arrangements made by or on behalf of Parent or Merger Sub.</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5.05 Sufficiency of Funds. </w:t>
      </w:r>
      <w:r>
        <w:rPr>
          <w:rFonts w:ascii="Times New Roman" w:cs="Times New Roman" w:eastAsia="Times New Roman" w:hAnsi="Times New Roman"/>
          <w:sz w:val="18"/>
          <w:szCs w:val="18"/>
          <w:color w:val="auto"/>
        </w:rPr>
        <w:t>Parent has or will have at the Closing and at all other times required by this Agreement and the Ancillary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sufficient cash on hand or other sources of immediately available funds to enable it to make payment of all consideration required under this Agreement and the Ancillary Agreements and consummate the transactions contemplated by this Agreement and the Ancillary Agreements and perform its obligations hereunder and thereunder, and the availability of such funds are not subject to any financing or other contingencies or conditions.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5.06 Legal Proceedings. </w:t>
      </w:r>
      <w:r>
        <w:rPr>
          <w:rFonts w:ascii="Times New Roman" w:cs="Times New Roman" w:eastAsia="Times New Roman" w:hAnsi="Times New Roman"/>
          <w:sz w:val="18"/>
          <w:szCs w:val="18"/>
          <w:color w:val="auto"/>
        </w:rPr>
        <w:t>There are no Actions pending or, to Parent’s or Merger Sub’s knowledge, threatened against or by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Sub or any of their respective Affiliates that challenge or seek to prevent, enjoin or otherwise delay the transactions contemplated by this Agreement. No event has occurred or circumstances exist that may give rise or serve as a basis for any such Action.</w:t>
      </w:r>
    </w:p>
    <w:p>
      <w:pPr>
        <w:spacing w:after="0" w:line="171"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5.07</w:t>
      </w:r>
      <w:r>
        <w:rPr>
          <w:sz w:val="20"/>
          <w:szCs w:val="20"/>
          <w:color w:val="auto"/>
        </w:rPr>
        <w:tab/>
      </w:r>
      <w:r>
        <w:rPr>
          <w:rFonts w:ascii="Times New Roman" w:cs="Times New Roman" w:eastAsia="Times New Roman" w:hAnsi="Times New Roman"/>
          <w:sz w:val="17"/>
          <w:szCs w:val="17"/>
          <w:b w:val="1"/>
          <w:bCs w:val="1"/>
          <w:color w:val="auto"/>
        </w:rPr>
        <w:t>Valid Issuance; Capitalization.</w:t>
      </w:r>
    </w:p>
    <w:p>
      <w:pPr>
        <w:spacing w:after="0" w:line="229" w:lineRule="exact"/>
        <w:rPr>
          <w:sz w:val="20"/>
          <w:szCs w:val="20"/>
          <w:color w:val="auto"/>
        </w:rPr>
      </w:pPr>
    </w:p>
    <w:p>
      <w:pPr>
        <w:ind w:firstLine="656"/>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authorized capital stock of Parent consists of (i) 325,000,000 shares of Parent Common Stock, par value $0.001 per share and (ii) 10,000,000 shares of preferred stock, par value $0.001 per share.</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06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Parent SEC Documents, no capital stock of Parent are issued, reserved for issuance or outstanding. All shares of Parent Common Stock to be issued to Equityholders in connection with the Merger will be, when issued in accordance with the terms of this Agreement, duly authorized, validly issued, fully paid, nonassessable and free of restrictions on transfer (other than those shares of Parent Common Stock that will be subject to the Lock-Up Agreement, and restrictions on transfer under applicable securities Laws) and are subject to no preemptive or similar rights. Parent has sufficient authorized, but unissued, shares of Parent Common Stock required to be issued in connection with the Merger.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5.08</w:t>
      </w:r>
      <w:r>
        <w:rPr>
          <w:sz w:val="20"/>
          <w:szCs w:val="20"/>
          <w:color w:val="auto"/>
        </w:rPr>
        <w:tab/>
      </w:r>
      <w:r>
        <w:rPr>
          <w:rFonts w:ascii="Times New Roman" w:cs="Times New Roman" w:eastAsia="Times New Roman" w:hAnsi="Times New Roman"/>
          <w:sz w:val="17"/>
          <w:szCs w:val="17"/>
          <w:b w:val="1"/>
          <w:bCs w:val="1"/>
          <w:color w:val="auto"/>
        </w:rPr>
        <w:t>SEC Reports; Financial Statements.</w:t>
      </w:r>
    </w:p>
    <w:p>
      <w:pPr>
        <w:spacing w:after="0" w:line="229" w:lineRule="exact"/>
        <w:rPr>
          <w:sz w:val="20"/>
          <w:szCs w:val="20"/>
          <w:color w:val="auto"/>
        </w:rPr>
      </w:pPr>
    </w:p>
    <w:p>
      <w:pPr>
        <w:jc w:val="both"/>
        <w:ind w:firstLine="656"/>
        <w:spacing w:after="0" w:line="252" w:lineRule="auto"/>
        <w:tabs>
          <w:tab w:leader="none" w:pos="10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and complete copy of each annual, quarterly and other report, registration statement, definitive proxy statement, and other documents (including exhibits), and all amendments thereof and supplements thereto, filed by Parent with the SEC (the “</w:t>
      </w:r>
      <w:r>
        <w:rPr>
          <w:rFonts w:ascii="Times New Roman" w:cs="Times New Roman" w:eastAsia="Times New Roman" w:hAnsi="Times New Roman"/>
          <w:sz w:val="18"/>
          <w:szCs w:val="18"/>
          <w:b w:val="1"/>
          <w:bCs w:val="1"/>
          <w:color w:val="auto"/>
        </w:rPr>
        <w:t>Parent SEC Documents</w:t>
      </w:r>
      <w:r>
        <w:rPr>
          <w:rFonts w:ascii="Times New Roman" w:cs="Times New Roman" w:eastAsia="Times New Roman" w:hAnsi="Times New Roman"/>
          <w:sz w:val="18"/>
          <w:szCs w:val="18"/>
          <w:color w:val="auto"/>
        </w:rPr>
        <w:t>”) is available on the Web site maintained by the SEC at http://www.sec.gov, other than portions in respect of which confidential treatment was granted by the SEC. As of the date hereof, Parent has timely filed or otherwise furnished (as applicable) all Parent SEC Documents required to be filed or furnished (as applicable) by it under the Securities Act or the Exchange Act, as the case may be, together with all certifications required pursuant to the Sarbanes-Oxley Act). To the Knowledge of Parent, as of their respective filing dates, or, if amended or superseded by a subsequent filing prior to the date hereof, as of the date of the last such amendment or superseding filing (and, in the case of registration statements and proxy statements, on the dates of effectiveness and the dates of the relevant meetings, respectively) the Parent SEC Documents complied as to form in all material respects with the applicable requirements of the Exchange Act or the Securities Act, as the case may be, and the applicable rules and regulations of the SEC promulgated thereunder applicable to such Parent SEC Documents. To the Knowledge of Parent, none of the Parent SEC Documents, including any financial statements, schedules, or exhibits included or incorporated by reference therein at the time they were filed (or, if amended or superseded by a subsequent filing prior to the date hereof, as of the date of the last such amendment or superseding filing), contained any untrue statement of a material fact or omitted to state a material fact required to be stated therein or necessary in order to make the statements therein, in light of the circumstances under which they were made, not misleading. To the Knowledge of Parent, none of the Parent SEC Documents is the subject of ongoing SEC review or outstanding SEC investigation and there are no outstanding or unresolved comments received from the SEC with respect to any of the Parent SEC Documents.</w:t>
      </w:r>
    </w:p>
    <w:p>
      <w:pPr>
        <w:spacing w:after="0" w:line="195" w:lineRule="exact"/>
        <w:rPr>
          <w:rFonts w:ascii="Times New Roman" w:cs="Times New Roman" w:eastAsia="Times New Roman" w:hAnsi="Times New Roman"/>
          <w:sz w:val="18"/>
          <w:szCs w:val="18"/>
          <w:color w:val="auto"/>
        </w:rPr>
      </w:pPr>
    </w:p>
    <w:p>
      <w:pPr>
        <w:jc w:val="both"/>
        <w:ind w:firstLine="656"/>
        <w:spacing w:after="0" w:line="255" w:lineRule="auto"/>
        <w:tabs>
          <w:tab w:leader="none" w:pos="115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in each case, any notes and schedules thereto) of Parent included in the Parent SEC Documents complied as to form in all material respects with the published rules and regulations of the SEC with respect thereto, were prepared in accordance with GAAP applied on a consistent basis throughout the periods indicated (except as may be indicated in the notes thereto, except in the case of pro forma statements, or, in the case of unaudited financial statements, except as permitted for Quarterly Reports on Form 10-Q under the Exchange Act) and fairly presented in all material respects the consolidated financial position of Parent and its consolidated subsidiaries as of the respective dates thereof and the consolidated results of Parent’s operations and cash flows for the periods indicated (subject to, in the case of unaudited statements, normal and recurring year-end audit adjustments).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03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in compliance with the applicable Nasdaq listing and corporate governance rules and regulations of, except for any non-compliance that would not reasonably be expected to have, individually or in the aggregate, a Parent Material Adverse Effect.</w:t>
      </w:r>
    </w:p>
    <w:p>
      <w:pPr>
        <w:spacing w:after="0" w:line="158"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b w:val="1"/>
          <w:bCs w:val="1"/>
          <w:color w:val="auto"/>
        </w:rPr>
        <w:t xml:space="preserve">Section 5.09 No Undisclosed Liabilities. </w:t>
      </w:r>
      <w:r>
        <w:rPr>
          <w:rFonts w:ascii="Times New Roman" w:cs="Times New Roman" w:eastAsia="Times New Roman" w:hAnsi="Times New Roman"/>
          <w:sz w:val="18"/>
          <w:szCs w:val="18"/>
          <w:color w:val="auto"/>
        </w:rPr>
        <w:t>Neither Parent nor any of its subsidiaries has any Liabilities, except (a) to the extent accrued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reserved against in the audited consolidated balance sheet of Parent and its subsidiaries as at the date of the most recent audited balance sheet included in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by Parent with the SEC (without giving effect to any amendment thereto filed on or after the date hereof), (b) for liabilities and obligations incurred in the ordinary course of business or consistent with past practice since the date of most recent audited balance sheet included in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by Parent with the SEC, (c) are incurred in connection with the Merger, or (d) would not reasonably be expected to have, individually or in the aggregate, a Parent Material Adverse Effect.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5.10 Parent Diligence. </w:t>
      </w:r>
      <w:r>
        <w:rPr>
          <w:rFonts w:ascii="Times New Roman" w:cs="Times New Roman" w:eastAsia="Times New Roman" w:hAnsi="Times New Roman"/>
          <w:sz w:val="18"/>
          <w:szCs w:val="18"/>
          <w:color w:val="auto"/>
        </w:rPr>
        <w:t>Parent and Merger Sub have conducted their own independent investigation, diligence, review and analysis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business, results of operations, prospects, condition (financial or otherwise) or assets of the Company, and each acknowledges that it has been provided adequate access to the personnel, properties, assets, premises, books and records, and other documents and data of the Company for such purpose. Each of Parent and Merger Sub acknowledges and agrees that: (a) in making its decision to enter into this Agreement and the Ancillary Documents to which it is a party and to consummate the transactions contemplated hereby and thereby, each of Parent and Merger Sub has relied solely upon its own investigation and the express representations and warranties of the Company set forth in Article IV of this Agreement (including the related portions of the Disclosure Schedules); (b) except as expressly set forth in this Agreement, none of the Company or any other Person on behalf of the Company makes any other express, implied or statutory representation or warranty with respect to the Company or its business, assets, liabilities, projections or forecasts, or any representation or warranty relating to current or future financial condition or results of operations of the Company, or any implied warranties of merchantability, suitability, fitness, for a particular purpose, title, enforceability or non-infringement, or with respect to any other information provided to Parent or Merger Sub, or any of its Representatives, with respect to the Company or its business; and (c) neither the Company nor any Person acting on behalf of the Company shall have any liability to Parent, Merger Sub or any other Person for any information provided to Parent, Merger Sub or any of their Representatives relating to the Company or its business (including with respect to any estimates, projections, forecasts, business plans or budget information (the inherent uncertainties of each, Parent and Merger Sub acknowledges), including any materials made available to the Parent, Merger Sub and their financial and legal advisors or other Representatives in connection with the Parent’s and Merger Sub’s due diligence review (including in the virtual data room established in connection with the transactions contemplated hereunder) or management presentations, due diligence discussions or in any other form.</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6.01 Conduct of Business of the Company. </w:t>
      </w:r>
      <w:r>
        <w:rPr>
          <w:rFonts w:ascii="Times New Roman" w:cs="Times New Roman" w:eastAsia="Times New Roman" w:hAnsi="Times New Roman"/>
          <w:sz w:val="18"/>
          <w:szCs w:val="18"/>
          <w:color w:val="auto"/>
        </w:rPr>
        <w:t>The Company shall, and shall cause each of its Subsidiaries to, during the period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of this Agreement until the Effective Time, except as expressly contemplated by this Agreement or as required by applicable Law or with the prior written consent of Parent (not to be unreasonably withheld, conditioned or delayed), conduct its business in the ordinary course of business consistent with past practice, and, to the extent consistent therewith, the Company shall use commercially reasonable efforts to maintain and preserve intact its organization, to keep available the services of its current officers and employees, to preserve its present relationships with customers, suppliers, distributors, licensors, licensees, and other Persons having a material business relationships with it. Without limiting the generality of the foregoing, between the date of this Agreement and the Effective Time, except as otherwise expressly contemplated by this Agreement and the Ancillary Agreements or as set forth in </w:t>
      </w:r>
      <w:r>
        <w:rPr>
          <w:rFonts w:ascii="Times New Roman" w:cs="Times New Roman" w:eastAsia="Times New Roman" w:hAnsi="Times New Roman"/>
          <w:sz w:val="18"/>
          <w:szCs w:val="18"/>
          <w:b w:val="1"/>
          <w:bCs w:val="1"/>
          <w:color w:val="auto"/>
        </w:rPr>
        <w:t xml:space="preserve">Section 6.01 </w:t>
      </w:r>
      <w:r>
        <w:rPr>
          <w:rFonts w:ascii="Times New Roman" w:cs="Times New Roman" w:eastAsia="Times New Roman" w:hAnsi="Times New Roman"/>
          <w:sz w:val="18"/>
          <w:szCs w:val="18"/>
          <w:color w:val="auto"/>
        </w:rPr>
        <w:t>of the Company Disclosure Letter or as required by applicable Law, the Company shall not without the prior written consent of Parent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which shall not be unreasonably withheld, conditioned or delayed):</w:t>
      </w:r>
    </w:p>
    <w:p>
      <w:pPr>
        <w:spacing w:after="0" w:line="192" w:lineRule="exact"/>
        <w:rPr>
          <w:sz w:val="20"/>
          <w:szCs w:val="20"/>
          <w:color w:val="auto"/>
        </w:rPr>
      </w:pPr>
    </w:p>
    <w:p>
      <w:pPr>
        <w:ind w:left="1040" w:hanging="384"/>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propose to amend its Charter Documents;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split, combine, or reclassify any class of Company stock, (ii) repurchase, redeem, or otherwise acquire, or offer to repurchase, redeem, or otherwise acquire, any outstanding capital securities of the Company, or (iii) declare, set aside, or pay any dividend or distribution (whether in cash, stock, property, or otherwise) in respect of, or enter into any Contract with respect to the voting of, any shares of its capital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ind w:firstLine="656"/>
        <w:spacing w:after="0" w:line="282" w:lineRule="auto"/>
        <w:tabs>
          <w:tab w:leader="none" w:pos="107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of, or encumber any capital securities of the Company, other than the issuance of shares of Company Common Stock upon the exercise of any Company Options outstanding as of the date of this Agreement in accordance with its terms;</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1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applicable Law or by any Benefit Plan or Contract in effect as of the date of this Agreement (i) increase the compensation payable or that could become payable by the Company to directors, officers, or employees, other than increases in compensation made to non-officer employees in the ordinary course of business consistent with past practice, (ii) promote any officers or employees, except in connection with the Company’s annual or quarterly compensation review cycle or as the result of the termination or resignation of any officer or employee, or (iii) establish, adopt, enter into, amend, terminate, exercise any discretion under, or take any action to accelerate rights under any Benefit Plans or any plan, agreement, program, policy, trust, fund, or other arrangement that would be a Benefit Plan if it were in existence as of the date of this Agreement, or make any contribution to any Benefit Plan, other than contributions required by Law, the terms of such Benefit Plans as in effect on the date hereof, or that are made in the ordinary course of business, consistent with past practice;</w:t>
      </w:r>
    </w:p>
    <w:p>
      <w:pPr>
        <w:spacing w:after="0" w:line="19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by merger, consolidation, acquisition of stock or assets, or otherwise, any business or Person or division thereof;</w:t>
      </w:r>
    </w:p>
    <w:p>
      <w:pPr>
        <w:spacing w:after="0" w:line="225"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Person;</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109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transfer, license, sell, lease, or otherwise dispose of (whether by way of merger, consolidation, sale of stock or assets, or otherwise) or pledge, encumber, or otherwise subject to any Encumbrance, any assets, or (ii) adopt or effect a plan of complete or partial liquidation, dissolution, restructuring, recapitalization, or other reorganization;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the Company may distribute (or otherwise dispose of) those shares of Parent Common Stock held by the Company as of the date of this Agreement, so long as such distribution or disposition of such Parent Common Stock is undertaken in accordance with all applicable Laws, including, without limitation, the Securities Act and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compliance with any and all applicable Laws on the Company’s distribution or disposition of such shares of Parent Common Stock will be made in the sole discretion of the Company, and nothing in this Section 6.01(d) shall be construed to place any liability for such determination on Parent.</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07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prepay, or incur any indebtedness for borrowed money or guarantee any such indebtedness of another Person, issue or sell any debt securities or options, warrants, calls, or other rights to acquire any debt securities of the Company, guarantee any debt securities of another Person, enter into any “keep well” or other Contract to maintain any financial statement condition of any other Person (other than any wholly-owned subsidiary of it) or enter into any arrangement having the economic effect of any of the foregoing, other than in connection with the financing of ordinary course trade payables, consistent with past practice;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0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or modify in any material respect, or consent to the termination of (other than at its stated expiry date), any Material Contract or any Lease with respect to material Real Estate or any other Contract or Lease that, if in effect as of the date hereof would constitute a Company Material Contract or Lease with respect to material Real Estate hereunder;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jc w:val="both"/>
        <w:ind w:firstLine="656"/>
        <w:spacing w:after="0" w:line="258" w:lineRule="auto"/>
        <w:tabs>
          <w:tab w:leader="none" w:pos="106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institute, settle, or compromise any Legal Action involving the payment of monetary damages by the Company of any amount exceeding $10,000 in the aggregate, other than (i) any Legal Action brought against Parent or Merger Sub arising out of a breach or alleged breach of this Agreement by Parent or Merger Sub, and (ii) the settlement of claims, liabilities, or obligations reserved against on the Company Balance Sheet;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shall not settle or agree to settle any Legal Action which settlement involves a conduct remedy or injunctive or similar relief or has a restrictive impact on the Company’s business;</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08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any method of financial accounting principles or practices of the Company, in each case except for any such change required by a change in applicable Law;</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00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settle or compromise any material Tax claim, audit, or assessment for an amount materially in excess of the amount reserved or accrued on the Company Balance Sheet, (ii) make or change any material Tax election, change any annual Tax accounting period, or adopt or change any method of Tax accounting, (iii) amend any material Tax Returns or file claims for material Tax refunds, or (iv) enter into any material closing agreement, surrender in writing any right to claim a material Tax refund, offset or other reduction in Tax liability or consent to any extension or waiver of the limitation period applicable to any material Tax claim or assessment relating to the Company;</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08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agreement, agreement in principle, letter of intent, memorandum of understanding, or similar Contract with respect to any joint venture, strategic partnership, or alliance;</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09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to exempt any Person from, or make any acquisition of securities of the Company by any Person not subject to, any state takeover statute or similar statute or regulation that applies to Company with respect to an Acquisition Proposal or otherwise, including the restrictions on “business combinations” set forth in Section 203 of the DGCL, except for Parent, Merger Sub, or any of their respective subsidiaries or Affiliates, or the transactions contemplated by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 allow to lapse, sell, assign, transfer, grant any security interest in otherwise encumber or dispose of any Company Intellectual Property, or grant any right or license to any Company Intellectual Property other than pursuant to non-exclusive licenses entered into in the ordinary course of business or consistent with past practice;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13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is intended or that would reasonably be expected to, individually or in the aggregate, prevent, materially delay, or materially impede the consummation of the Merger, or the other transactions contemplated by this Agreement; or</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commit to do any of the foregoing.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ind w:left="66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Section 6.02</w:t>
        <w:tab/>
        <w:t>Access to Information.</w:t>
      </w:r>
    </w:p>
    <w:p>
      <w:pPr>
        <w:spacing w:after="0" w:line="229" w:lineRule="exact"/>
        <w:rPr>
          <w:sz w:val="20"/>
          <w:szCs w:val="20"/>
          <w:color w:val="auto"/>
        </w:rPr>
      </w:pPr>
    </w:p>
    <w:p>
      <w:pPr>
        <w:jc w:val="both"/>
        <w:ind w:firstLine="656"/>
        <w:spacing w:after="0" w:line="251" w:lineRule="auto"/>
        <w:tabs>
          <w:tab w:leader="none" w:pos="109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hereof until the Closing, the Company shall (a) afford Parent and its Representatives reasonable access to and the right to inspect all of the Real Property, properties, assets, premises, books and records, Contracts and other documents and data related to the Company in accordance with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and its Representatives will only provide identifying information of the Company’s Equityholders as may be reasonably requested by Parent or its Representatives for the sole purpose of effecting the transactions contemplated by this Agreement and/or as may be necessary to satisfy the Company’s obligations to Parent at Closing hereunder, in either case at such reasonable times and in such manner as reasonably agreed to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 that</w:t>
      </w:r>
      <w:r>
        <w:rPr>
          <w:rFonts w:ascii="Times New Roman" w:cs="Times New Roman" w:eastAsia="Times New Roman" w:hAnsi="Times New Roman"/>
          <w:sz w:val="18"/>
          <w:szCs w:val="18"/>
          <w:color w:val="auto"/>
        </w:rPr>
        <w:t xml:space="preserve">, prior to making such disclosure, the Company may request that any recipient of such identifying information of the Company’s Equityholders execute a non-disclosure agreement in the Company’s standard form; (b) furnish Parent and its Representatives with such financial, operating and other data and information related to the Company as Parent or any of its Representatives may reasonably request; and (c) instruct the Representatives of the Company to cooperate with Parent in its investigation of the Company in accordance with this Section 6.02;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such investigation will be conducted during normal business hours upon reasonable advance notice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nothing contained in this Agreement will restrict Parent’s full and free access to the Data Room (and the information contained therein) at any and all times prior to the Closing while this Agreement is in effect. Notwithstanding anything to the contrary in this Agreement, the Company shall not be required to disclose any information to Parent if such disclosure would, in the reasonable opinion of the Company’s legal counsel: (x) jeopardize any attorney-client or other privilege; or (y) contravene any applicable Law or fiduciary duty. Prior to the Closing, without the prior written consent of the Company, which may be withheld for any reason, Parent shall not contact any Equityholders of the Company other than the Company’s executive officers and directors who may also be Equityholders;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to the extent information requested by Parent pursuant to this </w:t>
      </w:r>
      <w:r>
        <w:rPr>
          <w:rFonts w:ascii="Times New Roman" w:cs="Times New Roman" w:eastAsia="Times New Roman" w:hAnsi="Times New Roman"/>
          <w:sz w:val="18"/>
          <w:szCs w:val="18"/>
          <w:b w:val="1"/>
          <w:bCs w:val="1"/>
          <w:color w:val="auto"/>
        </w:rPr>
        <w:t>Section 6.02</w:t>
      </w:r>
      <w:r>
        <w:rPr>
          <w:rFonts w:ascii="Times New Roman" w:cs="Times New Roman" w:eastAsia="Times New Roman" w:hAnsi="Times New Roman"/>
          <w:sz w:val="18"/>
          <w:szCs w:val="18"/>
          <w:color w:val="auto"/>
        </w:rPr>
        <w:t xml:space="preserve"> is, in the Company’s reasonable belief, not covered by the Confidentiality Agreement, the Company shall not be obligated to disclose, or otherwise provide, such information to Parent, its Affiliates or its Representatives until such time as Parent (on behalf of itself and its Representatives), has agreed in writing to full and customary confidentiality covenants to the benefit of the Company with respect to such applicable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the event the Company withholds any information requested by Parent due to the Company reasonably believing that such information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documentation) is not covered by the Confidentiality Agreement, the Company shall notify Parent of such determination not to disclose such information, and include a reference to such determination on </w:t>
      </w:r>
      <w:r>
        <w:rPr>
          <w:rFonts w:ascii="Times New Roman" w:cs="Times New Roman" w:eastAsia="Times New Roman" w:hAnsi="Times New Roman"/>
          <w:sz w:val="18"/>
          <w:szCs w:val="18"/>
          <w:b w:val="1"/>
          <w:bCs w:val="1"/>
          <w:color w:val="auto"/>
        </w:rPr>
        <w:t>Section 6.02</w:t>
      </w:r>
      <w:r>
        <w:rPr>
          <w:rFonts w:ascii="Times New Roman" w:cs="Times New Roman" w:eastAsia="Times New Roman" w:hAnsi="Times New Roman"/>
          <w:sz w:val="18"/>
          <w:szCs w:val="18"/>
          <w:color w:val="auto"/>
        </w:rPr>
        <w:t xml:space="preserve"> of the Disclosure Schedules. Any investigation pursuant to this </w:t>
      </w:r>
      <w:r>
        <w:rPr>
          <w:rFonts w:ascii="Times New Roman" w:cs="Times New Roman" w:eastAsia="Times New Roman" w:hAnsi="Times New Roman"/>
          <w:sz w:val="18"/>
          <w:szCs w:val="18"/>
          <w:b w:val="1"/>
          <w:bCs w:val="1"/>
          <w:color w:val="auto"/>
        </w:rPr>
        <w:t>Section 6.02</w:t>
      </w:r>
      <w:r>
        <w:rPr>
          <w:rFonts w:ascii="Times New Roman" w:cs="Times New Roman" w:eastAsia="Times New Roman" w:hAnsi="Times New Roman"/>
          <w:sz w:val="18"/>
          <w:szCs w:val="18"/>
          <w:color w:val="auto"/>
        </w:rPr>
        <w:t xml:space="preserve"> shall be conducted in such manner as not to interfere unreasonably with the conduct of the business of the Company. No investigation by Parent or other information received by Parent shall operate as a waiver or otherwise affect any representation, warranty or agreement given or made by the Company in this Agreement.</w:t>
      </w:r>
    </w:p>
    <w:p>
      <w:pPr>
        <w:spacing w:after="0" w:line="204" w:lineRule="exact"/>
        <w:rPr>
          <w:rFonts w:ascii="Times New Roman" w:cs="Times New Roman" w:eastAsia="Times New Roman" w:hAnsi="Times New Roman"/>
          <w:sz w:val="18"/>
          <w:szCs w:val="18"/>
          <w:color w:val="auto"/>
        </w:rPr>
      </w:pPr>
    </w:p>
    <w:p>
      <w:pPr>
        <w:jc w:val="both"/>
        <w:ind w:firstLine="656"/>
        <w:spacing w:after="0" w:line="266" w:lineRule="auto"/>
        <w:tabs>
          <w:tab w:leader="none" w:pos="118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shall comply with, and shall cause their respective Representatives to comply with, all of their respective obligations under the Confidentiality Agreement, dated July 26, 2021, between Parent and the Company (the “</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which shall survive the termination of this Agreement in accordance with the terms set forth therein.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8" w:name="page49"/>
    <w:bookmarkEnd w:id="48"/>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6.03</w:t>
      </w:r>
      <w:r>
        <w:rPr>
          <w:sz w:val="20"/>
          <w:szCs w:val="20"/>
          <w:color w:val="auto"/>
        </w:rPr>
        <w:tab/>
      </w:r>
      <w:r>
        <w:rPr>
          <w:rFonts w:ascii="Times New Roman" w:cs="Times New Roman" w:eastAsia="Times New Roman" w:hAnsi="Times New Roman"/>
          <w:sz w:val="17"/>
          <w:szCs w:val="17"/>
          <w:b w:val="1"/>
          <w:bCs w:val="1"/>
          <w:color w:val="auto"/>
        </w:rPr>
        <w:t>No Solicitation of Other Bids.</w:t>
      </w:r>
    </w:p>
    <w:p>
      <w:pPr>
        <w:spacing w:after="0" w:line="229" w:lineRule="exact"/>
        <w:rPr>
          <w:sz w:val="20"/>
          <w:szCs w:val="20"/>
          <w:color w:val="auto"/>
        </w:rPr>
      </w:pPr>
    </w:p>
    <w:p>
      <w:pPr>
        <w:ind w:left="1060" w:hanging="404"/>
        <w:spacing w:after="0"/>
        <w:tabs>
          <w:tab w:leader="none" w:pos="10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shall not authorize or permit any of its Affiliates or any of its or their Representatives to, directly or indirectly,</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2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solicit, initiate, facilitate or continue inquiries regarding an Acquisition Proposal; (ii) enter into discussions or negotiations with, or provide any information to, any Person concerning a possible Acquisition Proposal; or (iii) enter into any agreements or other instruments (whether or not binding) regarding an Acquisition Proposal. The Company shall immediately cease and cause to be terminated, and shall cause its Affiliates and all of its and their Representatives to immediately cease and cause to be terminated, all existing discussions or negotiations with any Persons conducted heretofore with respect to, or that could lead to, an Acquisition Proposal. For purposes hereof, “</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xml:space="preserve">” shall mean any inquiry, proposal or offer from any Person (other than Parent, Merger Sub or any of its Affiliates) concerning (i) a merger, consolidation, liquidation, recapitalization, share exchange or other business combination transaction involving the Company; (ii) the issuance or acquisition of shares of capital stock or other equity securities of the Company; or (iii) the sale, lease, exchange or other disposition of any significant portion of the Company’s properties or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exercise of options or any inquiry, proposal or offer by any Equityholder with respect to the exercise of options of the Company shall not, for purposes of this Agreement, be considered an Acquisition Proposal.</w:t>
      </w:r>
    </w:p>
    <w:p>
      <w:pPr>
        <w:spacing w:after="0" w:line="188" w:lineRule="exact"/>
        <w:rPr>
          <w:rFonts w:ascii="Times New Roman" w:cs="Times New Roman" w:eastAsia="Times New Roman" w:hAnsi="Times New Roman"/>
          <w:sz w:val="18"/>
          <w:szCs w:val="18"/>
          <w:color w:val="auto"/>
        </w:rPr>
      </w:pPr>
    </w:p>
    <w:p>
      <w:pPr>
        <w:jc w:val="both"/>
        <w:ind w:firstLine="656"/>
        <w:spacing w:after="0" w:line="259" w:lineRule="auto"/>
        <w:tabs>
          <w:tab w:leader="none" w:pos="107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other obligations under this </w:t>
      </w:r>
      <w:r>
        <w:rPr>
          <w:rFonts w:ascii="Times New Roman" w:cs="Times New Roman" w:eastAsia="Times New Roman" w:hAnsi="Times New Roman"/>
          <w:sz w:val="18"/>
          <w:szCs w:val="18"/>
          <w:b w:val="1"/>
          <w:bCs w:val="1"/>
          <w:color w:val="auto"/>
        </w:rPr>
        <w:t>Section 6.03</w:t>
      </w:r>
      <w:r>
        <w:rPr>
          <w:rFonts w:ascii="Times New Roman" w:cs="Times New Roman" w:eastAsia="Times New Roman" w:hAnsi="Times New Roman"/>
          <w:sz w:val="18"/>
          <w:szCs w:val="18"/>
          <w:color w:val="auto"/>
        </w:rPr>
        <w:t>, the Company shall promptly (and in any event within three (3) Business Days after receipt thereof by the Company or its Representatives) advise Parent of any Acquisition Proposal, any request for information with respect to any Acquisition Proposal, or any inquiry with respect to, or which could reasonably be expected to result in, an Acquisition Proposal, the material terms and conditions of such request, Acquisition Proposal, or inquiry, and, to the extent such disclosure would not violate the confidentiality terms of any Contract entered into prior to the date of this Agreement, the identity of the Person making the same.</w:t>
      </w:r>
    </w:p>
    <w:p>
      <w:pPr>
        <w:spacing w:after="0" w:line="179" w:lineRule="exact"/>
        <w:rPr>
          <w:rFonts w:ascii="Times New Roman" w:cs="Times New Roman" w:eastAsia="Times New Roman" w:hAnsi="Times New Roman"/>
          <w:sz w:val="18"/>
          <w:szCs w:val="18"/>
          <w:color w:val="auto"/>
        </w:rPr>
      </w:pPr>
    </w:p>
    <w:p>
      <w:pPr>
        <w:jc w:val="both"/>
        <w:ind w:firstLine="656"/>
        <w:spacing w:after="0" w:line="262" w:lineRule="auto"/>
        <w:tabs>
          <w:tab w:leader="none" w:pos="105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that until the Closing and as long as this Agreement has not been terminated in accordance with </w:t>
      </w:r>
      <w:r>
        <w:rPr>
          <w:rFonts w:ascii="Times New Roman" w:cs="Times New Roman" w:eastAsia="Times New Roman" w:hAnsi="Times New Roman"/>
          <w:sz w:val="18"/>
          <w:szCs w:val="18"/>
          <w:b w:val="1"/>
          <w:bCs w:val="1"/>
          <w:color w:val="auto"/>
        </w:rPr>
        <w:t>Article X</w:t>
      </w:r>
      <w:r>
        <w:rPr>
          <w:rFonts w:ascii="Times New Roman" w:cs="Times New Roman" w:eastAsia="Times New Roman" w:hAnsi="Times New Roman"/>
          <w:sz w:val="18"/>
          <w:szCs w:val="18"/>
          <w:color w:val="auto"/>
        </w:rPr>
        <w:t xml:space="preserve">, the rights and remedies for noncompliance with this </w:t>
      </w:r>
      <w:r>
        <w:rPr>
          <w:rFonts w:ascii="Times New Roman" w:cs="Times New Roman" w:eastAsia="Times New Roman" w:hAnsi="Times New Roman"/>
          <w:sz w:val="18"/>
          <w:szCs w:val="18"/>
          <w:b w:val="1"/>
          <w:bCs w:val="1"/>
          <w:color w:val="auto"/>
        </w:rPr>
        <w:t>Section 6.03</w:t>
      </w:r>
      <w:r>
        <w:rPr>
          <w:rFonts w:ascii="Times New Roman" w:cs="Times New Roman" w:eastAsia="Times New Roman" w:hAnsi="Times New Roman"/>
          <w:sz w:val="18"/>
          <w:szCs w:val="18"/>
          <w:color w:val="auto"/>
        </w:rPr>
        <w:t xml:space="preserve"> shall include having such provision specifically enforced by any court having equity jurisdiction, it being acknowledged and agreed that any such breach or threatened breach shall cause irreparable injury to Parent and that money damages would not provide an adequate remedy to Parent.</w:t>
      </w:r>
    </w:p>
    <w:p>
      <w:pPr>
        <w:spacing w:after="0" w:line="176"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6.04</w:t>
      </w:r>
      <w:r>
        <w:rPr>
          <w:sz w:val="20"/>
          <w:szCs w:val="20"/>
          <w:color w:val="auto"/>
        </w:rPr>
        <w:tab/>
      </w:r>
      <w:r>
        <w:rPr>
          <w:rFonts w:ascii="Times New Roman" w:cs="Times New Roman" w:eastAsia="Times New Roman" w:hAnsi="Times New Roman"/>
          <w:sz w:val="17"/>
          <w:szCs w:val="17"/>
          <w:b w:val="1"/>
          <w:bCs w:val="1"/>
          <w:color w:val="auto"/>
        </w:rPr>
        <w:t>Company Stockholder Consent; Notification of Appraisal Rights.</w:t>
      </w:r>
    </w:p>
    <w:p>
      <w:pPr>
        <w:spacing w:after="0" w:line="229" w:lineRule="exact"/>
        <w:rPr>
          <w:sz w:val="20"/>
          <w:szCs w:val="20"/>
          <w:color w:val="auto"/>
        </w:rPr>
      </w:pPr>
    </w:p>
    <w:p>
      <w:pPr>
        <w:jc w:val="both"/>
        <w:ind w:firstLine="656"/>
        <w:spacing w:after="0" w:line="258" w:lineRule="auto"/>
        <w:tabs>
          <w:tab w:leader="none" w:pos="113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all action necessary to obtain as soon as reasonably practicable following the execution and delivery of this Agreement, the Requisite Company Approval by way of Stockholder action by written consent in lieu of a Stockholder meeting (the "</w:t>
      </w:r>
      <w:r>
        <w:rPr>
          <w:rFonts w:ascii="Times New Roman" w:cs="Times New Roman" w:eastAsia="Times New Roman" w:hAnsi="Times New Roman"/>
          <w:sz w:val="18"/>
          <w:szCs w:val="18"/>
          <w:b w:val="1"/>
          <w:bCs w:val="1"/>
          <w:color w:val="auto"/>
        </w:rPr>
        <w:t>Written Consent</w:t>
      </w:r>
      <w:r>
        <w:rPr>
          <w:rFonts w:ascii="Times New Roman" w:cs="Times New Roman" w:eastAsia="Times New Roman" w:hAnsi="Times New Roman"/>
          <w:sz w:val="18"/>
          <w:szCs w:val="18"/>
          <w:color w:val="auto"/>
        </w:rPr>
        <w:t>"). The materials submitted to the holders of Company Common Stock in connection with the Written Consent shall include the recommendation of the Company’s Board of Directors, and shall be submitted to Parent at least five (5) Business Days prior to submission to the Stockholders. Promptly following receipt of the Requisite Company Approval by Written Consent, the Company shall deliver a fully executed copy of such Written Consent to Parent.</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03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delivery of the Written Consent to the Stockholders for execution, the Company shall notify the holders of Company Common Stock of their dissent and appraisal rights pursuant to Section 262 of the DGCL (the “</w:t>
      </w:r>
      <w:r>
        <w:rPr>
          <w:rFonts w:ascii="Times New Roman" w:cs="Times New Roman" w:eastAsia="Times New Roman" w:hAnsi="Times New Roman"/>
          <w:sz w:val="18"/>
          <w:szCs w:val="18"/>
          <w:b w:val="1"/>
          <w:bCs w:val="1"/>
          <w:color w:val="auto"/>
        </w:rPr>
        <w:t>Stockholder Notice</w:t>
      </w:r>
      <w:r>
        <w:rPr>
          <w:rFonts w:ascii="Times New Roman" w:cs="Times New Roman" w:eastAsia="Times New Roman" w:hAnsi="Times New Roman"/>
          <w:sz w:val="18"/>
          <w:szCs w:val="18"/>
          <w:color w:val="auto"/>
        </w:rPr>
        <w:t xml:space="preserve">”). The Stockholder Notice shall include therewith a copy of Section 262 of Delaware Law and all such other information as Parent may reasonably request, and shall be sufficient in form and substance to start the twenty (20) day period during which a Stockholder must demand appraisal of such Stockholder’s Common Stock as contemplated by Section 262(d)(2) of the DGCL. Parent shall have the right to reasonably review and comment on all materials to be submitted to the Stockholders in accordance with this </w:t>
      </w:r>
      <w:r>
        <w:rPr>
          <w:rFonts w:ascii="Times New Roman" w:cs="Times New Roman" w:eastAsia="Times New Roman" w:hAnsi="Times New Roman"/>
          <w:sz w:val="18"/>
          <w:szCs w:val="18"/>
          <w:b w:val="1"/>
          <w:bCs w:val="1"/>
          <w:color w:val="auto"/>
        </w:rPr>
        <w:t>Section 6.04</w:t>
      </w:r>
      <w:r>
        <w:rPr>
          <w:rFonts w:ascii="Times New Roman" w:cs="Times New Roman" w:eastAsia="Times New Roman" w:hAnsi="Times New Roman"/>
          <w:sz w:val="18"/>
          <w:szCs w:val="18"/>
          <w:color w:val="auto"/>
        </w:rPr>
        <w:t xml:space="preserve"> prior to the submission thereof.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9" w:name="page50"/>
    <w:bookmarkEnd w:id="49"/>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6.05</w:t>
      </w:r>
      <w:r>
        <w:rPr>
          <w:sz w:val="20"/>
          <w:szCs w:val="20"/>
          <w:color w:val="auto"/>
        </w:rPr>
        <w:tab/>
      </w:r>
      <w:r>
        <w:rPr>
          <w:rFonts w:ascii="Times New Roman" w:cs="Times New Roman" w:eastAsia="Times New Roman" w:hAnsi="Times New Roman"/>
          <w:sz w:val="17"/>
          <w:szCs w:val="17"/>
          <w:b w:val="1"/>
          <w:bCs w:val="1"/>
          <w:color w:val="auto"/>
        </w:rPr>
        <w:t>Notice of Certain Events.</w:t>
      </w:r>
    </w:p>
    <w:p>
      <w:pPr>
        <w:spacing w:after="0" w:line="229" w:lineRule="exact"/>
        <w:rPr>
          <w:sz w:val="20"/>
          <w:szCs w:val="20"/>
          <w:color w:val="auto"/>
        </w:rPr>
      </w:pPr>
    </w:p>
    <w:p>
      <w:pPr>
        <w:ind w:left="1040" w:hanging="384"/>
        <w:spacing w:after="0"/>
        <w:tabs>
          <w:tab w:leader="none" w:pos="1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Closing, the Company and Parent shall promptly notify each other in writing of:</w:t>
      </w:r>
    </w:p>
    <w:p>
      <w:pPr>
        <w:spacing w:after="0" w:line="225" w:lineRule="exact"/>
        <w:rPr>
          <w:rFonts w:ascii="Times New Roman" w:cs="Times New Roman" w:eastAsia="Times New Roman" w:hAnsi="Times New Roman"/>
          <w:sz w:val="18"/>
          <w:szCs w:val="18"/>
          <w:color w:val="auto"/>
        </w:rPr>
      </w:pPr>
    </w:p>
    <w:p>
      <w:pPr>
        <w:jc w:val="both"/>
        <w:ind w:firstLine="1142"/>
        <w:spacing w:after="0" w:line="261" w:lineRule="auto"/>
        <w:tabs>
          <w:tab w:leader="none" w:pos="152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fact, circumstance, event or action the existence, occurrence or taking of which (A) has had, or could reasonably be expected to have, individually or in the aggregate, a Material Adverse Effect or Parent Material Adverse Effect, (B) has resulted in, or could reasonably be expected to result in, any material representation or material warranty made by the Company, Parent, or Merger Sub hereunder not being true and correct or (C) has resulted in, or could reasonably be expected to result in, the failure of any of the conditions set forth in </w:t>
      </w:r>
      <w:r>
        <w:rPr>
          <w:rFonts w:ascii="Times New Roman" w:cs="Times New Roman" w:eastAsia="Times New Roman" w:hAnsi="Times New Roman"/>
          <w:sz w:val="18"/>
          <w:szCs w:val="18"/>
          <w:b w:val="1"/>
          <w:bCs w:val="1"/>
          <w:color w:val="auto"/>
        </w:rPr>
        <w:t>Article VIII</w:t>
      </w:r>
      <w:r>
        <w:rPr>
          <w:rFonts w:ascii="Times New Roman" w:cs="Times New Roman" w:eastAsia="Times New Roman" w:hAnsi="Times New Roman"/>
          <w:sz w:val="18"/>
          <w:szCs w:val="18"/>
          <w:color w:val="auto"/>
        </w:rPr>
        <w:t xml:space="preserve"> to be satisfied;</w:t>
      </w:r>
    </w:p>
    <w:p>
      <w:pPr>
        <w:spacing w:after="0" w:line="179" w:lineRule="exact"/>
        <w:rPr>
          <w:rFonts w:ascii="Times New Roman" w:cs="Times New Roman" w:eastAsia="Times New Roman" w:hAnsi="Times New Roman"/>
          <w:sz w:val="18"/>
          <w:szCs w:val="18"/>
          <w:color w:val="auto"/>
        </w:rPr>
      </w:pPr>
    </w:p>
    <w:p>
      <w:pPr>
        <w:ind w:firstLine="1142"/>
        <w:spacing w:after="0" w:line="282" w:lineRule="auto"/>
        <w:tabs>
          <w:tab w:leader="none" w:pos="154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Person alleging that the consent of such Person is or may be required in connection with the transactions contemplated by this Agreement;</w:t>
      </w:r>
    </w:p>
    <w:p>
      <w:pPr>
        <w:spacing w:after="0" w:line="161"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Governmental Authority in connection with the transactions contemplated by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and</w:t>
      </w:r>
    </w:p>
    <w:p>
      <w:pPr>
        <w:spacing w:after="0" w:line="206" w:lineRule="exact"/>
        <w:rPr>
          <w:rFonts w:ascii="Times New Roman" w:cs="Times New Roman" w:eastAsia="Times New Roman" w:hAnsi="Times New Roman"/>
          <w:sz w:val="18"/>
          <w:szCs w:val="18"/>
          <w:color w:val="auto"/>
        </w:rPr>
      </w:pPr>
    </w:p>
    <w:p>
      <w:pPr>
        <w:jc w:val="both"/>
        <w:ind w:firstLine="1142"/>
        <w:spacing w:after="0" w:line="266" w:lineRule="auto"/>
        <w:tabs>
          <w:tab w:leader="none" w:pos="165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Actions commenced or, to the Company’s Knowledge, threatened against, relating to or involving or otherwise affecting the Company that, if pending on the date of this Agreement, would have been required to have been disclosed pursuant to </w:t>
      </w:r>
      <w:r>
        <w:rPr>
          <w:rFonts w:ascii="Times New Roman" w:cs="Times New Roman" w:eastAsia="Times New Roman" w:hAnsi="Times New Roman"/>
          <w:sz w:val="18"/>
          <w:szCs w:val="18"/>
          <w:b w:val="1"/>
          <w:bCs w:val="1"/>
          <w:color w:val="auto"/>
        </w:rPr>
        <w:t>Section 4.14</w:t>
      </w:r>
      <w:r>
        <w:rPr>
          <w:rFonts w:ascii="Times New Roman" w:cs="Times New Roman" w:eastAsia="Times New Roman" w:hAnsi="Times New Roman"/>
          <w:sz w:val="18"/>
          <w:szCs w:val="18"/>
          <w:color w:val="auto"/>
        </w:rPr>
        <w:t xml:space="preserve"> or that relates to the consummation of the transactions contemplated by this Agreement.</w:t>
      </w:r>
    </w:p>
    <w:p>
      <w:pPr>
        <w:spacing w:after="0" w:line="171" w:lineRule="exact"/>
        <w:rPr>
          <w:rFonts w:ascii="Times New Roman" w:cs="Times New Roman" w:eastAsia="Times New Roman" w:hAnsi="Times New Roman"/>
          <w:sz w:val="18"/>
          <w:szCs w:val="18"/>
          <w:color w:val="auto"/>
        </w:rPr>
      </w:pPr>
    </w:p>
    <w:p>
      <w:pPr>
        <w:jc w:val="both"/>
        <w:ind w:firstLine="656"/>
        <w:spacing w:after="0" w:line="268" w:lineRule="auto"/>
        <w:tabs>
          <w:tab w:leader="none" w:pos="103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party’s receipt of information pursuant to this </w:t>
      </w:r>
      <w:r>
        <w:rPr>
          <w:rFonts w:ascii="Times New Roman" w:cs="Times New Roman" w:eastAsia="Times New Roman" w:hAnsi="Times New Roman"/>
          <w:sz w:val="18"/>
          <w:szCs w:val="18"/>
          <w:b w:val="1"/>
          <w:bCs w:val="1"/>
          <w:color w:val="auto"/>
        </w:rPr>
        <w:t>Section 6.05</w:t>
      </w:r>
      <w:r>
        <w:rPr>
          <w:rFonts w:ascii="Times New Roman" w:cs="Times New Roman" w:eastAsia="Times New Roman" w:hAnsi="Times New Roman"/>
          <w:sz w:val="18"/>
          <w:szCs w:val="18"/>
          <w:color w:val="auto"/>
        </w:rPr>
        <w:t xml:space="preserve"> shall not operate as a waiver or otherwise affect any representation, warranty or agreement given or made by the Company in this Agreement or Parent and Merger Sub in this Agreement, as applicable (including </w:t>
      </w:r>
      <w:r>
        <w:rPr>
          <w:rFonts w:ascii="Times New Roman" w:cs="Times New Roman" w:eastAsia="Times New Roman" w:hAnsi="Times New Roman"/>
          <w:sz w:val="18"/>
          <w:szCs w:val="18"/>
          <w:b w:val="1"/>
          <w:bCs w:val="1"/>
          <w:color w:val="auto"/>
        </w:rPr>
        <w:t>Section 9.02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10.01(b)</w:t>
      </w:r>
      <w:r>
        <w:rPr>
          <w:rFonts w:ascii="Times New Roman" w:cs="Times New Roman" w:eastAsia="Times New Roman" w:hAnsi="Times New Roman"/>
          <w:sz w:val="18"/>
          <w:szCs w:val="18"/>
          <w:color w:val="auto"/>
        </w:rPr>
        <w:t>) and, subject to</w:t>
      </w:r>
      <w:r>
        <w:rPr>
          <w:rFonts w:ascii="Times New Roman" w:cs="Times New Roman" w:eastAsia="Times New Roman" w:hAnsi="Times New Roman"/>
          <w:sz w:val="18"/>
          <w:szCs w:val="18"/>
          <w:b w:val="1"/>
          <w:bCs w:val="1"/>
          <w:color w:val="auto"/>
        </w:rPr>
        <w:t xml:space="preserve"> Section 6.14</w:t>
      </w:r>
      <w:r>
        <w:rPr>
          <w:rFonts w:ascii="Times New Roman" w:cs="Times New Roman" w:eastAsia="Times New Roman" w:hAnsi="Times New Roman"/>
          <w:sz w:val="18"/>
          <w:szCs w:val="18"/>
          <w:color w:val="auto"/>
        </w:rPr>
        <w:t>, shall not be deemed to amend or supplement the Disclosure Schedules.</w:t>
      </w:r>
    </w:p>
    <w:p>
      <w:pPr>
        <w:spacing w:after="0" w:line="17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6.06 Resignations. </w:t>
      </w:r>
      <w:r>
        <w:rPr>
          <w:rFonts w:ascii="Times New Roman" w:cs="Times New Roman" w:eastAsia="Times New Roman" w:hAnsi="Times New Roman"/>
          <w:sz w:val="18"/>
          <w:szCs w:val="18"/>
          <w:color w:val="auto"/>
        </w:rPr>
        <w:t>The Company shall deliver to Parent written resignations, effective as of the Closing Date, of the officers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directors of the Company set forth on </w:t>
      </w:r>
      <w:r>
        <w:rPr>
          <w:rFonts w:ascii="Times New Roman" w:cs="Times New Roman" w:eastAsia="Times New Roman" w:hAnsi="Times New Roman"/>
          <w:sz w:val="18"/>
          <w:szCs w:val="18"/>
          <w:b w:val="1"/>
          <w:bCs w:val="1"/>
          <w:color w:val="auto"/>
        </w:rPr>
        <w:t>Section 6.06</w:t>
      </w:r>
      <w:r>
        <w:rPr>
          <w:rFonts w:ascii="Times New Roman" w:cs="Times New Roman" w:eastAsia="Times New Roman" w:hAnsi="Times New Roman"/>
          <w:sz w:val="18"/>
          <w:szCs w:val="18"/>
          <w:color w:val="auto"/>
        </w:rPr>
        <w:t xml:space="preserve"> of the Disclosure Schedules at least five (5) Business Days prior to the Closing.</w:t>
      </w:r>
    </w:p>
    <w:p>
      <w:pPr>
        <w:spacing w:after="0" w:line="155"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6.07</w:t>
      </w:r>
      <w:r>
        <w:rPr>
          <w:sz w:val="20"/>
          <w:szCs w:val="20"/>
          <w:color w:val="auto"/>
        </w:rPr>
        <w:tab/>
      </w:r>
      <w:r>
        <w:rPr>
          <w:rFonts w:ascii="Times New Roman" w:cs="Times New Roman" w:eastAsia="Times New Roman" w:hAnsi="Times New Roman"/>
          <w:sz w:val="17"/>
          <w:szCs w:val="17"/>
          <w:b w:val="1"/>
          <w:bCs w:val="1"/>
          <w:color w:val="auto"/>
        </w:rPr>
        <w:t>Governmental Approvals and Consents.</w:t>
      </w:r>
    </w:p>
    <w:p>
      <w:pPr>
        <w:spacing w:after="0" w:line="229" w:lineRule="exact"/>
        <w:rPr>
          <w:sz w:val="20"/>
          <w:szCs w:val="20"/>
          <w:color w:val="auto"/>
        </w:rPr>
      </w:pPr>
    </w:p>
    <w:p>
      <w:pPr>
        <w:jc w:val="both"/>
        <w:ind w:firstLine="656"/>
        <w:spacing w:after="0" w:line="256" w:lineRule="auto"/>
        <w:tabs>
          <w:tab w:leader="none" w:pos="11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shall, as promptly as possible, (i) make, or cause or be made, all filings and submissions required under any Law applicable to such party or any of its Affiliates; and (ii) use reasonable best efforts to obtain, or cause to be obtained, all consents, authorizations, orders and approvals from all Governmental Authorities that may be or become necessary for its execution and delivery of this Agreement and the performance of its obligations pursuant to this Agreement and the Ancillary Documents. Each party shall cooperate fully with the other party and its Affiliates in promptly seeking to obtain all such consents, authorizations, orders and approvals. The parties hereto shall not willfully take any action that will have the effect of delaying, impairing or impeding the receipt of any required consents, authorizations, orders and approvals.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0" w:name="page51"/>
    <w:bookmarkEnd w:id="50"/>
    <w:p>
      <w:pPr>
        <w:ind w:firstLine="656"/>
        <w:spacing w:after="0" w:line="282" w:lineRule="auto"/>
        <w:tabs>
          <w:tab w:leader="none" w:pos="107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Merger Sub and Parent shall use reasonable best efforts to give all notices to, and obtain all consents from, all third parties that are described in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4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parties’ undertakings pursuant to subsections (a) and (b) above, each of the parties hereto shall use all reasonable best efforts to:</w:t>
      </w:r>
    </w:p>
    <w:p>
      <w:pPr>
        <w:spacing w:after="0" w:line="161" w:lineRule="exact"/>
        <w:rPr>
          <w:rFonts w:ascii="Times New Roman" w:cs="Times New Roman" w:eastAsia="Times New Roman" w:hAnsi="Times New Roman"/>
          <w:sz w:val="18"/>
          <w:szCs w:val="18"/>
          <w:color w:val="auto"/>
        </w:rPr>
      </w:pPr>
    </w:p>
    <w:p>
      <w:pPr>
        <w:ind w:firstLine="1142"/>
        <w:spacing w:after="0" w:line="282" w:lineRule="auto"/>
        <w:tabs>
          <w:tab w:leader="none" w:pos="164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any inquiries by any Governmental Authority regarding antitrust or other matters with respect to the transactions contemplated by this Agreement or any Ancillary Document;</w:t>
      </w:r>
    </w:p>
    <w:p>
      <w:pPr>
        <w:spacing w:after="0" w:line="161" w:lineRule="exact"/>
        <w:rPr>
          <w:rFonts w:ascii="Times New Roman" w:cs="Times New Roman" w:eastAsia="Times New Roman" w:hAnsi="Times New Roman"/>
          <w:sz w:val="18"/>
          <w:szCs w:val="18"/>
          <w:color w:val="auto"/>
        </w:rPr>
      </w:pPr>
    </w:p>
    <w:p>
      <w:pPr>
        <w:ind w:firstLine="1142"/>
        <w:spacing w:after="0" w:line="282" w:lineRule="auto"/>
        <w:tabs>
          <w:tab w:leader="none" w:pos="155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the imposition of any order or the taking of any action that would restrain, alter or enjoin the transactions contemplated by this Agreement or any Ancillary Document; and</w:t>
      </w:r>
    </w:p>
    <w:p>
      <w:pPr>
        <w:spacing w:after="0" w:line="161" w:lineRule="exact"/>
        <w:rPr>
          <w:rFonts w:ascii="Times New Roman" w:cs="Times New Roman" w:eastAsia="Times New Roman" w:hAnsi="Times New Roman"/>
          <w:sz w:val="18"/>
          <w:szCs w:val="18"/>
          <w:color w:val="auto"/>
        </w:rPr>
      </w:pPr>
    </w:p>
    <w:p>
      <w:pPr>
        <w:ind w:firstLine="1142"/>
        <w:spacing w:after="0" w:line="282" w:lineRule="auto"/>
        <w:tabs>
          <w:tab w:leader="none" w:pos="162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Governmental Order adversely affecting the ability of the parties to consummate the transactions contemplated by this Agreement or any Ancillary Document has been issued, to have such Governmental Order vacated or lifted.</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106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analyses, appearances, meetings, discussions, presentations, memoranda, briefs, filings, arguments, and proposals made by or on behalf of either party before any Governmental Authority or the staff or regulators of any Governmental Authority, in connection with the transactions contemplated hereunder (but, for the avoidance of doubt, not including any interactions between the Company and Governmental Authorities in the ordinary course of business, any disclosure which is not permitted by Law or any disclosure containing confidential information or which would result in any loss of attorney-client or other privilege) shall be disclosed to the other party hereunder in advance of any filing, submission or attendance, it being the intent that the parties will consult and cooperate with one another, and consider in good faith the views of one another, in connection with any such analyses, appearances, meetings, discussions, presentations, memoranda, briefs, filings, arguments, and proposals. Each party shall give notice to the other party with respect to any meeting, discussion, appearance or contact with any Governmental Authority or the staff or regulators of any Governmental Authority with respect to this Agreement, the Ancillary Agreements and the transactions contemplated hereby and thereby, with such notice being sufficient to provide the other party with the opportunity to attend and participate in such meeting, discussion, appearance or contact.</w:t>
      </w:r>
    </w:p>
    <w:p>
      <w:pPr>
        <w:spacing w:after="0" w:line="190" w:lineRule="exact"/>
        <w:rPr>
          <w:rFonts w:ascii="Times New Roman" w:cs="Times New Roman" w:eastAsia="Times New Roman" w:hAnsi="Times New Roman"/>
          <w:sz w:val="18"/>
          <w:szCs w:val="18"/>
          <w:color w:val="auto"/>
        </w:rPr>
      </w:pPr>
    </w:p>
    <w:p>
      <w:pPr>
        <w:jc w:val="both"/>
        <w:ind w:firstLine="656"/>
        <w:spacing w:after="0" w:line="256" w:lineRule="auto"/>
        <w:tabs>
          <w:tab w:leader="none" w:pos="103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nothing in this </w:t>
      </w:r>
      <w:r>
        <w:rPr>
          <w:rFonts w:ascii="Times New Roman" w:cs="Times New Roman" w:eastAsia="Times New Roman" w:hAnsi="Times New Roman"/>
          <w:sz w:val="18"/>
          <w:szCs w:val="18"/>
          <w:b w:val="1"/>
          <w:bCs w:val="1"/>
          <w:color w:val="auto"/>
        </w:rPr>
        <w:t>Section 6.07</w:t>
      </w:r>
      <w:r>
        <w:rPr>
          <w:rFonts w:ascii="Times New Roman" w:cs="Times New Roman" w:eastAsia="Times New Roman" w:hAnsi="Times New Roman"/>
          <w:sz w:val="18"/>
          <w:szCs w:val="18"/>
          <w:color w:val="auto"/>
        </w:rPr>
        <w:t xml:space="preserve"> shall require, or be construed to require, Company and its Affiliates or Parent or any of its Affiliates to agree to (i) pay any consideration therefor to any third party or Governmental Authority from whom consent or approval is requested; (ii) sell, hold, divest, discontinue or limit, before or after the Closing Date, any assets, businesses or interests of Parent, the Company or any of their respective Affiliates; (ii) any conditions relating to, or changes or restrictions in, the operations of any such assets, businesses or interests which, in either case, could reasonably be expected to result in a Material Adverse Effect or materially and adversely impact the economic or business benefits to Parent or the Equityholders of the transactions contemplated by this Agreement; or (iii) any material modification or waiver of the terms and conditions of this Agreement.</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6.08 Directors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and Officers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Indemnification. </w:t>
      </w:r>
      <w:r>
        <w:rPr>
          <w:rFonts w:ascii="Times New Roman" w:cs="Times New Roman" w:eastAsia="Times New Roman" w:hAnsi="Times New Roman"/>
          <w:sz w:val="18"/>
          <w:szCs w:val="18"/>
          <w:color w:val="auto"/>
        </w:rPr>
        <w:t>’’ Parent and Merger Sub agree that all rights to indemnification or exculpation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existing in favor of the directors, officers, employees and agents of the Company, as provided in the Company’s certificate of incorporation, bylaws or other similar governing documents, shall survive the Closing and shall continue in full force and effect for a period of not less than six years and that the Company will perform and discharge the obligations to provide such indemnity and exculpation after the Closing;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all rights to indemnification and exculpation in respect of any Action arising out of or relating to matters existing or occurring at or prior to the Closing Date and asserted or made within such six-year period shall continue until the final disposition of such Action.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6.09</w:t>
      </w:r>
      <w:r>
        <w:rPr>
          <w:sz w:val="20"/>
          <w:szCs w:val="20"/>
          <w:color w:val="auto"/>
        </w:rPr>
        <w:tab/>
      </w:r>
      <w:r>
        <w:rPr>
          <w:rFonts w:ascii="Times New Roman" w:cs="Times New Roman" w:eastAsia="Times New Roman" w:hAnsi="Times New Roman"/>
          <w:sz w:val="17"/>
          <w:szCs w:val="17"/>
          <w:b w:val="1"/>
          <w:bCs w:val="1"/>
          <w:color w:val="auto"/>
        </w:rPr>
        <w:t>Benefit Plans; Company Stock Plan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Corporate Actions.</w:t>
      </w:r>
    </w:p>
    <w:p>
      <w:pPr>
        <w:spacing w:after="0" w:line="229" w:lineRule="exact"/>
        <w:rPr>
          <w:sz w:val="20"/>
          <w:szCs w:val="20"/>
          <w:color w:val="auto"/>
        </w:rPr>
      </w:pPr>
    </w:p>
    <w:p>
      <w:pPr>
        <w:jc w:val="both"/>
        <w:ind w:firstLine="656"/>
        <w:spacing w:after="0" w:line="258" w:lineRule="auto"/>
        <w:tabs>
          <w:tab w:leader="none" w:pos="108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Effective no later than the day immediately preceding the Closing Date, the Company shall terminate any Benefit Plan maintained by the Company or its Subsidiaries that Parent has requested to be terminated by providing a written notice to the Company at least thirty (30) days prior to the Closing Date;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Benefit Plans can be terminated in accordance with their terms and applicable Law without any adverse consequences with respect to any Company ERISA Affiliate. No later than the day immediately preceding the Closing Date, the Company shall provide Parent with evidence that such Benefit Plans have been terminated.</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0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two (2) Business Days prior to the Closing Date, the Company shall terminate the Company Stock Plan and cancel the Company Stock Options (including In-Money Options to the extent In-Money Options are not exercised by such time), and no later than one (1) Business Day prior to the Closing Date, (i) the Company shall deliver written evidence thereof reasonably satisfactory to Parent prior to the Closing, (ii) each and every Company Stock Option holder shall cease to have any rights with respect to such cancelled Company Stock Options.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6.10 Anti-Takeover Statutes. </w:t>
      </w:r>
      <w:r>
        <w:rPr>
          <w:rFonts w:ascii="Times New Roman" w:cs="Times New Roman" w:eastAsia="Times New Roman" w:hAnsi="Times New Roman"/>
          <w:sz w:val="18"/>
          <w:szCs w:val="18"/>
          <w:color w:val="auto"/>
        </w:rPr>
        <w:t>If any “control share acquisition,” “fair price,” “moratorium,” or other anti-takeover Law becomes 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be applicable to Parent, the Merger Subs, the Company, the Mergers, or any other transaction contemplated by this Agreement, then each of the Company and the Company Board on the one hand, and Parent and the Parent Board on the other hand, shall grant such approvals and take such actions as are necessary, at the Parent’s sole cost and expense, so that the transactions contemplated hereby may be consummated as promptly as practicable on the terms contemplated hereby and otherwise act to render such anti-takeover Law inapplicable to the foregoing.</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6.11 License Agreements. </w:t>
      </w:r>
      <w:r>
        <w:rPr>
          <w:rFonts w:ascii="Times New Roman" w:cs="Times New Roman" w:eastAsia="Times New Roman" w:hAnsi="Times New Roman"/>
          <w:sz w:val="18"/>
          <w:szCs w:val="18"/>
          <w:color w:val="auto"/>
        </w:rPr>
        <w:t>On the Closing, the Equityholders shall cease to have any direct or indirect liability to any Person,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Merger Sub or any of their Affiliates) under any term of the License Agreements (either directly through the License Agreements or indirectly through means of indemnification under the terms of this Agreement), that is due to the Surviving Corporation’s actions after the Closing, or that was the obligation of Parent under such License Agreement prior to the Closing. After the Closing, any Losses that stem from the License Agreement (including any reasonable attorney’s fees related to such liability) shall be Losses of the Equityholders and subject to indemnification for such Losses by Parent under SectioI.03(c) to the extent such Losses are due to the actions of the Surviving Corporation after the Closing, or arise from a breach of Parent’s obligations under the License Agreement prior to the Closing.</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6.12 Closing Conditions. </w:t>
      </w:r>
      <w:r>
        <w:rPr>
          <w:rFonts w:ascii="Times New Roman" w:cs="Times New Roman" w:eastAsia="Times New Roman" w:hAnsi="Times New Roman"/>
          <w:sz w:val="18"/>
          <w:szCs w:val="18"/>
          <w:color w:val="auto"/>
        </w:rPr>
        <w:t>From the date hereof until the Closing, each party hereto shall use reasonable best efforts to take such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are necessary to expeditiously satisfy the closing conditions set forth in </w:t>
      </w:r>
      <w:r>
        <w:rPr>
          <w:rFonts w:ascii="Times New Roman" w:cs="Times New Roman" w:eastAsia="Times New Roman" w:hAnsi="Times New Roman"/>
          <w:sz w:val="18"/>
          <w:szCs w:val="18"/>
          <w:b w:val="1"/>
          <w:bCs w:val="1"/>
          <w:color w:val="auto"/>
        </w:rPr>
        <w:t>Article VIII</w:t>
      </w:r>
      <w:r>
        <w:rPr>
          <w:rFonts w:ascii="Times New Roman" w:cs="Times New Roman" w:eastAsia="Times New Roman" w:hAnsi="Times New Roman"/>
          <w:sz w:val="18"/>
          <w:szCs w:val="18"/>
          <w:color w:val="auto"/>
        </w:rPr>
        <w:t xml:space="preserve"> hereof.</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2" w:name="page53"/>
    <w:bookmarkEnd w:id="52"/>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6.13 Public Announcements. </w:t>
      </w:r>
      <w:r>
        <w:rPr>
          <w:rFonts w:ascii="Times New Roman" w:cs="Times New Roman" w:eastAsia="Times New Roman" w:hAnsi="Times New Roman"/>
          <w:sz w:val="18"/>
          <w:szCs w:val="18"/>
          <w:color w:val="auto"/>
        </w:rPr>
        <w:t>Unless otherwise required by applicable Law or stock exchange requirements (based upon the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advice of counsel), no party to this Agreement shall make any public announcements in respect of this Agreement or the transactions contemplated hereby without the prior written consent of the other party (which consent shall not be unreasonably withheld or delayed), and the parties shall cooperate as to the timing and contents of any such announcement.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6.14 Further Assurances. </w:t>
      </w:r>
      <w:r>
        <w:rPr>
          <w:rFonts w:ascii="Times New Roman" w:cs="Times New Roman" w:eastAsia="Times New Roman" w:hAnsi="Times New Roman"/>
          <w:sz w:val="18"/>
          <w:szCs w:val="18"/>
          <w:color w:val="auto"/>
        </w:rPr>
        <w:t>Following the Closing, each of the parties hereto shall (including after the Closing, the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and the Surviving Corporation), and shall cause their respective Affiliates to, execute and deliver such additional documents, instruments, conveyances and assurances, and take such further actions as may be reasonably required to carry out the provisions hereof and give effect to the transactions contemplated by this Agreement. At and after the Effective Time, the officers and directors of the Surviving Corporation shall be authorized to execute and deliver, in the name and behalf of the Company or Merger Sub, any deeds, bills of sale, assignments or assurances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6.15 Supplement to Disclosure Schedules. </w:t>
      </w:r>
      <w:r>
        <w:rPr>
          <w:rFonts w:ascii="Times New Roman" w:cs="Times New Roman" w:eastAsia="Times New Roman" w:hAnsi="Times New Roman"/>
          <w:sz w:val="18"/>
          <w:szCs w:val="18"/>
          <w:color w:val="auto"/>
        </w:rPr>
        <w:t>From time to time prior to the Closing, the Company shall have the right (but not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supplement or amend the Disclosure Schedules hereto with respect to any matter hereafter arising or of which it becomes aware after the date hereof (each a “</w:t>
      </w:r>
      <w:r>
        <w:rPr>
          <w:rFonts w:ascii="Times New Roman" w:cs="Times New Roman" w:eastAsia="Times New Roman" w:hAnsi="Times New Roman"/>
          <w:sz w:val="18"/>
          <w:szCs w:val="18"/>
          <w:b w:val="1"/>
          <w:bCs w:val="1"/>
          <w:color w:val="auto"/>
        </w:rPr>
        <w:t>Schedule Supplement</w:t>
      </w:r>
      <w:r>
        <w:rPr>
          <w:rFonts w:ascii="Times New Roman" w:cs="Times New Roman" w:eastAsia="Times New Roman" w:hAnsi="Times New Roman"/>
          <w:sz w:val="18"/>
          <w:szCs w:val="18"/>
          <w:color w:val="auto"/>
        </w:rPr>
        <w:t xml:space="preserve">”). Any disclosure in any such Schedule Supplement shall not be deemed to have cured any inaccuracy in or breach of any representation or warranty contained in this Agreement, including for purposes of the indemnification or termination rights contained in this Agreement or of determining whether or not the conditions set forth in Article VII have been satisfied;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Parent has the right to, but does not elect to, terminate this Agreement within fifteen (15) Business Days of its receipt of such Schedule Supplement, then Parent shall be deemed to have irrevocably waived any right to terminate this Agreement with respect to such matter and, further, shall have irrevocably waived its right to indemnification under this Agreement with respect to such matter.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 MATTERS</w:t>
      </w:r>
    </w:p>
    <w:p>
      <w:pPr>
        <w:spacing w:after="0" w:line="203"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7.01</w:t>
      </w:r>
      <w:r>
        <w:rPr>
          <w:sz w:val="20"/>
          <w:szCs w:val="20"/>
          <w:color w:val="auto"/>
        </w:rPr>
        <w:tab/>
      </w:r>
      <w:r>
        <w:rPr>
          <w:rFonts w:ascii="Times New Roman" w:cs="Times New Roman" w:eastAsia="Times New Roman" w:hAnsi="Times New Roman"/>
          <w:sz w:val="17"/>
          <w:szCs w:val="17"/>
          <w:b w:val="1"/>
          <w:bCs w:val="1"/>
          <w:color w:val="auto"/>
        </w:rPr>
        <w:t>Tax Covenants.</w:t>
      </w:r>
    </w:p>
    <w:p>
      <w:pPr>
        <w:spacing w:after="0" w:line="229" w:lineRule="exact"/>
        <w:rPr>
          <w:sz w:val="20"/>
          <w:szCs w:val="20"/>
          <w:color w:val="auto"/>
        </w:rPr>
      </w:pPr>
    </w:p>
    <w:p>
      <w:pPr>
        <w:jc w:val="both"/>
        <w:ind w:firstLine="656"/>
        <w:spacing w:after="0" w:line="256" w:lineRule="auto"/>
        <w:tabs>
          <w:tab w:leader="none" w:pos="109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Parent, prior to the Closing, the Company, its Representatives and the Stockholders shall not make, change or rescind any Tax election, amend any Tax Return or take any position on any Tax Return, take any action, omit to take any action or enter into any other transaction that would have the effect of increasing the Tax liability or reducing any Tax asset of Parent or the Surviving Corporation in respect of any Post-Closing Tax Period. The Company agrees that Parent is to have no liability for any Tax resulting from any action of the Company, any of its Representatives or the Stockholders. The Stockholders shall, severally and not jointly (in accordance with their Pro Rata Shares), indemnify and hold harmless Parent against any such Tax or reduction of any Tax asset.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3" w:name="page54"/>
    <w:bookmarkEnd w:id="53"/>
    <w:p>
      <w:pPr>
        <w:jc w:val="both"/>
        <w:ind w:firstLine="656"/>
        <w:spacing w:after="0" w:line="254" w:lineRule="auto"/>
        <w:tabs>
          <w:tab w:leader="none" w:pos="107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documentary, sales, use, stamp, registration, value added and other such Taxes and fees (including any penalties and interest)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incurred in connection with this Agreement and the Ancillary Documents (including any real property transfer Tax and any other similar Tax) shall be borne and paid fifty percent (50%) by Parent and fifty percent (50%) by the Equityholders when due. Parent (or the Surviving Corporation), at its own expense, shall timely file any Tax Return or other document with respect to such Taxes or fees (and the Stockholders’ Representative shall cooperate with respect thereto as necessary). For the avoidance of doubt, this Section 7.01(b) shall apply solely to any Transfer Taxes, and shall in no way be interpreted in a manner that would require Parent, Merger Sub, or the Surviving Corporation to incur obligations or be responsible for liabilities relating to the personal income Taxes of any Equityholder, Taxes relating to the exercise of any Options by any Optionholder, or any other Taxes not related to Transfer Taxes.</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7.02 Termination of Existing Tax Sharing Agreements. </w:t>
      </w:r>
      <w:r>
        <w:rPr>
          <w:rFonts w:ascii="Times New Roman" w:cs="Times New Roman" w:eastAsia="Times New Roman" w:hAnsi="Times New Roman"/>
          <w:sz w:val="18"/>
          <w:szCs w:val="18"/>
          <w:color w:val="auto"/>
        </w:rPr>
        <w:t>Any and all existing Tax sharing agreements (whether written or not) binding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Company shall be terminated as of the Closing Date. After such date neither the Company nor any of its Representatives shall have any further rights or liabilities thereunder.</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7.03 Tax Indemnification. </w:t>
      </w:r>
      <w:r>
        <w:rPr>
          <w:rFonts w:ascii="Times New Roman" w:cs="Times New Roman" w:eastAsia="Times New Roman" w:hAnsi="Times New Roman"/>
          <w:sz w:val="18"/>
          <w:szCs w:val="18"/>
          <w:color w:val="auto"/>
        </w:rPr>
        <w:t>The Stockholders shall, severally and not jointly (in accordance with their Pro Rata Shares), indemnify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Parent, and each Parent Indemnitee and hold them harmless from and against (a) any Loss attributable to any breach of or inaccuracy in any representation or warranty made in </w:t>
      </w:r>
      <w:r>
        <w:rPr>
          <w:rFonts w:ascii="Times New Roman" w:cs="Times New Roman" w:eastAsia="Times New Roman" w:hAnsi="Times New Roman"/>
          <w:sz w:val="18"/>
          <w:szCs w:val="18"/>
          <w:b w:val="1"/>
          <w:bCs w:val="1"/>
          <w:color w:val="auto"/>
        </w:rPr>
        <w:t>Section 4.19</w:t>
      </w:r>
      <w:r>
        <w:rPr>
          <w:rFonts w:ascii="Times New Roman" w:cs="Times New Roman" w:eastAsia="Times New Roman" w:hAnsi="Times New Roman"/>
          <w:sz w:val="18"/>
          <w:szCs w:val="18"/>
          <w:color w:val="auto"/>
        </w:rPr>
        <w:t xml:space="preserve">; (b) any Loss attributable to any breach or violation of, or failure to fully perform, any covenant, agreement, undertaking or obligation in </w:t>
      </w:r>
      <w:r>
        <w:rPr>
          <w:rFonts w:ascii="Times New Roman" w:cs="Times New Roman" w:eastAsia="Times New Roman" w:hAnsi="Times New Roman"/>
          <w:sz w:val="18"/>
          <w:szCs w:val="18"/>
          <w:b w:val="1"/>
          <w:bCs w:val="1"/>
          <w:color w:val="auto"/>
        </w:rPr>
        <w:t>Article VII</w:t>
      </w:r>
      <w:r>
        <w:rPr>
          <w:rFonts w:ascii="Times New Roman" w:cs="Times New Roman" w:eastAsia="Times New Roman" w:hAnsi="Times New Roman"/>
          <w:sz w:val="18"/>
          <w:szCs w:val="18"/>
          <w:color w:val="auto"/>
        </w:rPr>
        <w:t xml:space="preserve">; (c) all Taxes of the Company or relating to the business of the Company for all Pre-Closing Tax Periods; (d) all Taxes of any member of an affiliated, consolidated, combined or unitary group of which the Company (or any predecessor of the Company) is or was a member on or prior to the Closing Date by reason of a liability under Treasury Regulation Section 1.1502-6 or any comparable provisions of foreign, state or local Law; and (e) any and all Taxes of any person imposed on the Company arising under the principles of transferee or successor liability or by contract, relating to an event or transaction occurring before the Closing Date. In each of the above cases, together with any out-of-pocket fees and expenses (including attorneys’ and accountants’ fees) incurred in connection therewith, the Stockholders shall, severally and not jointly (in accordance with their Pro Rata Shares), reimburse Parent for any Taxes of the Company that are the responsibility of the Stockholders pursuant to this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color w:val="auto"/>
        </w:rPr>
        <w:t xml:space="preserve"> within ten Business Days after payment of such Taxes by Parent or the Company.</w:t>
      </w:r>
    </w:p>
    <w:p>
      <w:pPr>
        <w:spacing w:after="0" w:line="182"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7.04</w:t>
      </w:r>
      <w:r>
        <w:rPr>
          <w:sz w:val="20"/>
          <w:szCs w:val="20"/>
          <w:color w:val="auto"/>
        </w:rPr>
        <w:tab/>
      </w:r>
      <w:r>
        <w:rPr>
          <w:rFonts w:ascii="Times New Roman" w:cs="Times New Roman" w:eastAsia="Times New Roman" w:hAnsi="Times New Roman"/>
          <w:sz w:val="17"/>
          <w:szCs w:val="17"/>
          <w:b w:val="1"/>
          <w:bCs w:val="1"/>
          <w:color w:val="auto"/>
        </w:rPr>
        <w:t>Tax Returns.</w:t>
      </w:r>
    </w:p>
    <w:p>
      <w:pPr>
        <w:spacing w:after="0" w:line="229" w:lineRule="exact"/>
        <w:rPr>
          <w:sz w:val="20"/>
          <w:szCs w:val="20"/>
          <w:color w:val="auto"/>
        </w:rPr>
      </w:pPr>
    </w:p>
    <w:p>
      <w:pPr>
        <w:jc w:val="both"/>
        <w:ind w:firstLine="656"/>
        <w:spacing w:after="0" w:line="266" w:lineRule="auto"/>
        <w:tabs>
          <w:tab w:leader="none" w:pos="10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prepare and timely file, or cause to be prepared and timely filed, all Tax Returns required to be filed by it that are due on or before the Closing Date (taking into account any extensions), and shall timely pay all Taxes that are due and payable on or before the Closing Date (taking into account any extensions). Any such Tax Return shall be prepared in a manner consistent with past practice (unless otherwise required by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4" w:name="page55"/>
    <w:bookmarkEnd w:id="54"/>
    <w:p>
      <w:pPr>
        <w:jc w:val="both"/>
        <w:ind w:firstLine="656"/>
        <w:spacing w:after="0" w:line="252" w:lineRule="auto"/>
        <w:tabs>
          <w:tab w:leader="none" w:pos="107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prepare and timely file, or cause to be prepared and timely filed, all Tax Returns required to be filed by the Company after the Closing Date with respect to a Pre-Closing Tax Period and for any Straddle Period. Any such Tax Return shall be prepared in a manner consistent with past practice (unless otherwise required by Law) and, if it is an income or other material Tax Return, shall be submitted by Parent to Stockholder Representative (together with schedules, statements and, to the extent requested by Stockholder Representative, supporting documentation) at least forty-five (45) days prior to the due date (including extensions) of such Tax Return. If Stockholder Representative objects to any item on any such Tax Return that relates to a Pre-Closing Tax Period, it shall, within ten (10) days after delivery of such Tax Return, notify Parent in writing that it so objects, specifying with particularity any such item and stating the specific factual or legal basis for any such objection. If a notice of objection shall be duly delivered, Parent and Stockholder Representative shall negotiate in good faith and use their reasonable best efforts to resolve such items. If Parent and Stockholder Representative are unable to reach such agreement within ten (10) days after receipt by Parent of such notice, the disputed items shall be resolved by the Independent Accountant and any determination by the Independent Accountant shall be final. The Independent Accountant shall resolve any disputed items within twenty (20) days of having the item referred to it pursuant to such procedures as it may require. If the Independent Accountant is unable to resolve any disputed items before the due date for such Tax Return, the Tax Return shall be filed as prepared by Parent and then amended to reflect the Independent Accountant’s resolution. The costs, fees and expenses of the Independent Accountant shall be borne equally by Parent and Stockholder Representative. The preparation and filing of any Tax Return of the Company that does not relate to a Pre-Closing Tax Period or Straddle Period shall be exclusively within the control of Parent.</w:t>
      </w:r>
    </w:p>
    <w:p>
      <w:pPr>
        <w:spacing w:after="0" w:line="19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7.05 Straddle Period. </w:t>
      </w:r>
      <w:r>
        <w:rPr>
          <w:rFonts w:ascii="Times New Roman" w:cs="Times New Roman" w:eastAsia="Times New Roman" w:hAnsi="Times New Roman"/>
          <w:sz w:val="18"/>
          <w:szCs w:val="18"/>
          <w:color w:val="auto"/>
        </w:rPr>
        <w:t>In the case of Taxes that are payable with respect to a taxable period that begins before and ends after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(each such period, a “</w:t>
      </w:r>
      <w:r>
        <w:rPr>
          <w:rFonts w:ascii="Times New Roman" w:cs="Times New Roman" w:eastAsia="Times New Roman" w:hAnsi="Times New Roman"/>
          <w:sz w:val="18"/>
          <w:szCs w:val="18"/>
          <w:b w:val="1"/>
          <w:bCs w:val="1"/>
          <w:color w:val="auto"/>
        </w:rPr>
        <w:t>Straddle Period</w:t>
      </w:r>
      <w:r>
        <w:rPr>
          <w:rFonts w:ascii="Times New Roman" w:cs="Times New Roman" w:eastAsia="Times New Roman" w:hAnsi="Times New Roman"/>
          <w:sz w:val="18"/>
          <w:szCs w:val="18"/>
          <w:color w:val="auto"/>
        </w:rPr>
        <w:t>”), the portion of any such Taxes that are treated as Pre-Closing Taxes for purposes of this Agreement shall be:</w:t>
      </w:r>
    </w:p>
    <w:p>
      <w:pPr>
        <w:spacing w:after="0" w:line="159" w:lineRule="exact"/>
        <w:rPr>
          <w:sz w:val="20"/>
          <w:szCs w:val="20"/>
          <w:color w:val="auto"/>
        </w:rPr>
      </w:pPr>
    </w:p>
    <w:p>
      <w:pPr>
        <w:jc w:val="both"/>
        <w:ind w:firstLine="656"/>
        <w:spacing w:after="0" w:line="266" w:lineRule="auto"/>
        <w:tabs>
          <w:tab w:leader="none" w:pos="10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Taxes (i) based upon, or related to, income, receipts, profits, wages, capital or net worth, (ii) imposed in connection with the sale, transfer or assignment of property, or (iii) required to be withheld, deemed equal to the amount which would be payable if the taxable year ended with the Closing Date;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4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other Taxes, deemed to be the amount of such Taxes for the entire period multiplied by a fraction the numerator of which is the number of days in the period ending on the Closing Date and the denominator of which is the number of days in the entire period.</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7.06 Contests. </w:t>
      </w:r>
      <w:r>
        <w:rPr>
          <w:rFonts w:ascii="Times New Roman" w:cs="Times New Roman" w:eastAsia="Times New Roman" w:hAnsi="Times New Roman"/>
          <w:sz w:val="18"/>
          <w:szCs w:val="18"/>
          <w:color w:val="auto"/>
        </w:rPr>
        <w:t>Parent agrees to give written notice to Stockholder Representative of the receipt of any written notice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Parent or any of Parent’s Affiliates which involves the assertion of any claim, or the commencement of any Action, in respect of which an indemnity may be sought by Parent pursuant to this </w:t>
      </w:r>
      <w:r>
        <w:rPr>
          <w:rFonts w:ascii="Times New Roman" w:cs="Times New Roman" w:eastAsia="Times New Roman" w:hAnsi="Times New Roman"/>
          <w:sz w:val="18"/>
          <w:szCs w:val="18"/>
          <w:b w:val="1"/>
          <w:bCs w:val="1"/>
          <w:color w:val="auto"/>
        </w:rPr>
        <w:t>Article VII</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Tax Claim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failure to comply with this provision shall not affect Parent’s right to indemnification hereunder. Parent shall control the contest or resolution of any Tax Claim;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Parent shall obtain the prior written consent of Stockholder Representative (which consent shall not be unreasonably withheld or delayed) before entering into any settlement of a claim or ceasing to defend such claim;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Stockholder Representative shall be entitled to participate in the defense of such claim and to employ counsel of its choice for such purpose, the fees and expenses of which separate counsel shall be borne solely by Stockholder Representative.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7.07 Cooperation and Exchange of Information. </w:t>
      </w:r>
      <w:r>
        <w:rPr>
          <w:rFonts w:ascii="Times New Roman" w:cs="Times New Roman" w:eastAsia="Times New Roman" w:hAnsi="Times New Roman"/>
          <w:sz w:val="18"/>
          <w:szCs w:val="18"/>
          <w:color w:val="auto"/>
        </w:rPr>
        <w:t>The Stockholder Representative, the Company and Parent shall provide each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such cooperation and information as either of them reasonably may request of the others in filing any Tax Return pursuant to this </w:t>
      </w:r>
      <w:r>
        <w:rPr>
          <w:rFonts w:ascii="Times New Roman" w:cs="Times New Roman" w:eastAsia="Times New Roman" w:hAnsi="Times New Roman"/>
          <w:sz w:val="18"/>
          <w:szCs w:val="18"/>
          <w:b w:val="1"/>
          <w:bCs w:val="1"/>
          <w:color w:val="auto"/>
        </w:rPr>
        <w:t>Article VII</w:t>
      </w:r>
      <w:r>
        <w:rPr>
          <w:rFonts w:ascii="Times New Roman" w:cs="Times New Roman" w:eastAsia="Times New Roman" w:hAnsi="Times New Roman"/>
          <w:sz w:val="18"/>
          <w:szCs w:val="18"/>
          <w:color w:val="auto"/>
        </w:rPr>
        <w:t xml:space="preserve"> or in connection with any audit or other proceeding in respect of Taxes of the Company. Such cooperation and information shall include providing copies of relevant Tax Returns or portions thereof, together with accompanying schedules, related work papers and documents relating to rulings or other determinations by tax authorities. Each of Stockholder Representative, the Company and Parent shall retain all Tax Returns, schedules and work papers, records and other documents in its possession relating to Tax matters of the Company for any taxable period beginning before the Closing Date until the expiration of the statute of limitations of the taxable periods to which such Tax Returns and other documents relate, without regard to extensions except to the extent notified by any of the other parties in writing of such extensions for the respective Tax periods. Prior to transferring, destroying or discarding any Tax Returns, schedules and work papers, records and other documents in its possession relating to Tax matters of the Company for any taxable period beginning before the Closing Date, Stockholder Representative, the Company or Parent (as the case may be) shall provide the other parties with reasonable written notice and offer the other parties the opportunity to take custody of such materials.</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7.08 Tax Treatment of Indemnification Payments. </w:t>
      </w:r>
      <w:r>
        <w:rPr>
          <w:rFonts w:ascii="Times New Roman" w:cs="Times New Roman" w:eastAsia="Times New Roman" w:hAnsi="Times New Roman"/>
          <w:sz w:val="18"/>
          <w:szCs w:val="18"/>
          <w:color w:val="auto"/>
        </w:rPr>
        <w:t>Any indemnification payments pursuant to this</w:t>
      </w:r>
      <w:r>
        <w:rPr>
          <w:rFonts w:ascii="Times New Roman" w:cs="Times New Roman" w:eastAsia="Times New Roman" w:hAnsi="Times New Roman"/>
          <w:sz w:val="18"/>
          <w:szCs w:val="18"/>
          <w:b w:val="1"/>
          <w:bCs w:val="1"/>
          <w:color w:val="auto"/>
        </w:rPr>
        <w:t xml:space="preserve"> Article VII </w:t>
      </w:r>
      <w:r>
        <w:rPr>
          <w:rFonts w:ascii="Times New Roman" w:cs="Times New Roman" w:eastAsia="Times New Roman" w:hAnsi="Times New Roman"/>
          <w:sz w:val="18"/>
          <w:szCs w:val="18"/>
          <w:color w:val="auto"/>
        </w:rPr>
        <w:t>shall be treated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 to the consideration paid by Parent to the Equityholders by the parties for Tax purposes, unless otherwise required by Law.</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7.09 Payments to Parent. </w:t>
      </w:r>
      <w:r>
        <w:rPr>
          <w:rFonts w:ascii="Times New Roman" w:cs="Times New Roman" w:eastAsia="Times New Roman" w:hAnsi="Times New Roman"/>
          <w:sz w:val="18"/>
          <w:szCs w:val="18"/>
          <w:color w:val="auto"/>
        </w:rPr>
        <w:t>Any amounts payable to Parent pursuant to this</w:t>
      </w:r>
      <w:r>
        <w:rPr>
          <w:rFonts w:ascii="Times New Roman" w:cs="Times New Roman" w:eastAsia="Times New Roman" w:hAnsi="Times New Roman"/>
          <w:sz w:val="18"/>
          <w:szCs w:val="18"/>
          <w:b w:val="1"/>
          <w:bCs w:val="1"/>
          <w:color w:val="auto"/>
        </w:rPr>
        <w:t xml:space="preserve"> Article VII </w:t>
      </w:r>
      <w:r>
        <w:rPr>
          <w:rFonts w:ascii="Times New Roman" w:cs="Times New Roman" w:eastAsia="Times New Roman" w:hAnsi="Times New Roman"/>
          <w:sz w:val="18"/>
          <w:szCs w:val="18"/>
          <w:color w:val="auto"/>
        </w:rPr>
        <w:t>shall be satisfied from the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severally and not jointly (in accordance with their Pro Rata Shares).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7.10 Survival. </w:t>
      </w:r>
      <w:r>
        <w:rPr>
          <w:rFonts w:ascii="Times New Roman" w:cs="Times New Roman" w:eastAsia="Times New Roman" w:hAnsi="Times New Roman"/>
          <w:sz w:val="18"/>
          <w:szCs w:val="18"/>
          <w:color w:val="auto"/>
        </w:rPr>
        <w:t>Notwithstanding anything in this Agreement to the contrary, the provisions of</w:t>
      </w:r>
      <w:r>
        <w:rPr>
          <w:rFonts w:ascii="Times New Roman" w:cs="Times New Roman" w:eastAsia="Times New Roman" w:hAnsi="Times New Roman"/>
          <w:sz w:val="18"/>
          <w:szCs w:val="18"/>
          <w:b w:val="1"/>
          <w:bCs w:val="1"/>
          <w:color w:val="auto"/>
        </w:rPr>
        <w:t xml:space="preserve"> Section 4.19 </w:t>
      </w:r>
      <w:r>
        <w:rPr>
          <w:rFonts w:ascii="Times New Roman" w:cs="Times New Roman" w:eastAsia="Times New Roman" w:hAnsi="Times New Roman"/>
          <w:sz w:val="18"/>
          <w:szCs w:val="18"/>
          <w:color w:val="auto"/>
        </w:rPr>
        <w:t>and this</w:t>
      </w:r>
      <w:r>
        <w:rPr>
          <w:rFonts w:ascii="Times New Roman" w:cs="Times New Roman" w:eastAsia="Times New Roman" w:hAnsi="Times New Roman"/>
          <w:sz w:val="18"/>
          <w:szCs w:val="18"/>
          <w:b w:val="1"/>
          <w:bCs w:val="1"/>
          <w:color w:val="auto"/>
        </w:rPr>
        <w:t xml:space="preserve"> Article VII </w:t>
      </w:r>
      <w:r>
        <w:rPr>
          <w:rFonts w:ascii="Times New Roman" w:cs="Times New Roman" w:eastAsia="Times New Roman" w:hAnsi="Times New Roman"/>
          <w:sz w:val="18"/>
          <w:szCs w:val="18"/>
          <w:color w:val="auto"/>
        </w:rPr>
        <w:t>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survive for the full period of all applicable statutes of limitations (giving effect to any waiver, mitigation or extension thereof) plus 60 days.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7.11 Overlap. </w:t>
      </w:r>
      <w:r>
        <w:rPr>
          <w:rFonts w:ascii="Times New Roman" w:cs="Times New Roman" w:eastAsia="Times New Roman" w:hAnsi="Times New Roman"/>
          <w:sz w:val="18"/>
          <w:szCs w:val="18"/>
          <w:color w:val="auto"/>
        </w:rPr>
        <w:t>To the extent that any obligation or responsibility pursuant to</w:t>
      </w:r>
      <w:r>
        <w:rPr>
          <w:rFonts w:ascii="Times New Roman" w:cs="Times New Roman" w:eastAsia="Times New Roman" w:hAnsi="Times New Roman"/>
          <w:sz w:val="18"/>
          <w:szCs w:val="18"/>
          <w:b w:val="1"/>
          <w:bCs w:val="1"/>
          <w:color w:val="auto"/>
        </w:rPr>
        <w:t xml:space="preserve"> Article IX </w:t>
      </w:r>
      <w:r>
        <w:rPr>
          <w:rFonts w:ascii="Times New Roman" w:cs="Times New Roman" w:eastAsia="Times New Roman" w:hAnsi="Times New Roman"/>
          <w:sz w:val="18"/>
          <w:szCs w:val="18"/>
          <w:color w:val="auto"/>
        </w:rPr>
        <w:t>may overlap with an obligation or responsibility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this </w:t>
      </w:r>
      <w:r>
        <w:rPr>
          <w:rFonts w:ascii="Times New Roman" w:cs="Times New Roman" w:eastAsia="Times New Roman" w:hAnsi="Times New Roman"/>
          <w:sz w:val="18"/>
          <w:szCs w:val="18"/>
          <w:b w:val="1"/>
          <w:bCs w:val="1"/>
          <w:color w:val="auto"/>
        </w:rPr>
        <w:t>Article VII</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b w:val="1"/>
          <w:bCs w:val="1"/>
          <w:color w:val="auto"/>
        </w:rPr>
        <w:t>Article VII</w:t>
      </w:r>
      <w:r>
        <w:rPr>
          <w:rFonts w:ascii="Times New Roman" w:cs="Times New Roman" w:eastAsia="Times New Roman" w:hAnsi="Times New Roman"/>
          <w:sz w:val="18"/>
          <w:szCs w:val="18"/>
          <w:color w:val="auto"/>
        </w:rPr>
        <w:t xml:space="preserve"> shall govern.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ONDITIONS TO CLOSING</w:t>
      </w:r>
    </w:p>
    <w:p>
      <w:pPr>
        <w:spacing w:after="0" w:line="20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8.01</w:t>
        <w:tab/>
        <w:t xml:space="preserve">Conditions to Obligations of All Parties. </w:t>
      </w:r>
      <w:r>
        <w:rPr>
          <w:rFonts w:ascii="Times New Roman" w:cs="Times New Roman" w:eastAsia="Times New Roman" w:hAnsi="Times New Roman"/>
          <w:sz w:val="18"/>
          <w:szCs w:val="18"/>
          <w:color w:val="auto"/>
        </w:rPr>
        <w:t>The obligations of each party to consummate the transactions contemplated by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shall be subject to the fulfillment, at or prior to the Closing, of each of the following conditions:</w:t>
      </w:r>
    </w:p>
    <w:p>
      <w:pPr>
        <w:spacing w:after="0" w:line="207" w:lineRule="exact"/>
        <w:rPr>
          <w:sz w:val="20"/>
          <w:szCs w:val="20"/>
          <w:color w:val="auto"/>
        </w:rPr>
      </w:pPr>
    </w:p>
    <w:p>
      <w:pPr>
        <w:ind w:left="1040" w:hanging="384"/>
        <w:spacing w:after="0"/>
        <w:tabs>
          <w:tab w:leader="none" w:pos="1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have been duly adopted by the applicable Requisite Company Approval;</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shall have been commenced against Parent, Merger Sub or the Company, which directly affects the transactions contemplated by this Agreement and would prevent or materially delay the Closing;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6" w:name="page57"/>
    <w:bookmarkEnd w:id="56"/>
    <w:p>
      <w:pPr>
        <w:jc w:val="both"/>
        <w:ind w:firstLine="656"/>
        <w:spacing w:after="0" w:line="266"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holding no more than five percent (5%) of the outstanding Shares as of immediately prior to the Effective Time, in the aggregate, shall have exercised, or remain entitled to exercise, statutory appraisal rights pursuant to Section 262 of the DGCL with respect to such Shares;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4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shall have enacted, issued, promulgated, enforced or entered any Governmental Order which is in effect and has the effect of making the transactions contemplated by this Agreement illegal, otherwise restraining or prohibiting consummation of such transactions or causing any of the transactions contemplated hereunder to be rescinded following completion thereof.</w:t>
      </w:r>
    </w:p>
    <w:p>
      <w:pPr>
        <w:spacing w:after="0" w:line="1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8.02 Conditions to Obligations of Parent and Merger Sub. </w:t>
      </w:r>
      <w:r>
        <w:rPr>
          <w:rFonts w:ascii="Times New Roman" w:cs="Times New Roman" w:eastAsia="Times New Roman" w:hAnsi="Times New Roman"/>
          <w:sz w:val="18"/>
          <w:szCs w:val="18"/>
          <w:color w:val="auto"/>
        </w:rPr>
        <w:t>The obligations of Parent and Merger Sub to consummate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this Agreement shall be subject to the fulfillment or Parent’s waiver, at or prior to the Closing, of each of the following conditions:</w:t>
      </w:r>
    </w:p>
    <w:p>
      <w:pPr>
        <w:spacing w:after="0" w:line="155" w:lineRule="exact"/>
        <w:rPr>
          <w:sz w:val="20"/>
          <w:szCs w:val="20"/>
          <w:color w:val="auto"/>
        </w:rPr>
      </w:pPr>
    </w:p>
    <w:p>
      <w:pPr>
        <w:jc w:val="both"/>
        <w:ind w:firstLine="656"/>
        <w:spacing w:after="0" w:line="253" w:lineRule="auto"/>
        <w:tabs>
          <w:tab w:leader="none" w:pos="107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contained in </w:t>
      </w:r>
      <w:r>
        <w:rPr>
          <w:rFonts w:ascii="Times New Roman" w:cs="Times New Roman" w:eastAsia="Times New Roman" w:hAnsi="Times New Roman"/>
          <w:sz w:val="18"/>
          <w:szCs w:val="18"/>
          <w:b w:val="1"/>
          <w:bCs w:val="1"/>
          <w:color w:val="auto"/>
        </w:rPr>
        <w:t>Article IV</w:t>
      </w:r>
      <w:r>
        <w:rPr>
          <w:rFonts w:ascii="Times New Roman" w:cs="Times New Roman" w:eastAsia="Times New Roman" w:hAnsi="Times New Roman"/>
          <w:sz w:val="18"/>
          <w:szCs w:val="18"/>
          <w:color w:val="auto"/>
        </w:rPr>
        <w:t xml:space="preserve">, the Ancillary Documents and any certificate or other writing delivered pursuant hereto, shall be true and correct in all respects on and as of the date hereof and on and as of the Closing Date with the same effect as though made at and as of such date (except those representations and warranties that address matters only as of a specified date, which shall be true and correct in all respects as of that specified date, the accuracy of which shall be determined as of that specified date in all respects), except where the failure of such representations and warranties to be true and correct would not have a Material Adverse Effect, other than (i) the representations and warranties of the Company contained in </w:t>
      </w:r>
      <w:r>
        <w:rPr>
          <w:rFonts w:ascii="Times New Roman" w:cs="Times New Roman" w:eastAsia="Times New Roman" w:hAnsi="Times New Roman"/>
          <w:sz w:val="18"/>
          <w:szCs w:val="18"/>
          <w:b w:val="1"/>
          <w:bCs w:val="1"/>
          <w:color w:val="auto"/>
        </w:rPr>
        <w:t>Section 4.01</w:t>
      </w:r>
      <w:r>
        <w:rPr>
          <w:rFonts w:ascii="Times New Roman" w:cs="Times New Roman" w:eastAsia="Times New Roman" w:hAnsi="Times New Roman"/>
          <w:sz w:val="18"/>
          <w:szCs w:val="18"/>
          <w:color w:val="auto"/>
        </w:rPr>
        <w:t xml:space="preserve"> (Organization and Qualification), </w:t>
      </w:r>
      <w:r>
        <w:rPr>
          <w:rFonts w:ascii="Times New Roman" w:cs="Times New Roman" w:eastAsia="Times New Roman" w:hAnsi="Times New Roman"/>
          <w:sz w:val="18"/>
          <w:szCs w:val="18"/>
          <w:b w:val="1"/>
          <w:bCs w:val="1"/>
          <w:color w:val="auto"/>
        </w:rPr>
        <w:t>Section 4.02(a)</w:t>
      </w:r>
      <w:r>
        <w:rPr>
          <w:rFonts w:ascii="Times New Roman" w:cs="Times New Roman" w:eastAsia="Times New Roman" w:hAnsi="Times New Roman"/>
          <w:sz w:val="18"/>
          <w:szCs w:val="18"/>
          <w:color w:val="auto"/>
        </w:rPr>
        <w:t xml:space="preserve"> (Authority), </w:t>
      </w:r>
      <w:r>
        <w:rPr>
          <w:rFonts w:ascii="Times New Roman" w:cs="Times New Roman" w:eastAsia="Times New Roman" w:hAnsi="Times New Roman"/>
          <w:sz w:val="18"/>
          <w:szCs w:val="18"/>
          <w:b w:val="1"/>
          <w:bCs w:val="1"/>
          <w:color w:val="auto"/>
        </w:rPr>
        <w:t>Section 4.04</w:t>
      </w:r>
      <w:r>
        <w:rPr>
          <w:rFonts w:ascii="Times New Roman" w:cs="Times New Roman" w:eastAsia="Times New Roman" w:hAnsi="Times New Roman"/>
          <w:sz w:val="18"/>
          <w:szCs w:val="18"/>
          <w:color w:val="auto"/>
        </w:rPr>
        <w:t xml:space="preserve"> (Capitalization) and </w:t>
      </w:r>
      <w:r>
        <w:rPr>
          <w:rFonts w:ascii="Times New Roman" w:cs="Times New Roman" w:eastAsia="Times New Roman" w:hAnsi="Times New Roman"/>
          <w:sz w:val="18"/>
          <w:szCs w:val="18"/>
          <w:b w:val="1"/>
          <w:bCs w:val="1"/>
          <w:color w:val="auto"/>
        </w:rPr>
        <w:t>Section 4.23</w:t>
      </w:r>
      <w:r>
        <w:rPr>
          <w:rFonts w:ascii="Times New Roman" w:cs="Times New Roman" w:eastAsia="Times New Roman" w:hAnsi="Times New Roman"/>
          <w:sz w:val="18"/>
          <w:szCs w:val="18"/>
          <w:color w:val="auto"/>
        </w:rPr>
        <w:t xml:space="preserve"> (Brokers), which shall be true and correct in all respects on and as of the date hereof and on and as of the Closing Date with the same effect as though made at and as of such date (except those representations and warranties that address matters only as of a specified date, the accuracy of which shall be determined as of that specified date in all respects), and (ii) </w:t>
      </w:r>
      <w:r>
        <w:rPr>
          <w:rFonts w:ascii="Times New Roman" w:cs="Times New Roman" w:eastAsia="Times New Roman" w:hAnsi="Times New Roman"/>
          <w:sz w:val="18"/>
          <w:szCs w:val="18"/>
          <w:b w:val="1"/>
          <w:bCs w:val="1"/>
          <w:color w:val="auto"/>
        </w:rPr>
        <w:t>Section 4.05</w:t>
      </w:r>
      <w:r>
        <w:rPr>
          <w:rFonts w:ascii="Times New Roman" w:cs="Times New Roman" w:eastAsia="Times New Roman" w:hAnsi="Times New Roman"/>
          <w:sz w:val="18"/>
          <w:szCs w:val="18"/>
          <w:color w:val="auto"/>
        </w:rPr>
        <w:t xml:space="preserve"> (Subsidiaries), </w:t>
      </w:r>
      <w:r>
        <w:rPr>
          <w:rFonts w:ascii="Times New Roman" w:cs="Times New Roman" w:eastAsia="Times New Roman" w:hAnsi="Times New Roman"/>
          <w:sz w:val="18"/>
          <w:szCs w:val="18"/>
          <w:b w:val="1"/>
          <w:bCs w:val="1"/>
          <w:color w:val="auto"/>
        </w:rPr>
        <w:t>Section 4.07</w:t>
      </w:r>
      <w:r>
        <w:rPr>
          <w:rFonts w:ascii="Times New Roman" w:cs="Times New Roman" w:eastAsia="Times New Roman" w:hAnsi="Times New Roman"/>
          <w:sz w:val="18"/>
          <w:szCs w:val="18"/>
          <w:color w:val="auto"/>
        </w:rPr>
        <w:t xml:space="preserve"> (Undisclosed Liabilities), and </w:t>
      </w:r>
      <w:r>
        <w:rPr>
          <w:rFonts w:ascii="Times New Roman" w:cs="Times New Roman" w:eastAsia="Times New Roman" w:hAnsi="Times New Roman"/>
          <w:sz w:val="18"/>
          <w:szCs w:val="18"/>
          <w:b w:val="1"/>
          <w:bCs w:val="1"/>
          <w:color w:val="auto"/>
        </w:rPr>
        <w:t>Section 4.14</w:t>
      </w:r>
      <w:r>
        <w:rPr>
          <w:rFonts w:ascii="Times New Roman" w:cs="Times New Roman" w:eastAsia="Times New Roman" w:hAnsi="Times New Roman"/>
          <w:sz w:val="18"/>
          <w:szCs w:val="18"/>
          <w:color w:val="auto"/>
        </w:rPr>
        <w:t xml:space="preserve"> (Legal Proceedings), which shall be true and correct in all respects (to the extent any representation or warranty in such Sections are qualified by materiality or Material Adverse Effect) or in all material respects (to the extent any representation or warranty in such Sections are not qualified by materiality or Material Adverse Effect) on and as of the date hereof and on and as of the Closing Date with the same effect as though made at and as of such date (except those representations and warranties that address matters only as of a specified date, the accuracy of which shall be determined as of that specified date in all respects);</w:t>
      </w:r>
    </w:p>
    <w:p>
      <w:pPr>
        <w:spacing w:after="0" w:line="189" w:lineRule="exact"/>
        <w:rPr>
          <w:rFonts w:ascii="Times New Roman" w:cs="Times New Roman" w:eastAsia="Times New Roman" w:hAnsi="Times New Roman"/>
          <w:sz w:val="18"/>
          <w:szCs w:val="18"/>
          <w:color w:val="auto"/>
        </w:rPr>
      </w:pPr>
    </w:p>
    <w:p>
      <w:pPr>
        <w:jc w:val="both"/>
        <w:ind w:firstLine="656"/>
        <w:spacing w:after="0" w:line="261" w:lineRule="auto"/>
        <w:tabs>
          <w:tab w:leader="none" w:pos="103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duly performed and complied in all material respects with all agreements, covenants and conditions required by this Agreement and each of the Ancillary Documents to be performed or complied with by it prior to or on the Closing Date;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with respect to agreements, covenants and conditions that are qualified by materiality, the Company shall have performed such agreements, covenants and conditions, as so qualified, in all respects;</w:t>
      </w:r>
    </w:p>
    <w:p>
      <w:pPr>
        <w:spacing w:after="0" w:line="175" w:lineRule="exact"/>
        <w:rPr>
          <w:rFonts w:ascii="Times New Roman" w:cs="Times New Roman" w:eastAsia="Times New Roman" w:hAnsi="Times New Roman"/>
          <w:sz w:val="18"/>
          <w:szCs w:val="18"/>
          <w:color w:val="auto"/>
        </w:rPr>
      </w:pPr>
    </w:p>
    <w:p>
      <w:pPr>
        <w:ind w:firstLine="656"/>
        <w:spacing w:after="0" w:line="286" w:lineRule="auto"/>
        <w:tabs>
          <w:tab w:leader="none" w:pos="107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approvals, consents and waivers that are listed in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xml:space="preserve"> or are otherwise included on Section 4.03 of the Disclosure Schedules shall have been received, and executed counterparts thereof shall have been delivered to Parent at or prior to the Closing;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7" w:name="page58"/>
    <w:bookmarkEnd w:id="57"/>
    <w:p>
      <w:pPr>
        <w:ind w:right="20" w:firstLine="656"/>
        <w:spacing w:after="0" w:line="282" w:lineRule="auto"/>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of this Agreement, there shall not have occurred any Material Adverse Effect, nor shall any event or events have occurred that, individually or in the aggregate, with or without the lapse of time, could reasonably be expected to result in a Material Adverse Effect;</w:t>
      </w:r>
    </w:p>
    <w:p>
      <w:pPr>
        <w:spacing w:after="0" w:line="15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each of the closing deliverables set forth in </w:t>
      </w:r>
      <w:r>
        <w:rPr>
          <w:rFonts w:ascii="Times New Roman" w:cs="Times New Roman" w:eastAsia="Times New Roman" w:hAnsi="Times New Roman"/>
          <w:sz w:val="18"/>
          <w:szCs w:val="18"/>
          <w:b w:val="1"/>
          <w:bCs w:val="1"/>
          <w:color w:val="auto"/>
        </w:rPr>
        <w:t>Section 2.03(a)</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656"/>
        <w:spacing w:after="0" w:line="266" w:lineRule="auto"/>
        <w:tabs>
          <w:tab w:leader="none" w:pos="100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Options, warrants, rights and other instruments and agreements relating to the Company Capital Stock shall have been (i) exercised for or converted into shares of Company Capital Stock or (ii) terminated in accordance with their terms, in each case in accordance with the organizational documents of the Company, Company Stock Plan, and other governing agreements and instruments and shall cease to be outstanding;</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8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satisfied all Indebtedness and known Liabilities, and shall have delivered to holders of outstanding Indebtedness and known Liabilities, if any, by wire transfer of immediately available funds, that amount of money due and owing from the Company to such holder of outstanding Indebtedness or known Liabilities;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6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 Recipient shall have executed such party’s Signature Page to the Registration Rights Agreement, and delivered executed copies of the same to Parent and Merger Sub;</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1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holding in the aggregate no less than ninety percent (90%) of the Fully Diluted Share Number of the Company Common Stock shall be Stock Recipients;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non-independent directors, and holders of 10% or more of the issued and outstanding Company Common Stock immediately prior to the Effective Time shall have executed such party’s signature page to the applicable Lock-Up Agreement, and delivered executed copies of the same to Parent and Merger Sub.</w:t>
      </w:r>
    </w:p>
    <w:p>
      <w:pPr>
        <w:spacing w:after="0" w:line="1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8.03 Conditions to Obligations of the Company. </w:t>
      </w:r>
      <w:r>
        <w:rPr>
          <w:rFonts w:ascii="Times New Roman" w:cs="Times New Roman" w:eastAsia="Times New Roman" w:hAnsi="Times New Roman"/>
          <w:sz w:val="18"/>
          <w:szCs w:val="18"/>
          <w:color w:val="auto"/>
        </w:rPr>
        <w:t>The obligations of the Company to consummate the transactions contemplated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subject to the fulfillment or the Company’s waiver, at or prior to the Closing, of each of the following conditions:</w:t>
      </w:r>
    </w:p>
    <w:p>
      <w:pPr>
        <w:spacing w:after="0" w:line="155" w:lineRule="exact"/>
        <w:rPr>
          <w:sz w:val="20"/>
          <w:szCs w:val="20"/>
          <w:color w:val="auto"/>
        </w:rPr>
      </w:pPr>
    </w:p>
    <w:p>
      <w:pPr>
        <w:jc w:val="both"/>
        <w:ind w:firstLine="656"/>
        <w:spacing w:after="0" w:line="254" w:lineRule="auto"/>
        <w:tabs>
          <w:tab w:leader="none" w:pos="107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the representations and warranties of Parent and Merger Sub contained in </w:t>
      </w:r>
      <w:r>
        <w:rPr>
          <w:rFonts w:ascii="Times New Roman" w:cs="Times New Roman" w:eastAsia="Times New Roman" w:hAnsi="Times New Roman"/>
          <w:sz w:val="18"/>
          <w:szCs w:val="18"/>
          <w:b w:val="1"/>
          <w:bCs w:val="1"/>
          <w:color w:val="auto"/>
        </w:rPr>
        <w:t>Section 5.01</w:t>
      </w:r>
      <w:r>
        <w:rPr>
          <w:rFonts w:ascii="Times New Roman" w:cs="Times New Roman" w:eastAsia="Times New Roman" w:hAnsi="Times New Roman"/>
          <w:sz w:val="18"/>
          <w:szCs w:val="18"/>
          <w:color w:val="auto"/>
        </w:rPr>
        <w:t xml:space="preserve"> (Organization), </w:t>
      </w:r>
      <w:r>
        <w:rPr>
          <w:rFonts w:ascii="Times New Roman" w:cs="Times New Roman" w:eastAsia="Times New Roman" w:hAnsi="Times New Roman"/>
          <w:sz w:val="18"/>
          <w:szCs w:val="18"/>
          <w:b w:val="1"/>
          <w:bCs w:val="1"/>
          <w:color w:val="auto"/>
        </w:rPr>
        <w:t>Section 5.04</w:t>
      </w:r>
      <w:r>
        <w:rPr>
          <w:rFonts w:ascii="Times New Roman" w:cs="Times New Roman" w:eastAsia="Times New Roman" w:hAnsi="Times New Roman"/>
          <w:sz w:val="18"/>
          <w:szCs w:val="18"/>
          <w:color w:val="auto"/>
        </w:rPr>
        <w:t xml:space="preserve"> (Brokers), </w:t>
      </w:r>
      <w:r>
        <w:rPr>
          <w:rFonts w:ascii="Times New Roman" w:cs="Times New Roman" w:eastAsia="Times New Roman" w:hAnsi="Times New Roman"/>
          <w:sz w:val="18"/>
          <w:szCs w:val="18"/>
          <w:b w:val="1"/>
          <w:bCs w:val="1"/>
          <w:color w:val="auto"/>
        </w:rPr>
        <w:t xml:space="preserve">Section 5.05 </w:t>
      </w:r>
      <w:r>
        <w:rPr>
          <w:rFonts w:ascii="Times New Roman" w:cs="Times New Roman" w:eastAsia="Times New Roman" w:hAnsi="Times New Roman"/>
          <w:sz w:val="18"/>
          <w:szCs w:val="18"/>
          <w:color w:val="auto"/>
        </w:rPr>
        <w:t>(Sufficiency of Funds) and</w:t>
      </w:r>
      <w:r>
        <w:rPr>
          <w:rFonts w:ascii="Times New Roman" w:cs="Times New Roman" w:eastAsia="Times New Roman" w:hAnsi="Times New Roman"/>
          <w:sz w:val="18"/>
          <w:szCs w:val="18"/>
          <w:b w:val="1"/>
          <w:bCs w:val="1"/>
          <w:color w:val="auto"/>
        </w:rPr>
        <w:t xml:space="preserve"> Section 5.07 </w:t>
      </w:r>
      <w:r>
        <w:rPr>
          <w:rFonts w:ascii="Times New Roman" w:cs="Times New Roman" w:eastAsia="Times New Roman" w:hAnsi="Times New Roman"/>
          <w:sz w:val="18"/>
          <w:szCs w:val="18"/>
          <w:color w:val="auto"/>
        </w:rPr>
        <w:t>(Valid Issuance), the representations and warranties of Parent and Merger Sub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the Ancillary Documents and any certificate or other writing delivered pursuant hereto shall be true and correct in all respects (in the case of any representation or warranty qualified by materiality or Parent Material Adverse Effect) or in all material respects (in the case of any representation or warranty not qualified by materiality or Parent Material Adverse Effect) on and as of the date hereof and on and as of the Closing Date with the same effect as though made at and as of such date (except those representations and warranties that address matters only as of a specified date, the accuracy of which shall be determined as of that specified date in all respects). The representations and warranties of Parent and Merger Sub contained in </w:t>
      </w:r>
      <w:r>
        <w:rPr>
          <w:rFonts w:ascii="Times New Roman" w:cs="Times New Roman" w:eastAsia="Times New Roman" w:hAnsi="Times New Roman"/>
          <w:sz w:val="18"/>
          <w:szCs w:val="18"/>
          <w:b w:val="1"/>
          <w:bCs w:val="1"/>
          <w:color w:val="auto"/>
        </w:rPr>
        <w:t>Section 5.01</w:t>
      </w:r>
      <w:r>
        <w:rPr>
          <w:rFonts w:ascii="Times New Roman" w:cs="Times New Roman" w:eastAsia="Times New Roman" w:hAnsi="Times New Roman"/>
          <w:sz w:val="18"/>
          <w:szCs w:val="18"/>
          <w:color w:val="auto"/>
        </w:rPr>
        <w:t xml:space="preserve"> (Organization), </w:t>
      </w:r>
      <w:r>
        <w:rPr>
          <w:rFonts w:ascii="Times New Roman" w:cs="Times New Roman" w:eastAsia="Times New Roman" w:hAnsi="Times New Roman"/>
          <w:sz w:val="18"/>
          <w:szCs w:val="18"/>
          <w:b w:val="1"/>
          <w:bCs w:val="1"/>
          <w:color w:val="auto"/>
        </w:rPr>
        <w:t>Section 5.04</w:t>
      </w:r>
      <w:r>
        <w:rPr>
          <w:rFonts w:ascii="Times New Roman" w:cs="Times New Roman" w:eastAsia="Times New Roman" w:hAnsi="Times New Roman"/>
          <w:sz w:val="18"/>
          <w:szCs w:val="18"/>
          <w:color w:val="auto"/>
        </w:rPr>
        <w:t xml:space="preserve"> (Brokers), </w:t>
      </w:r>
      <w:r>
        <w:rPr>
          <w:rFonts w:ascii="Times New Roman" w:cs="Times New Roman" w:eastAsia="Times New Roman" w:hAnsi="Times New Roman"/>
          <w:sz w:val="18"/>
          <w:szCs w:val="18"/>
          <w:b w:val="1"/>
          <w:bCs w:val="1"/>
          <w:color w:val="auto"/>
        </w:rPr>
        <w:t>Section 5.05</w:t>
      </w:r>
      <w:r>
        <w:rPr>
          <w:rFonts w:ascii="Times New Roman" w:cs="Times New Roman" w:eastAsia="Times New Roman" w:hAnsi="Times New Roman"/>
          <w:sz w:val="18"/>
          <w:szCs w:val="18"/>
          <w:color w:val="auto"/>
        </w:rPr>
        <w:t xml:space="preserve"> (Sufficiency of Funds) and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(Valid Issuance) shall be true and correct in all respects on and as of the date hereof and on and as of the Closing Date with the same effect as though made at and as of such date;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ind w:firstLine="656"/>
        <w:spacing w:after="0" w:line="282" w:lineRule="auto"/>
        <w:tabs>
          <w:tab w:leader="none" w:pos="113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shall have duly performed and complied in all material respects with all agreements, covenants and conditions required by this Agreement and each of the Ancillary Documents to be performed or complied with by them prior to or on the Closing Date;</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312" w:lineRule="auto"/>
        <w:tabs>
          <w:tab w:leader="none" w:pos="1113"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date of this Agreement, there shall not have occurred any Parent Material Adverse Effect, nor shall any event or events have occurred that, individually or in the aggregate, with or without the lapse of time, could reasonably be expected to result in a Parent Material Adverse Effect;</w:t>
      </w:r>
    </w:p>
    <w:p>
      <w:pPr>
        <w:spacing w:after="0" w:line="135" w:lineRule="exact"/>
        <w:rPr>
          <w:rFonts w:ascii="Times New Roman" w:cs="Times New Roman" w:eastAsia="Times New Roman" w:hAnsi="Times New Roman"/>
          <w:sz w:val="17"/>
          <w:szCs w:val="17"/>
          <w:color w:val="auto"/>
        </w:rPr>
      </w:pPr>
    </w:p>
    <w:p>
      <w:pPr>
        <w:ind w:left="1040" w:hanging="384"/>
        <w:spacing w:after="0"/>
        <w:tabs>
          <w:tab w:leader="none" w:pos="1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delivered each of the closing deliverables set forth in </w:t>
      </w:r>
      <w:r>
        <w:rPr>
          <w:rFonts w:ascii="Times New Roman" w:cs="Times New Roman" w:eastAsia="Times New Roman" w:hAnsi="Times New Roman"/>
          <w:sz w:val="18"/>
          <w:szCs w:val="18"/>
          <w:b w:val="1"/>
          <w:bCs w:val="1"/>
          <w:color w:val="auto"/>
        </w:rPr>
        <w:t>Section 2.03(b)</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executed the signature page to the Registration Rights Agreement, and delivered executed copies of the same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w:t>
      </w:r>
    </w:p>
    <w:p>
      <w:pPr>
        <w:spacing w:after="0" w:line="206"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executed the signature page to the Lock-Up Agreement, and delivered executed copies of the same to the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NDEMNIFICATION</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9.01 Survival. </w:t>
      </w:r>
      <w:r>
        <w:rPr>
          <w:rFonts w:ascii="Times New Roman" w:cs="Times New Roman" w:eastAsia="Times New Roman" w:hAnsi="Times New Roman"/>
          <w:sz w:val="18"/>
          <w:szCs w:val="18"/>
          <w:color w:val="auto"/>
        </w:rPr>
        <w:t>Subject to the limitations and other provisions of this Agreement, the representations and warranties contained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than any representations or warranties contained in </w:t>
      </w:r>
      <w:r>
        <w:rPr>
          <w:rFonts w:ascii="Times New Roman" w:cs="Times New Roman" w:eastAsia="Times New Roman" w:hAnsi="Times New Roman"/>
          <w:sz w:val="18"/>
          <w:szCs w:val="18"/>
          <w:b w:val="1"/>
          <w:bCs w:val="1"/>
          <w:color w:val="auto"/>
        </w:rPr>
        <w:t>Section 4.19</w:t>
      </w:r>
      <w:r>
        <w:rPr>
          <w:rFonts w:ascii="Times New Roman" w:cs="Times New Roman" w:eastAsia="Times New Roman" w:hAnsi="Times New Roman"/>
          <w:sz w:val="18"/>
          <w:szCs w:val="18"/>
          <w:color w:val="auto"/>
        </w:rPr>
        <w:t xml:space="preserve"> (Taxes) which are subject to </w:t>
      </w:r>
      <w:r>
        <w:rPr>
          <w:rFonts w:ascii="Times New Roman" w:cs="Times New Roman" w:eastAsia="Times New Roman" w:hAnsi="Times New Roman"/>
          <w:sz w:val="18"/>
          <w:szCs w:val="18"/>
          <w:b w:val="1"/>
          <w:bCs w:val="1"/>
          <w:color w:val="auto"/>
        </w:rPr>
        <w:t>Article VII</w:t>
      </w:r>
      <w:r>
        <w:rPr>
          <w:rFonts w:ascii="Times New Roman" w:cs="Times New Roman" w:eastAsia="Times New Roman" w:hAnsi="Times New Roman"/>
          <w:sz w:val="18"/>
          <w:szCs w:val="18"/>
          <w:color w:val="auto"/>
        </w:rPr>
        <w:t xml:space="preserve">) shall terminate upon the Closing Date;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the representations and warranties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 and Qualification),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obtaining the 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Consent Requirement as set forth in </w:t>
      </w:r>
      <w:r>
        <w:rPr>
          <w:rFonts w:ascii="Times New Roman" w:cs="Times New Roman" w:eastAsia="Times New Roman" w:hAnsi="Times New Roman"/>
          <w:sz w:val="18"/>
          <w:szCs w:val="18"/>
          <w:b w:val="1"/>
          <w:bCs w:val="1"/>
          <w:color w:val="auto"/>
        </w:rPr>
        <w:t>Section 4.03(a)</w:t>
      </w:r>
      <w:r>
        <w:rPr>
          <w:rFonts w:ascii="Times New Roman" w:cs="Times New Roman" w:eastAsia="Times New Roman" w:hAnsi="Times New Roman"/>
          <w:sz w:val="18"/>
          <w:szCs w:val="18"/>
          <w:color w:val="auto"/>
        </w:rPr>
        <w:t xml:space="preserve"> (No Conflicts; Consents), </w:t>
      </w:r>
      <w:r>
        <w:rPr>
          <w:rFonts w:ascii="Times New Roman" w:cs="Times New Roman" w:eastAsia="Times New Roman" w:hAnsi="Times New Roman"/>
          <w:sz w:val="18"/>
          <w:szCs w:val="18"/>
          <w:b w:val="1"/>
          <w:bCs w:val="1"/>
          <w:color w:val="auto"/>
        </w:rPr>
        <w:t>Section 4.04</w:t>
      </w:r>
      <w:r>
        <w:rPr>
          <w:rFonts w:ascii="Times New Roman" w:cs="Times New Roman" w:eastAsia="Times New Roman" w:hAnsi="Times New Roman"/>
          <w:sz w:val="18"/>
          <w:szCs w:val="18"/>
          <w:color w:val="auto"/>
        </w:rPr>
        <w:t xml:space="preserve"> (Capitalization), </w:t>
      </w:r>
      <w:r>
        <w:rPr>
          <w:rFonts w:ascii="Times New Roman" w:cs="Times New Roman" w:eastAsia="Times New Roman" w:hAnsi="Times New Roman"/>
          <w:sz w:val="18"/>
          <w:szCs w:val="18"/>
          <w:b w:val="1"/>
          <w:bCs w:val="1"/>
          <w:color w:val="auto"/>
        </w:rPr>
        <w:t>Section 4.23</w:t>
      </w:r>
      <w:r>
        <w:rPr>
          <w:rFonts w:ascii="Times New Roman" w:cs="Times New Roman" w:eastAsia="Times New Roman" w:hAnsi="Times New Roman"/>
          <w:sz w:val="18"/>
          <w:szCs w:val="18"/>
          <w:color w:val="auto"/>
        </w:rPr>
        <w:t xml:space="preserve"> (Brokers), </w:t>
      </w:r>
      <w:r>
        <w:rPr>
          <w:rFonts w:ascii="Times New Roman" w:cs="Times New Roman" w:eastAsia="Times New Roman" w:hAnsi="Times New Roman"/>
          <w:sz w:val="18"/>
          <w:szCs w:val="18"/>
          <w:b w:val="1"/>
          <w:bCs w:val="1"/>
          <w:color w:val="auto"/>
        </w:rPr>
        <w:t>Section 5.01</w:t>
      </w:r>
      <w:r>
        <w:rPr>
          <w:rFonts w:ascii="Times New Roman" w:cs="Times New Roman" w:eastAsia="Times New Roman" w:hAnsi="Times New Roman"/>
          <w:sz w:val="18"/>
          <w:szCs w:val="18"/>
          <w:color w:val="auto"/>
        </w:rPr>
        <w:t xml:space="preserve"> (Organization), </w:t>
      </w:r>
      <w:r>
        <w:rPr>
          <w:rFonts w:ascii="Times New Roman" w:cs="Times New Roman" w:eastAsia="Times New Roman" w:hAnsi="Times New Roman"/>
          <w:sz w:val="18"/>
          <w:szCs w:val="18"/>
          <w:b w:val="1"/>
          <w:bCs w:val="1"/>
          <w:color w:val="auto"/>
        </w:rPr>
        <w:t>Section 5.04</w:t>
      </w:r>
      <w:r>
        <w:rPr>
          <w:rFonts w:ascii="Times New Roman" w:cs="Times New Roman" w:eastAsia="Times New Roman" w:hAnsi="Times New Roman"/>
          <w:sz w:val="18"/>
          <w:szCs w:val="18"/>
          <w:color w:val="auto"/>
        </w:rPr>
        <w:t xml:space="preserve"> (Brokers), </w:t>
      </w:r>
      <w:r>
        <w:rPr>
          <w:rFonts w:ascii="Times New Roman" w:cs="Times New Roman" w:eastAsia="Times New Roman" w:hAnsi="Times New Roman"/>
          <w:sz w:val="18"/>
          <w:szCs w:val="18"/>
          <w:b w:val="1"/>
          <w:bCs w:val="1"/>
          <w:color w:val="auto"/>
        </w:rPr>
        <w:t>Section 5.05</w:t>
      </w:r>
      <w:r>
        <w:rPr>
          <w:rFonts w:ascii="Times New Roman" w:cs="Times New Roman" w:eastAsia="Times New Roman" w:hAnsi="Times New Roman"/>
          <w:sz w:val="18"/>
          <w:szCs w:val="18"/>
          <w:color w:val="auto"/>
        </w:rPr>
        <w:t xml:space="preserve"> (Sufficiency of Funds) and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(Valid Issuance) (all such representations, the “</w:t>
      </w:r>
      <w:r>
        <w:rPr>
          <w:rFonts w:ascii="Times New Roman" w:cs="Times New Roman" w:eastAsia="Times New Roman" w:hAnsi="Times New Roman"/>
          <w:sz w:val="18"/>
          <w:szCs w:val="18"/>
          <w:b w:val="1"/>
          <w:b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Representations</w:t>
      </w:r>
      <w:r>
        <w:rPr>
          <w:rFonts w:ascii="Times New Roman" w:cs="Times New Roman" w:eastAsia="Times New Roman" w:hAnsi="Times New Roman"/>
          <w:sz w:val="18"/>
          <w:szCs w:val="18"/>
          <w:color w:val="auto"/>
        </w:rPr>
        <w:t>”) shall survive until the applicable statute of limitations (giving effect to any waiver, mitigation or extension thereof). None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or other agreements contained in this Agreement shall survive the Closing Date other than those which by their terms contemplate performance after the Closing Date and each such surviving covenant and agreement shall survive the Closing for the period contemplated by its terms. Notwithstanding the foregoing, any claims asserted in good faith with reasonable specificity (to the extent known at such time) and in writing by notice from the Indemnified Party to the Indemnifying Party prior to the expiration date of the applicable survival period shall not thereafter be barred by the expiration of the applicable survival period and such claims shall survive until finally resolved.</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9.02 Indemnification By Stockholders. </w:t>
      </w:r>
      <w:r>
        <w:rPr>
          <w:rFonts w:ascii="Times New Roman" w:cs="Times New Roman" w:eastAsia="Times New Roman" w:hAnsi="Times New Roman"/>
          <w:sz w:val="18"/>
          <w:szCs w:val="18"/>
          <w:color w:val="auto"/>
        </w:rPr>
        <w:t>Subject to the other terms and conditions of this</w:t>
      </w:r>
      <w:r>
        <w:rPr>
          <w:rFonts w:ascii="Times New Roman" w:cs="Times New Roman" w:eastAsia="Times New Roman" w:hAnsi="Times New Roman"/>
          <w:sz w:val="18"/>
          <w:szCs w:val="18"/>
          <w:b w:val="1"/>
          <w:bCs w:val="1"/>
          <w:color w:val="auto"/>
        </w:rPr>
        <w:t xml:space="preserve"> Article IX</w:t>
      </w:r>
      <w:r>
        <w:rPr>
          <w:rFonts w:ascii="Times New Roman" w:cs="Times New Roman" w:eastAsia="Times New Roman" w:hAnsi="Times New Roman"/>
          <w:sz w:val="18"/>
          <w:szCs w:val="18"/>
          <w:color w:val="auto"/>
        </w:rPr>
        <w:t>, the Stockholders, severally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jointly (in accordance with their Pro Rata Shares), shall indemnify and defend each of Parent and its Affiliates (including the Company) and their respective Representatives (collectively, the “</w:t>
      </w:r>
      <w:r>
        <w:rPr>
          <w:rFonts w:ascii="Times New Roman" w:cs="Times New Roman" w:eastAsia="Times New Roman" w:hAnsi="Times New Roman"/>
          <w:sz w:val="18"/>
          <w:szCs w:val="18"/>
          <w:b w:val="1"/>
          <w:bCs w:val="1"/>
          <w:color w:val="auto"/>
        </w:rPr>
        <w:t>Parent Indemnitees</w:t>
      </w:r>
      <w:r>
        <w:rPr>
          <w:rFonts w:ascii="Times New Roman" w:cs="Times New Roman" w:eastAsia="Times New Roman" w:hAnsi="Times New Roman"/>
          <w:sz w:val="18"/>
          <w:szCs w:val="18"/>
          <w:color w:val="auto"/>
        </w:rPr>
        <w:t>”) against, and shall hold each of them harmless from and against, and shall pay and reimburse each of them for, any and all Losses incurred or sustained by, or imposed upon, the Parent Indemnitees based upon, arising out of, with respect to or by reason of:</w:t>
      </w:r>
    </w:p>
    <w:p>
      <w:pPr>
        <w:spacing w:after="0" w:line="183" w:lineRule="exact"/>
        <w:rPr>
          <w:sz w:val="20"/>
          <w:szCs w:val="20"/>
          <w:color w:val="auto"/>
        </w:rPr>
      </w:pPr>
    </w:p>
    <w:p>
      <w:pPr>
        <w:jc w:val="both"/>
        <w:ind w:firstLine="656"/>
        <w:spacing w:after="0" w:line="261" w:lineRule="auto"/>
        <w:tabs>
          <w:tab w:leader="none" w:pos="103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inaccuracy in or breach of any of the Fundamental Representations as of the date such representation or warranty was made or as if such representation or warranty was made on and, subject to </w:t>
      </w:r>
      <w:r>
        <w:rPr>
          <w:rFonts w:ascii="Times New Roman" w:cs="Times New Roman" w:eastAsia="Times New Roman" w:hAnsi="Times New Roman"/>
          <w:sz w:val="18"/>
          <w:szCs w:val="18"/>
          <w:b w:val="1"/>
          <w:bCs w:val="1"/>
          <w:color w:val="auto"/>
        </w:rPr>
        <w:t>Section 6.15</w:t>
      </w:r>
      <w:r>
        <w:rPr>
          <w:rFonts w:ascii="Times New Roman" w:cs="Times New Roman" w:eastAsia="Times New Roman" w:hAnsi="Times New Roman"/>
          <w:sz w:val="18"/>
          <w:szCs w:val="18"/>
          <w:color w:val="auto"/>
        </w:rPr>
        <w:t xml:space="preserve"> (including the Company’s right to supplement the Disclosure Schedules), as of the Closing Date (except for Fundamental Representations that expressly relate to a specified date, the inaccuracy in or breach of which will be determined with reference to such specified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jc w:val="both"/>
        <w:ind w:firstLine="656"/>
        <w:spacing w:after="0" w:line="266" w:lineRule="auto"/>
        <w:tabs>
          <w:tab w:leader="none" w:pos="10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or non-fulfillment of any covenant, agreement or obligation to be performed by the Company pursuant to this Agreement (other than any breach or violation of, or failure to fully perform, any covenant, agreement, undertaking or obligation in </w:t>
      </w:r>
      <w:r>
        <w:rPr>
          <w:rFonts w:ascii="Times New Roman" w:cs="Times New Roman" w:eastAsia="Times New Roman" w:hAnsi="Times New Roman"/>
          <w:sz w:val="18"/>
          <w:szCs w:val="18"/>
          <w:b w:val="1"/>
          <w:bCs w:val="1"/>
          <w:color w:val="auto"/>
        </w:rPr>
        <w:t>Article VII</w:t>
      </w:r>
      <w:r>
        <w:rPr>
          <w:rFonts w:ascii="Times New Roman" w:cs="Times New Roman" w:eastAsia="Times New Roman" w:hAnsi="Times New Roman"/>
          <w:sz w:val="18"/>
          <w:szCs w:val="18"/>
          <w:color w:val="auto"/>
        </w:rPr>
        <w:t xml:space="preserve">, it being understood that the sole remedy for any such breach, violation or failure shall be pursuant to </w:t>
      </w:r>
      <w:r>
        <w:rPr>
          <w:rFonts w:ascii="Times New Roman" w:cs="Times New Roman" w:eastAsia="Times New Roman" w:hAnsi="Times New Roman"/>
          <w:sz w:val="18"/>
          <w:szCs w:val="18"/>
          <w:b w:val="1"/>
          <w:bCs w:val="1"/>
          <w:color w:val="auto"/>
        </w:rPr>
        <w:t>Article VII</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1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made by any Stockholder relating to such Person’s rights with respect to the Merger Consideration, or the calculations and determinations set forth on the Final Merger Consideration Spreadsheet;</w:t>
      </w:r>
    </w:p>
    <w:p>
      <w:pPr>
        <w:spacing w:after="0" w:line="157" w:lineRule="exact"/>
        <w:rPr>
          <w:rFonts w:ascii="Times New Roman" w:cs="Times New Roman" w:eastAsia="Times New Roman" w:hAnsi="Times New Roman"/>
          <w:sz w:val="18"/>
          <w:szCs w:val="18"/>
          <w:color w:val="auto"/>
        </w:rPr>
      </w:pPr>
    </w:p>
    <w:p>
      <w:pPr>
        <w:jc w:val="both"/>
        <w:ind w:firstLine="656"/>
        <w:spacing w:after="0" w:line="268"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should Parent and/or Merger Sub waive </w:t>
      </w:r>
      <w:r>
        <w:rPr>
          <w:rFonts w:ascii="Times New Roman" w:cs="Times New Roman" w:eastAsia="Times New Roman" w:hAnsi="Times New Roman"/>
          <w:sz w:val="18"/>
          <w:szCs w:val="18"/>
          <w:b w:val="1"/>
          <w:bCs w:val="1"/>
          <w:color w:val="auto"/>
        </w:rPr>
        <w:t>Section 8.01(c)</w:t>
      </w:r>
      <w:r>
        <w:rPr>
          <w:rFonts w:ascii="Times New Roman" w:cs="Times New Roman" w:eastAsia="Times New Roman" w:hAnsi="Times New Roman"/>
          <w:sz w:val="18"/>
          <w:szCs w:val="18"/>
          <w:color w:val="auto"/>
        </w:rPr>
        <w:t>, any amounts paid to the holders of Dissenting Shares, including any interest required to be paid thereon, that are in excess of what such holders would have received hereunder had such holders not been holders of Dissenting Shares; or</w:t>
      </w:r>
    </w:p>
    <w:p>
      <w:pPr>
        <w:spacing w:after="0" w:line="174" w:lineRule="exact"/>
        <w:rPr>
          <w:rFonts w:ascii="Times New Roman" w:cs="Times New Roman" w:eastAsia="Times New Roman" w:hAnsi="Times New Roman"/>
          <w:sz w:val="18"/>
          <w:szCs w:val="18"/>
          <w:color w:val="auto"/>
        </w:rPr>
      </w:pPr>
    </w:p>
    <w:p>
      <w:pPr>
        <w:ind w:firstLine="656"/>
        <w:spacing w:after="0" w:line="282" w:lineRule="auto"/>
        <w:tabs>
          <w:tab w:leader="none" w:pos="108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or subject to Parent’s Transaction Expense Reimbursement, the Transaction Expenses of the Company outstanding as of the Closing to the extent not paid or satisfied by the Company at or prior to the Closing.</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9.03 Indemnification By Parent. </w:t>
      </w:r>
      <w:r>
        <w:rPr>
          <w:rFonts w:ascii="Times New Roman" w:cs="Times New Roman" w:eastAsia="Times New Roman" w:hAnsi="Times New Roman"/>
          <w:sz w:val="18"/>
          <w:szCs w:val="18"/>
          <w:color w:val="auto"/>
        </w:rPr>
        <w:t>Subject to the other terms and conditions of this</w:t>
      </w:r>
      <w:r>
        <w:rPr>
          <w:rFonts w:ascii="Times New Roman" w:cs="Times New Roman" w:eastAsia="Times New Roman" w:hAnsi="Times New Roman"/>
          <w:sz w:val="18"/>
          <w:szCs w:val="18"/>
          <w:b w:val="1"/>
          <w:bCs w:val="1"/>
          <w:color w:val="auto"/>
        </w:rPr>
        <w:t xml:space="preserve"> Article IX</w:t>
      </w:r>
      <w:r>
        <w:rPr>
          <w:rFonts w:ascii="Times New Roman" w:cs="Times New Roman" w:eastAsia="Times New Roman" w:hAnsi="Times New Roman"/>
          <w:sz w:val="18"/>
          <w:szCs w:val="18"/>
          <w:color w:val="auto"/>
        </w:rPr>
        <w:t>, Parent shall indemnify and defend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Stockholders and their Affiliates and their respective Representatives (collectively, the “</w:t>
      </w:r>
      <w:r>
        <w:rPr>
          <w:rFonts w:ascii="Times New Roman" w:cs="Times New Roman" w:eastAsia="Times New Roman" w:hAnsi="Times New Roman"/>
          <w:sz w:val="18"/>
          <w:szCs w:val="18"/>
          <w:b w:val="1"/>
          <w:bCs w:val="1"/>
          <w:color w:val="auto"/>
        </w:rPr>
        <w:t>Stockholder Indemnitees</w:t>
      </w:r>
      <w:r>
        <w:rPr>
          <w:rFonts w:ascii="Times New Roman" w:cs="Times New Roman" w:eastAsia="Times New Roman" w:hAnsi="Times New Roman"/>
          <w:sz w:val="18"/>
          <w:szCs w:val="18"/>
          <w:color w:val="auto"/>
        </w:rPr>
        <w:t>”) against, and shall hold each of them harmless from and against, and shall pay and reimburse each of them for, any and all Losses incurred or sustained by, or imposed upon, the Stockholder Indemnitees based upon, arising out of, with respect to or by reason of:</w:t>
      </w:r>
    </w:p>
    <w:p>
      <w:pPr>
        <w:spacing w:after="0" w:line="180" w:lineRule="exact"/>
        <w:rPr>
          <w:sz w:val="20"/>
          <w:szCs w:val="20"/>
          <w:color w:val="auto"/>
        </w:rPr>
      </w:pPr>
    </w:p>
    <w:p>
      <w:pPr>
        <w:ind w:right="20" w:firstLine="656"/>
        <w:spacing w:after="0" w:line="282" w:lineRule="auto"/>
        <w:tabs>
          <w:tab w:leader="none" w:pos="109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inaccuracy in or breach of any of the representations or warranties of Parent and Merger Sub contained in this Agreement or in any certificate or instrument delivered by or on behalf of Parent or Merger Sub pursuant to this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or non-fulfillment of any covenant, agreement or obligation to be performed by Parent or Merger Sub pursuant to this Agreement (other than </w:t>
      </w:r>
      <w:r>
        <w:rPr>
          <w:rFonts w:ascii="Times New Roman" w:cs="Times New Roman" w:eastAsia="Times New Roman" w:hAnsi="Times New Roman"/>
          <w:sz w:val="18"/>
          <w:szCs w:val="18"/>
          <w:b w:val="1"/>
          <w:bCs w:val="1"/>
          <w:color w:val="auto"/>
        </w:rPr>
        <w:t>Article VII</w:t>
      </w:r>
      <w:r>
        <w:rPr>
          <w:rFonts w:ascii="Times New Roman" w:cs="Times New Roman" w:eastAsia="Times New Roman" w:hAnsi="Times New Roman"/>
          <w:sz w:val="18"/>
          <w:szCs w:val="18"/>
          <w:color w:val="auto"/>
        </w:rPr>
        <w:t xml:space="preserve">, it being understood that the sole remedy for any such breach thereof shall be pursuant to </w:t>
      </w:r>
      <w:r>
        <w:rPr>
          <w:rFonts w:ascii="Times New Roman" w:cs="Times New Roman" w:eastAsia="Times New Roman" w:hAnsi="Times New Roman"/>
          <w:sz w:val="18"/>
          <w:szCs w:val="18"/>
          <w:b w:val="1"/>
          <w:bCs w:val="1"/>
          <w:color w:val="auto"/>
        </w:rPr>
        <w:t>Article VII</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9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Losses that are associated to, stem from or relate to, the License Agreements to the extent such Losses are due to the actions of the Surviving Corporation after the Closing, or arise from a breach of Parent’s obligations under the License Agreement prior to the Closing.</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9.04 Certain Limitations. </w:t>
      </w:r>
      <w:r>
        <w:rPr>
          <w:rFonts w:ascii="Times New Roman" w:cs="Times New Roman" w:eastAsia="Times New Roman" w:hAnsi="Times New Roman"/>
          <w:sz w:val="18"/>
          <w:szCs w:val="18"/>
          <w:color w:val="auto"/>
        </w:rPr>
        <w:t>The party making a claim under this</w:t>
      </w:r>
      <w:r>
        <w:rPr>
          <w:rFonts w:ascii="Times New Roman" w:cs="Times New Roman" w:eastAsia="Times New Roman" w:hAnsi="Times New Roman"/>
          <w:sz w:val="18"/>
          <w:szCs w:val="18"/>
          <w:b w:val="1"/>
          <w:bCs w:val="1"/>
          <w:color w:val="auto"/>
        </w:rPr>
        <w:t xml:space="preserve"> Article IX </w:t>
      </w:r>
      <w:r>
        <w:rPr>
          <w:rFonts w:ascii="Times New Roman" w:cs="Times New Roman" w:eastAsia="Times New Roman" w:hAnsi="Times New Roman"/>
          <w:sz w:val="18"/>
          <w:szCs w:val="18"/>
          <w:color w:val="auto"/>
        </w:rPr>
        <w:t>(including Parent Indemnitees and Stockholder Indemnitees)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referred to as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xml:space="preserve">”, and the party against whom such claims are asserted under this </w:t>
      </w:r>
      <w:r>
        <w:rPr>
          <w:rFonts w:ascii="Times New Roman" w:cs="Times New Roman" w:eastAsia="Times New Roman" w:hAnsi="Times New Roman"/>
          <w:sz w:val="18"/>
          <w:szCs w:val="18"/>
          <w:b w:val="1"/>
          <w:bCs w:val="1"/>
          <w:color w:val="auto"/>
        </w:rPr>
        <w:t>Article IX</w:t>
      </w:r>
      <w:r>
        <w:rPr>
          <w:rFonts w:ascii="Times New Roman" w:cs="Times New Roman" w:eastAsia="Times New Roman" w:hAnsi="Times New Roman"/>
          <w:sz w:val="18"/>
          <w:szCs w:val="18"/>
          <w:color w:val="auto"/>
        </w:rPr>
        <w:t xml:space="preserve"> is referred to as the “</w:t>
      </w:r>
      <w:r>
        <w:rPr>
          <w:rFonts w:ascii="Times New Roman" w:cs="Times New Roman" w:eastAsia="Times New Roman" w:hAnsi="Times New Roman"/>
          <w:sz w:val="18"/>
          <w:szCs w:val="18"/>
          <w:b w:val="1"/>
          <w:bCs w:val="1"/>
          <w:color w:val="auto"/>
        </w:rPr>
        <w:t>Indemnifying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The indemnification provided for in</w:t>
      </w:r>
      <w:r>
        <w:rPr>
          <w:rFonts w:ascii="Times New Roman" w:cs="Times New Roman" w:eastAsia="Times New Roman" w:hAnsi="Times New Roman"/>
          <w:sz w:val="18"/>
          <w:szCs w:val="18"/>
          <w:b w:val="1"/>
          <w:bCs w:val="1"/>
          <w:color w:val="auto"/>
        </w:rPr>
        <w:t xml:space="preserve"> Section 9.02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Section 9.03 </w:t>
      </w:r>
      <w:r>
        <w:rPr>
          <w:rFonts w:ascii="Times New Roman" w:cs="Times New Roman" w:eastAsia="Times New Roman" w:hAnsi="Times New Roman"/>
          <w:sz w:val="18"/>
          <w:szCs w:val="18"/>
          <w:color w:val="auto"/>
        </w:rPr>
        <w:t>shall be subject to the following limitations: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0" w:name="page61"/>
    <w:bookmarkEnd w:id="60"/>
    <w:p>
      <w:pPr>
        <w:jc w:val="both"/>
        <w:ind w:firstLine="656"/>
        <w:spacing w:after="0" w:line="255" w:lineRule="auto"/>
        <w:tabs>
          <w:tab w:leader="none" w:pos="104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 shall not be liable to the Indemnified Party for indemnification under Section 9.02(a) or Section 9.03(a), as the case may be, until the aggregate amount of all Losses in respect of indemnification under Section 9.02(a) or Section 9.03(a) exceeds $100,000 (the "</w:t>
      </w:r>
      <w:r>
        <w:rPr>
          <w:rFonts w:ascii="Times New Roman" w:cs="Times New Roman" w:eastAsia="Times New Roman" w:hAnsi="Times New Roman"/>
          <w:sz w:val="18"/>
          <w:szCs w:val="18"/>
          <w:b w:val="1"/>
          <w:bCs w:val="1"/>
          <w:color w:val="auto"/>
        </w:rPr>
        <w:t>Deductible</w:t>
      </w:r>
      <w:r>
        <w:rPr>
          <w:rFonts w:ascii="Times New Roman" w:cs="Times New Roman" w:eastAsia="Times New Roman" w:hAnsi="Times New Roman"/>
          <w:sz w:val="18"/>
          <w:szCs w:val="18"/>
          <w:color w:val="auto"/>
        </w:rPr>
        <w:t xml:space="preserve">"), in which event the Indemnifying Party shall only be required to pay or be liable for Losses in excess of the Deductible. With respect to any claim as to which the Indemnified Party may be entitled to indemnification under Section 9.02(a) or Section 9.03(a), as the case may be, the Indemnifying Party shall not be liable for any individual or series of related Losses which do not exceed $15,000 (which Losses shall not be counted toward the Deductible);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clause (a) shall not apply to Losses arising out of or relating to the inaccuracy or breach of any Fundamental Representation or in the case of any claim related to intentional misconduct, fraud or criminal misconduct.</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05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Equityholders shall be liable for all Losses arising out of or relating to the inaccuracy or breach of any Fundamental Representation or in the case of any claim related to intentional misconduct, fraud, or criminal misconduct.</w:t>
      </w:r>
    </w:p>
    <w:p>
      <w:pPr>
        <w:spacing w:after="0" w:line="157" w:lineRule="exact"/>
        <w:rPr>
          <w:rFonts w:ascii="Times New Roman" w:cs="Times New Roman" w:eastAsia="Times New Roman" w:hAnsi="Times New Roman"/>
          <w:sz w:val="18"/>
          <w:szCs w:val="18"/>
          <w:color w:val="auto"/>
        </w:rPr>
      </w:pPr>
    </w:p>
    <w:p>
      <w:pPr>
        <w:jc w:val="both"/>
        <w:ind w:firstLine="656"/>
        <w:spacing w:after="0" w:line="268" w:lineRule="auto"/>
        <w:tabs>
          <w:tab w:leader="none" w:pos="107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Equityholder’s maximum aggregate liability to Parent Indemnitees with respect to all indemnification claims pursuant to this </w:t>
      </w:r>
      <w:r>
        <w:rPr>
          <w:rFonts w:ascii="Times New Roman" w:cs="Times New Roman" w:eastAsia="Times New Roman" w:hAnsi="Times New Roman"/>
          <w:sz w:val="18"/>
          <w:szCs w:val="18"/>
          <w:b w:val="1"/>
          <w:bCs w:val="1"/>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IX </w:t>
      </w:r>
      <w:r>
        <w:rPr>
          <w:rFonts w:ascii="Times New Roman" w:cs="Times New Roman" w:eastAsia="Times New Roman" w:hAnsi="Times New Roman"/>
          <w:sz w:val="18"/>
          <w:szCs w:val="18"/>
          <w:color w:val="auto"/>
        </w:rPr>
        <w:t>shall in no instance exceed the amount of Merger Consideration received by such Equityholder;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clause (c)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apply in the case of any claim related to intentional misconduct, fraud or criminal misconduct.</w:t>
      </w:r>
    </w:p>
    <w:p>
      <w:pPr>
        <w:spacing w:after="0" w:line="174" w:lineRule="exact"/>
        <w:rPr>
          <w:rFonts w:ascii="Times New Roman" w:cs="Times New Roman" w:eastAsia="Times New Roman" w:hAnsi="Times New Roman"/>
          <w:sz w:val="18"/>
          <w:szCs w:val="18"/>
          <w:color w:val="auto"/>
        </w:rPr>
      </w:pPr>
    </w:p>
    <w:p>
      <w:pPr>
        <w:jc w:val="both"/>
        <w:ind w:firstLine="656"/>
        <w:spacing w:after="0" w:line="266" w:lineRule="auto"/>
        <w:tabs>
          <w:tab w:leader="none" w:pos="10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Indemnifying Party be liable to any Indemnified Party for any punitive, incidental, consequential, special or indirect damages, including loss of future revenue or income, loss of business reputation or opportunity relating to the breach or alleged breach of this Agreement, or diminution of value or any damages based on any type of multiple.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8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Indemnified Party shall take, and cause its Affiliates to take, all reasonable steps to mitigate any Loss upon becoming aware of any event or circumstance that would be reasonably expected to, or does, give rise thereto, including incurring costs only to the minimum extent necessary to remedy the breach that gives rise to such Loss.</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any breaches for which the Company confirmed, prior to Closing, that it had rectified to Parent’s reasonable satisfaction (but which the Company did not actually rectify), in the event Parent proceeds with the Closing notwithstanding any actual knowledge by Parent or any Affiliate of the Parent at or prior to the Closing of any breach by the Company of any representation, warranty or covenant in this Agreement or any Ancillary Agreement, no Parent Indemnitee shall have any claim or recourse against the Equityholders or any of their respective Affiliates or Representatives with respect to such breach, under this Article IX or otherwise.</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09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purposes of determining the amount of Loss resulting from any breach under this Article IX (and not with respect of making a determination whether any breach of representation or warranty or covenant has occurred), the determination shall, in such limited case, be made without regard to the terms “material” “materiality” “Material Adverse Effect” or “Parent Material Adverse Effect” as applicable, or other similar qualification contained in or otherwise applicable to such representation or warranty.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1" w:name="page62"/>
    <w:bookmarkEnd w:id="61"/>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9.05 Indemnification Procedures. </w:t>
      </w:r>
      <w:r>
        <w:rPr>
          <w:rFonts w:ascii="Times New Roman" w:cs="Times New Roman" w:eastAsia="Times New Roman" w:hAnsi="Times New Roman"/>
          <w:sz w:val="18"/>
          <w:szCs w:val="18"/>
          <w:color w:val="auto"/>
        </w:rPr>
        <w:t>For purposes of this</w:t>
      </w:r>
      <w:r>
        <w:rPr>
          <w:rFonts w:ascii="Times New Roman" w:cs="Times New Roman" w:eastAsia="Times New Roman" w:hAnsi="Times New Roman"/>
          <w:sz w:val="18"/>
          <w:szCs w:val="18"/>
          <w:b w:val="1"/>
          <w:bCs w:val="1"/>
          <w:color w:val="auto"/>
        </w:rPr>
        <w:t xml:space="preserve"> Article IX</w:t>
      </w:r>
      <w:r>
        <w:rPr>
          <w:rFonts w:ascii="Times New Roman" w:cs="Times New Roman" w:eastAsia="Times New Roman" w:hAnsi="Times New Roman"/>
          <w:sz w:val="18"/>
          <w:szCs w:val="18"/>
          <w:color w:val="auto"/>
        </w:rPr>
        <w:t>, (i) if Parent (or any other Parent Indemnitee) comprises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Indemnified Party, any references to Indemnifying Party (except provisions relating to an obligation to make payments) shall be deemed to refer to Stockholder Representative, and (ii) if Parent comprises the Indemnifying Party, any references to the Indemnified Party shall be deemed to refer to Stockholder Representative. Any payment received by Stockholder Representative as the Indemnified Party shall be distributed to the Stockholders in accordance with this Agreement.</w:t>
      </w:r>
    </w:p>
    <w:p>
      <w:pPr>
        <w:spacing w:after="0" w:line="179" w:lineRule="exact"/>
        <w:rPr>
          <w:sz w:val="20"/>
          <w:szCs w:val="20"/>
          <w:color w:val="auto"/>
        </w:rPr>
      </w:pPr>
    </w:p>
    <w:p>
      <w:pPr>
        <w:jc w:val="both"/>
        <w:ind w:firstLine="656"/>
        <w:spacing w:after="0" w:line="251" w:lineRule="auto"/>
        <w:tabs>
          <w:tab w:leader="none" w:pos="108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Third Party Claims. </w:t>
      </w:r>
      <w:r>
        <w:rPr>
          <w:rFonts w:ascii="Times New Roman" w:cs="Times New Roman" w:eastAsia="Times New Roman" w:hAnsi="Times New Roman"/>
          <w:sz w:val="18"/>
          <w:szCs w:val="18"/>
          <w:color w:val="auto"/>
        </w:rPr>
        <w:t>If any Indemnified Party receives notice of the assertion or commencement of any Action made or brought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who is not a party to this Agreement or an Affiliate of a party to this Agreement or a Representative of the foregoing (a “</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xml:space="preserve">”) against such Indemnified Party with respect to which the Indemnifying Party is obligated to provide indemnification under this Agreement, the Indemnified Party shall give the Indemnifying Party reasonably prompt written notice thereof, but in any event not later than thirty (30) calendar days after receipt of such notice of such Third Party Claim. The failure to give such prompt written notice shall not, however, relieve the Indemnifying Party of its indemnification obligations, except and only to the extent that the Indemnifying Party forfeits rights or defenses by reason of such failure. Such notice by the Indemnified Party shall describe the Third Party Claim in reasonable detail, shall include copies of all material written evidence thereof and shall indicate the estimated amount, if reasonably practicable, of the Loss that has been or may be sustained by the Indemnified Party. The Indemnifying Party shall have the right to participate in, or by giving written notice to the Indemnified Party, to assume the defense of any Third Party Claim at the Indemnifying Party’s expense and by the Indemnifying Party’s own counsel, and the Indemnified Party shall cooperate in good faith in such defense;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if the Indemnifying Party is a Stockholder, such Indemnifying Party shall not have the right to defend or direct the defense of any such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Party Claim that (x) is asserted directly by or on behalf of a Person that is a supplier or customer of the Company, or (y) seeks an injunction or other equitable relief against the Indemnified Parties. In the event that the Indemnifying Party assumes the defense of any Third Party Claim, subject to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9.05(b)</w:t>
      </w:r>
      <w:r>
        <w:rPr>
          <w:rFonts w:ascii="Times New Roman" w:cs="Times New Roman" w:eastAsia="Times New Roman" w:hAnsi="Times New Roman"/>
          <w:sz w:val="18"/>
          <w:szCs w:val="18"/>
          <w:color w:val="auto"/>
        </w:rPr>
        <w:t>, it shall have the right to take such action as it deems necessary to avoid, dispute, defend, appeal or make counterclaims pertaining to any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Third Party Claim in the name and on behalf of the Indemnified Party. The Indemnified Party shall have the right, at its own cost and expense, to participate in the defense of any Third Party Claim with counsel selected by it subject to the Indemnifying Party’s right to control the defense thereof. The fees and disbursements of such counsel shall be at the expense of the Indemnified Party,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in the reasonable opinion of counsel to the Indemnified Party, (A) there are legal defenses available to an Indemnified Party that are different from or additional to those available to the Indemnifying Party, or (B) there exists a conflict of interest between the Indemnifying Party and the Indemnified Party that cannot be waived, the Indemnifying Party shall be liable for the reasonable fees and expenses of counsel to the Indemnified Party in each jurisdiction for which the Indemnified Party reasonably determines counsel is required. If the Indemnifying Party elects not to compromise or defend such Third Party Claim, fails to promptly notify the Indemnified Party in writing of its election to defend as provided in this Agreement, or fails to diligently prosecute the defense of such Third Party Claim, the Indemnified Party may, subject to </w:t>
      </w:r>
      <w:r>
        <w:rPr>
          <w:rFonts w:ascii="Times New Roman" w:cs="Times New Roman" w:eastAsia="Times New Roman" w:hAnsi="Times New Roman"/>
          <w:sz w:val="18"/>
          <w:szCs w:val="18"/>
          <w:b w:val="1"/>
          <w:bCs w:val="1"/>
          <w:color w:val="auto"/>
        </w:rPr>
        <w:t>Section 9.05(b)</w:t>
      </w:r>
      <w:r>
        <w:rPr>
          <w:rFonts w:ascii="Times New Roman" w:cs="Times New Roman" w:eastAsia="Times New Roman" w:hAnsi="Times New Roman"/>
          <w:sz w:val="18"/>
          <w:szCs w:val="18"/>
          <w:color w:val="auto"/>
        </w:rPr>
        <w:t>, pay, compromise, defend such Third Party Claim and seek indemnification for any and all Losses based upon, arising from or relating to such Third Party Claim. Stockholder Representative and Parent shall cooperate with each other in all reasonable respects in connection with the defense of any Third Party Claim, including making available records relating to such Third Party Claim and furnishing, without expense (other than reimbursement of actual out-of-pocket expenses) to the defending party, management employees of the non-defending party as may be reasonably necessary for the preparation of the defense of such Third Party Claim.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2" w:name="page63"/>
    <w:bookmarkEnd w:id="62"/>
    <w:p>
      <w:pPr>
        <w:jc w:val="both"/>
        <w:ind w:firstLine="656"/>
        <w:spacing w:after="0" w:line="253" w:lineRule="auto"/>
        <w:tabs>
          <w:tab w:leader="none" w:pos="110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Settlement of Third Party Claims. </w:t>
      </w:r>
      <w:r>
        <w:rPr>
          <w:rFonts w:ascii="Times New Roman" w:cs="Times New Roman" w:eastAsia="Times New Roman" w:hAnsi="Times New Roman"/>
          <w:sz w:val="18"/>
          <w:szCs w:val="18"/>
          <w:color w:val="auto"/>
        </w:rPr>
        <w:t>Notwithstanding any other provision of this Agreement, the Indemnifying Party shall not enter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settlement of any Third Party Claim without the prior written consent of the Indemnified Party (which consent shall not be unreasonably withheld, conditioned or delayed), except as provided in this </w:t>
      </w:r>
      <w:r>
        <w:rPr>
          <w:rFonts w:ascii="Times New Roman" w:cs="Times New Roman" w:eastAsia="Times New Roman" w:hAnsi="Times New Roman"/>
          <w:sz w:val="18"/>
          <w:szCs w:val="18"/>
          <w:b w:val="1"/>
          <w:bCs w:val="1"/>
          <w:color w:val="auto"/>
        </w:rPr>
        <w:t>Section 9.05(b)</w:t>
      </w:r>
      <w:r>
        <w:rPr>
          <w:rFonts w:ascii="Times New Roman" w:cs="Times New Roman" w:eastAsia="Times New Roman" w:hAnsi="Times New Roman"/>
          <w:sz w:val="18"/>
          <w:szCs w:val="18"/>
          <w:color w:val="auto"/>
        </w:rPr>
        <w:t xml:space="preserve">. If a firm offer is made to settle a Third Party Claim without leading to liability or the creation of a financial or other obligation on the part of the Indemnified Party and provides, in customary form, for the unconditional release of each Indemnified Party from all liabilities and obligations in connection with such Third Party Claim and the Indemnifying Party desires to accept and agree to such offer, the Indemnifying Party shall give written notice to that effect to the Indemnified Party. If the Indemnified Party fails to consent to such firm offer within ten (10) days after its receipt of such notice, the Indemnified Party may continue to contest or defend such Third Party Claim and in such event, the maximum liability of the Indemnifying Party as to such Third Party Claim shall not exceed the amount of such settlement offer. If the Indemnified Party fails to consent to such firm offer and also fails to assume defense of such Third Party Claim, the Indemnifying Party may settle the Third Party Claim upon the terms set forth in such firm offer to settle such Third Party Claim. If the Indemnified Party has assumed the defense pursuant to </w:t>
      </w:r>
      <w:r>
        <w:rPr>
          <w:rFonts w:ascii="Times New Roman" w:cs="Times New Roman" w:eastAsia="Times New Roman" w:hAnsi="Times New Roman"/>
          <w:sz w:val="18"/>
          <w:szCs w:val="18"/>
          <w:b w:val="1"/>
          <w:bCs w:val="1"/>
          <w:color w:val="auto"/>
        </w:rPr>
        <w:t>Section 9.05(a)</w:t>
      </w:r>
      <w:r>
        <w:rPr>
          <w:rFonts w:ascii="Times New Roman" w:cs="Times New Roman" w:eastAsia="Times New Roman" w:hAnsi="Times New Roman"/>
          <w:sz w:val="18"/>
          <w:szCs w:val="18"/>
          <w:color w:val="auto"/>
        </w:rPr>
        <w:t>, it shall not agree to any settlement without the written consent of the Indemnifying Party (which consent shall not be unreasonably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withheld or delayed).</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111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 Claims. </w:t>
      </w:r>
      <w:r>
        <w:rPr>
          <w:rFonts w:ascii="Times New Roman" w:cs="Times New Roman" w:eastAsia="Times New Roman" w:hAnsi="Times New Roman"/>
          <w:sz w:val="18"/>
          <w:szCs w:val="18"/>
          <w:color w:val="auto"/>
        </w:rPr>
        <w:t>Any Action by an Indemnified Party on account of a Loss which does not result from a Third Party Claim (a “</w:t>
      </w:r>
      <w:r>
        <w:rPr>
          <w:rFonts w:ascii="Times New Roman" w:cs="Times New Roman" w:eastAsia="Times New Roman" w:hAnsi="Times New Roman"/>
          <w:sz w:val="18"/>
          <w:szCs w:val="18"/>
          <w:b w:val="1"/>
          <w:bCs w:val="1"/>
          <w:color w:val="auto"/>
        </w:rPr>
        <w:t>Direct Claim</w:t>
      </w:r>
      <w:r>
        <w:rPr>
          <w:rFonts w:ascii="Times New Roman" w:cs="Times New Roman" w:eastAsia="Times New Roman" w:hAnsi="Times New Roman"/>
          <w:sz w:val="18"/>
          <w:szCs w:val="18"/>
          <w:color w:val="auto"/>
        </w:rPr>
        <w:t>”) shall be asserted by the Indemnified Party giving the Indemnifying Party reasonably prompt written notice thereof, but in any event not later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thirty (30) days after the Indemnified Party becomes aware of such Direct Claim. The failure to give such prompt written notice shall not, however, relieve the Indemnifying Party of its indemnification obligations, except and only to the extent that the Indemnifying Party forfeits rights or defenses by reason of such failure. Such notice by the Indemnified Party shall describe the Direct Claim in reasonable detail, shall include copies of all material written evidence thereof and shall indicate the estimated amount, if reasonably practicable, of the Loss that has been or may be sustained by the Indemnified Party. The Indemnifying Party shall have thirty (30) days after its receipt of such notice to respond in writing to such Direct Claim. The Indemnified Party shall allow the Indemnifying Party and its professional advisors to investigate the matter or circumstance alleged to give rise to the Direct Claim, and whether and to what extent any amount is payable in respect of the Direct Claim and the Indemnified Party shall assist the Indemnifying Party’s investigation by giving such information and assistance (including access to the Company’s premises and personnel and the right to examine and copy any accounts, documents or records) as the Indemnifying Party or any of its professional advisors may reasonably request. If the Indemnifying Party does not so respond within such thirty (30) day period, the Indemnifying Party shall be deemed to have rejected such claim, in which case the Indemnified Party shall be free to pursue such remedies as may be available to the Indemnified Party on the terms and subject to the provisions of this Agreement.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3" w:name="page64"/>
    <w:bookmarkEnd w:id="63"/>
    <w:p>
      <w:pPr>
        <w:jc w:val="both"/>
        <w:ind w:firstLine="656"/>
        <w:spacing w:after="0" w:line="262" w:lineRule="auto"/>
        <w:tabs>
          <w:tab w:leader="none" w:pos="107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Claims. </w:t>
      </w:r>
      <w:r>
        <w:rPr>
          <w:rFonts w:ascii="Times New Roman" w:cs="Times New Roman" w:eastAsia="Times New Roman" w:hAnsi="Times New Roman"/>
          <w:sz w:val="18"/>
          <w:szCs w:val="18"/>
          <w:color w:val="auto"/>
        </w:rPr>
        <w:t>Notwithstanding any other provision of this Agreement, the control of any claim, assertion, event or proceeding in respect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Taxes of the Company (including, but not limited to, any such claim in respect of a breach of the representations and warranties in </w:t>
      </w:r>
      <w:r>
        <w:rPr>
          <w:rFonts w:ascii="Times New Roman" w:cs="Times New Roman" w:eastAsia="Times New Roman" w:hAnsi="Times New Roman"/>
          <w:sz w:val="18"/>
          <w:szCs w:val="18"/>
          <w:b w:val="1"/>
          <w:bCs w:val="1"/>
          <w:color w:val="auto"/>
        </w:rPr>
        <w:t>Section 4.19</w:t>
      </w:r>
      <w:r>
        <w:rPr>
          <w:rFonts w:ascii="Times New Roman" w:cs="Times New Roman" w:eastAsia="Times New Roman" w:hAnsi="Times New Roman"/>
          <w:sz w:val="18"/>
          <w:szCs w:val="18"/>
          <w:color w:val="auto"/>
        </w:rPr>
        <w:t xml:space="preserve"> hereof or any breach or violation of or failure to fully perform any covenant, agreement, undertaking or obligation in </w:t>
      </w:r>
      <w:r>
        <w:rPr>
          <w:rFonts w:ascii="Times New Roman" w:cs="Times New Roman" w:eastAsia="Times New Roman" w:hAnsi="Times New Roman"/>
          <w:sz w:val="18"/>
          <w:szCs w:val="18"/>
          <w:b w:val="1"/>
          <w:bCs w:val="1"/>
          <w:color w:val="auto"/>
        </w:rPr>
        <w:t>Article VII</w:t>
      </w:r>
      <w:r>
        <w:rPr>
          <w:rFonts w:ascii="Times New Roman" w:cs="Times New Roman" w:eastAsia="Times New Roman" w:hAnsi="Times New Roman"/>
          <w:sz w:val="18"/>
          <w:szCs w:val="18"/>
          <w:color w:val="auto"/>
        </w:rPr>
        <w:t xml:space="preserve">) shall be governed exclusively by </w:t>
      </w:r>
      <w:r>
        <w:rPr>
          <w:rFonts w:ascii="Times New Roman" w:cs="Times New Roman" w:eastAsia="Times New Roman" w:hAnsi="Times New Roman"/>
          <w:sz w:val="18"/>
          <w:szCs w:val="18"/>
          <w:b w:val="1"/>
          <w:bCs w:val="1"/>
          <w:color w:val="auto"/>
        </w:rPr>
        <w:t xml:space="preserve">Article VII </w:t>
      </w:r>
      <w:r>
        <w:rPr>
          <w:rFonts w:ascii="Times New Roman" w:cs="Times New Roman" w:eastAsia="Times New Roman" w:hAnsi="Times New Roman"/>
          <w:sz w:val="18"/>
          <w:szCs w:val="18"/>
          <w:color w:val="auto"/>
        </w:rPr>
        <w:t>hereof.</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9.06 Indemnification Payments. </w:t>
      </w:r>
      <w:r>
        <w:rPr>
          <w:rFonts w:ascii="Times New Roman" w:cs="Times New Roman" w:eastAsia="Times New Roman" w:hAnsi="Times New Roman"/>
          <w:sz w:val="18"/>
          <w:szCs w:val="18"/>
          <w:color w:val="auto"/>
        </w:rPr>
        <w:t>Once a Loss is agreed to by the Indemnifying Party or finally adjudicated to be payable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Article IX</w:t>
      </w:r>
      <w:r>
        <w:rPr>
          <w:rFonts w:ascii="Times New Roman" w:cs="Times New Roman" w:eastAsia="Times New Roman" w:hAnsi="Times New Roman"/>
          <w:sz w:val="18"/>
          <w:szCs w:val="18"/>
          <w:color w:val="auto"/>
        </w:rPr>
        <w:t>, the Indemnifying Party shall satisfy its obligations within fifteen (15) Business Days of such final, non-appealable adjudication by wire transfer of immediately available funds. The parties hereto agree that should an Indemnifying Party not make full payment of any such obligations within such fifteen (15) Business Day period, any amount payable shall accrue interest from and including the date of agreement of the Indemnifying Party or final, non-appealable adjudication to and including the date such payment has been made at a rate per annum equal to 10%. Such interest shall be calculated daily on the basis of a 365-day year and the actual number of days elapsed, without compounding.</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9.07 Tax Treatment of Indemnification Payments. </w:t>
      </w:r>
      <w:r>
        <w:rPr>
          <w:rFonts w:ascii="Times New Roman" w:cs="Times New Roman" w:eastAsia="Times New Roman" w:hAnsi="Times New Roman"/>
          <w:sz w:val="18"/>
          <w:szCs w:val="18"/>
          <w:color w:val="auto"/>
        </w:rPr>
        <w:t>All indemnification payments made under this Agreement shall be treated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as an adjustment to the consideration paid by Parent to the Equityholders for Tax purposes, unless otherwise required by Law.</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9.08 Exclusive Remedy.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b w:val="1"/>
          <w:bCs w:val="1"/>
          <w:color w:val="auto"/>
        </w:rPr>
        <w:t xml:space="preserve"> Section 9.09</w:t>
      </w:r>
      <w:r>
        <w:rPr>
          <w:rFonts w:ascii="Times New Roman" w:cs="Times New Roman" w:eastAsia="Times New Roman" w:hAnsi="Times New Roman"/>
          <w:sz w:val="18"/>
          <w:szCs w:val="18"/>
          <w:color w:val="auto"/>
        </w:rPr>
        <w:t>, following the Closing, the provisions of this</w:t>
      </w:r>
      <w:r>
        <w:rPr>
          <w:rFonts w:ascii="Times New Roman" w:cs="Times New Roman" w:eastAsia="Times New Roman" w:hAnsi="Times New Roman"/>
          <w:sz w:val="18"/>
          <w:szCs w:val="18"/>
          <w:b w:val="1"/>
          <w:bCs w:val="1"/>
          <w:color w:val="auto"/>
        </w:rPr>
        <w:t xml:space="preserve"> Article IX </w:t>
      </w:r>
      <w:r>
        <w:rPr>
          <w:rFonts w:ascii="Times New Roman" w:cs="Times New Roman" w:eastAsia="Times New Roman" w:hAnsi="Times New Roman"/>
          <w:sz w:val="18"/>
          <w:szCs w:val="18"/>
          <w:color w:val="auto"/>
        </w:rPr>
        <w:t>shall constitute the sole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remedy of any Indemnified Party against the Indemnifying Parties for monetary damages for any claims related to this Agreement, whether such monetary damages arise pursuant to breach of contract, tort or other theory of law. Notwithstanding anything in this Agreement to the contrary, nothing in this Agreement shall limit the liability of any Person with respect to, or limit any claim based on intentional misrepresentation, willful misconduct, or fraud committed by or on behalf of, such Person.</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9.09 Specific Performance Rights and Remedies Not Affected. </w:t>
      </w:r>
      <w:r>
        <w:rPr>
          <w:rFonts w:ascii="Times New Roman" w:cs="Times New Roman" w:eastAsia="Times New Roman" w:hAnsi="Times New Roman"/>
          <w:sz w:val="18"/>
          <w:szCs w:val="18"/>
          <w:color w:val="auto"/>
        </w:rPr>
        <w:t>The indemnification rights for monetary damages of the parties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Article IX</w:t>
      </w:r>
      <w:r>
        <w:rPr>
          <w:rFonts w:ascii="Times New Roman" w:cs="Times New Roman" w:eastAsia="Times New Roman" w:hAnsi="Times New Roman"/>
          <w:sz w:val="18"/>
          <w:szCs w:val="18"/>
          <w:color w:val="auto"/>
        </w:rPr>
        <w:t xml:space="preserve"> are independent of, and in addition to, such specific performance rights and remedies as the parties may have to enforce the terms of this Agreement.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9.10 Stock Exchange Listing. </w:t>
      </w:r>
      <w:r>
        <w:rPr>
          <w:rFonts w:ascii="Times New Roman" w:cs="Times New Roman" w:eastAsia="Times New Roman" w:hAnsi="Times New Roman"/>
          <w:sz w:val="18"/>
          <w:szCs w:val="18"/>
          <w:color w:val="auto"/>
        </w:rPr>
        <w:t>To the extent Parent does not issue shares in the Merger that are already listed on the Nasdaq,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use its reasonable best efforts to cause the shares of Parent Common Stock to be issued in the Merger, and such other shares of Parent Common Stock to be reserved for issuance in connection with the Merger, to be approved for listing on the Nasdaq, subject to official notice of issuance.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ERMINATION</w:t>
      </w:r>
    </w:p>
    <w:p>
      <w:pPr>
        <w:spacing w:after="0" w:line="20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10.01</w:t>
      </w:r>
      <w:r>
        <w:rPr>
          <w:sz w:val="20"/>
          <w:szCs w:val="20"/>
          <w:color w:val="auto"/>
        </w:rPr>
        <w:tab/>
      </w:r>
      <w:r>
        <w:rPr>
          <w:rFonts w:ascii="Times New Roman" w:cs="Times New Roman" w:eastAsia="Times New Roman" w:hAnsi="Times New Roman"/>
          <w:sz w:val="17"/>
          <w:szCs w:val="17"/>
          <w:b w:val="1"/>
          <w:bCs w:val="1"/>
          <w:color w:val="auto"/>
        </w:rPr>
        <w:t xml:space="preserve">Termination. </w:t>
      </w:r>
      <w:r>
        <w:rPr>
          <w:rFonts w:ascii="Times New Roman" w:cs="Times New Roman" w:eastAsia="Times New Roman" w:hAnsi="Times New Roman"/>
          <w:sz w:val="17"/>
          <w:szCs w:val="17"/>
          <w:color w:val="auto"/>
        </w:rPr>
        <w:t>This Agreement may be terminated at any time prior to the Closing:</w:t>
      </w:r>
    </w:p>
    <w:p>
      <w:pPr>
        <w:spacing w:after="0" w:line="229" w:lineRule="exact"/>
        <w:rPr>
          <w:sz w:val="20"/>
          <w:szCs w:val="20"/>
          <w:color w:val="auto"/>
        </w:rPr>
      </w:pPr>
    </w:p>
    <w:p>
      <w:pPr>
        <w:ind w:left="1040" w:hanging="384"/>
        <w:spacing w:after="0"/>
        <w:tabs>
          <w:tab w:leader="none" w:pos="10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the Company and Parent;</w:t>
      </w:r>
    </w:p>
    <w:p>
      <w:pPr>
        <w:spacing w:after="0" w:line="225" w:lineRule="exact"/>
        <w:rPr>
          <w:rFonts w:ascii="Times New Roman" w:cs="Times New Roman" w:eastAsia="Times New Roman" w:hAnsi="Times New Roman"/>
          <w:sz w:val="18"/>
          <w:szCs w:val="18"/>
          <w:color w:val="auto"/>
        </w:rPr>
      </w:pPr>
    </w:p>
    <w:p>
      <w:pPr>
        <w:ind w:left="5540" w:right="5440" w:hanging="4884"/>
        <w:spacing w:after="0" w:line="409" w:lineRule="auto"/>
        <w:tabs>
          <w:tab w:leader="none" w:pos="1052"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Parent and/or Merger Sub by written notice to the Company if: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4" w:name="page65"/>
    <w:bookmarkEnd w:id="64"/>
    <w:p>
      <w:pPr>
        <w:jc w:val="both"/>
        <w:ind w:firstLine="1142"/>
        <w:spacing w:after="0" w:line="261" w:lineRule="auto"/>
        <w:tabs>
          <w:tab w:leader="none" w:pos="154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Parent nor Merger Sub is then in material breach of any provision of this Agreement and there has been a material breach, inaccuracy in or failure to perform any representation, warranty, covenant or agreement made by the Company pursuant to this Agreement that would give rise to the failure of any of the conditions specified in </w:t>
      </w:r>
      <w:r>
        <w:rPr>
          <w:rFonts w:ascii="Times New Roman" w:cs="Times New Roman" w:eastAsia="Times New Roman" w:hAnsi="Times New Roman"/>
          <w:sz w:val="18"/>
          <w:szCs w:val="18"/>
          <w:b w:val="1"/>
          <w:bCs w:val="1"/>
          <w:color w:val="auto"/>
        </w:rPr>
        <w:t>Article VIII</w:t>
      </w:r>
      <w:r>
        <w:rPr>
          <w:rFonts w:ascii="Times New Roman" w:cs="Times New Roman" w:eastAsia="Times New Roman" w:hAnsi="Times New Roman"/>
          <w:sz w:val="18"/>
          <w:szCs w:val="18"/>
          <w:color w:val="auto"/>
        </w:rPr>
        <w:t xml:space="preserve"> and such breach, inaccuracy or failure has not been cured by the Company within fifteen (15) days of the Company’s receipt of written notice of such breach from Parent;</w:t>
      </w:r>
    </w:p>
    <w:p>
      <w:pPr>
        <w:spacing w:after="0" w:line="175" w:lineRule="exact"/>
        <w:rPr>
          <w:rFonts w:ascii="Times New Roman" w:cs="Times New Roman" w:eastAsia="Times New Roman" w:hAnsi="Times New Roman"/>
          <w:sz w:val="18"/>
          <w:szCs w:val="18"/>
          <w:color w:val="auto"/>
        </w:rPr>
      </w:pPr>
    </w:p>
    <w:p>
      <w:pPr>
        <w:jc w:val="both"/>
        <w:ind w:firstLine="1142"/>
        <w:spacing w:after="0" w:line="268" w:lineRule="auto"/>
        <w:tabs>
          <w:tab w:leader="none" w:pos="163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the conditions set forth in </w:t>
      </w: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8.02</w:t>
      </w:r>
      <w:r>
        <w:rPr>
          <w:rFonts w:ascii="Times New Roman" w:cs="Times New Roman" w:eastAsia="Times New Roman" w:hAnsi="Times New Roman"/>
          <w:sz w:val="18"/>
          <w:szCs w:val="18"/>
          <w:color w:val="auto"/>
        </w:rPr>
        <w:t xml:space="preserve"> shall not have been, or if it becomes apparent that any of such conditions will not be, fulfilled by March 31, 2023, unless such failure shall be due to the failure of Parent to perform or comply with any of the covenants, agreements or conditions hereof to be performed or complied with by it prior to the Closing; or</w:t>
      </w:r>
    </w:p>
    <w:p>
      <w:pPr>
        <w:spacing w:after="0" w:line="174" w:lineRule="exact"/>
        <w:rPr>
          <w:rFonts w:ascii="Times New Roman" w:cs="Times New Roman" w:eastAsia="Times New Roman" w:hAnsi="Times New Roman"/>
          <w:sz w:val="18"/>
          <w:szCs w:val="18"/>
          <w:color w:val="auto"/>
        </w:rPr>
      </w:pPr>
    </w:p>
    <w:p>
      <w:pPr>
        <w:ind w:left="1600" w:hanging="458"/>
        <w:spacing w:after="0"/>
        <w:tabs>
          <w:tab w:leader="none" w:pos="16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has not occurred by March 31, 2023.</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by written notice to Parent if:</w:t>
      </w:r>
    </w:p>
    <w:p>
      <w:pPr>
        <w:spacing w:after="0" w:line="225" w:lineRule="exact"/>
        <w:rPr>
          <w:rFonts w:ascii="Times New Roman" w:cs="Times New Roman" w:eastAsia="Times New Roman" w:hAnsi="Times New Roman"/>
          <w:sz w:val="18"/>
          <w:szCs w:val="18"/>
          <w:color w:val="auto"/>
        </w:rPr>
      </w:pPr>
    </w:p>
    <w:p>
      <w:pPr>
        <w:jc w:val="both"/>
        <w:ind w:firstLine="1142"/>
        <w:spacing w:after="0" w:line="261" w:lineRule="auto"/>
        <w:tabs>
          <w:tab w:leader="none" w:pos="150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not then in material breach of any provision of this Agreement and there has been a material breach, inaccuracy in or failure to perform any representation, warranty, covenant or agreement made by Parent or Merger Sub pursuant to this Agreement that would give rise to the failure of any of the conditions specified in </w:t>
      </w:r>
      <w:r>
        <w:rPr>
          <w:rFonts w:ascii="Times New Roman" w:cs="Times New Roman" w:eastAsia="Times New Roman" w:hAnsi="Times New Roman"/>
          <w:sz w:val="18"/>
          <w:szCs w:val="18"/>
          <w:b w:val="1"/>
          <w:bCs w:val="1"/>
          <w:color w:val="auto"/>
        </w:rPr>
        <w:t>Article VIII</w:t>
      </w:r>
      <w:r>
        <w:rPr>
          <w:rFonts w:ascii="Times New Roman" w:cs="Times New Roman" w:eastAsia="Times New Roman" w:hAnsi="Times New Roman"/>
          <w:sz w:val="18"/>
          <w:szCs w:val="18"/>
          <w:color w:val="auto"/>
        </w:rPr>
        <w:t xml:space="preserve"> and such breach, inaccuracy or failure has not been cured by Parent or Merger Sub within fifteen (15) days of Parent’s or Merger Sub’s receipt of written notice of such breach from the Company; or</w:t>
      </w:r>
    </w:p>
    <w:p>
      <w:pPr>
        <w:spacing w:after="0" w:line="175" w:lineRule="exact"/>
        <w:rPr>
          <w:rFonts w:ascii="Times New Roman" w:cs="Times New Roman" w:eastAsia="Times New Roman" w:hAnsi="Times New Roman"/>
          <w:sz w:val="18"/>
          <w:szCs w:val="18"/>
          <w:color w:val="auto"/>
        </w:rPr>
      </w:pPr>
    </w:p>
    <w:p>
      <w:pPr>
        <w:jc w:val="both"/>
        <w:ind w:right="20" w:firstLine="1142"/>
        <w:spacing w:after="0" w:line="268" w:lineRule="auto"/>
        <w:tabs>
          <w:tab w:leader="none" w:pos="163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the conditions set forth in </w:t>
      </w: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8.03</w:t>
      </w:r>
      <w:r>
        <w:rPr>
          <w:rFonts w:ascii="Times New Roman" w:cs="Times New Roman" w:eastAsia="Times New Roman" w:hAnsi="Times New Roman"/>
          <w:sz w:val="18"/>
          <w:szCs w:val="18"/>
          <w:color w:val="auto"/>
        </w:rPr>
        <w:t xml:space="preserve"> shall not have been, or if it becomes apparent that any of such conditions will not be, fulfilled by March 31, 2023, unless such failure shall be due to the failure of the Company to perform or comply with any of the covenants, agreements or conditions hereof to be performed or complied with by it prior to the Closing; or</w:t>
      </w:r>
    </w:p>
    <w:p>
      <w:pPr>
        <w:spacing w:after="0" w:line="174" w:lineRule="exact"/>
        <w:rPr>
          <w:rFonts w:ascii="Times New Roman" w:cs="Times New Roman" w:eastAsia="Times New Roman" w:hAnsi="Times New Roman"/>
          <w:sz w:val="18"/>
          <w:szCs w:val="18"/>
          <w:color w:val="auto"/>
        </w:rPr>
      </w:pPr>
    </w:p>
    <w:p>
      <w:pPr>
        <w:ind w:left="1600" w:hanging="458"/>
        <w:spacing w:after="0"/>
        <w:tabs>
          <w:tab w:leader="none" w:pos="16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has not occurred by March 31, 2023.</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14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Merger Sub, or the Company if there shall be any Law that makes consummation of the transactions contemplated by this Agreement illegal or otherwise prohibited or any Governmental Authority shall have issued a Governmental Order restraining or enjoining the transactions contemplated by this Agreement, and such Governmental Order shall have become final and non-appealable.</w:t>
      </w:r>
    </w:p>
    <w:p>
      <w:pPr>
        <w:spacing w:after="0" w:line="1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10.02 Effect of Termination. </w:t>
      </w:r>
      <w:r>
        <w:rPr>
          <w:rFonts w:ascii="Times New Roman" w:cs="Times New Roman" w:eastAsia="Times New Roman" w:hAnsi="Times New Roman"/>
          <w:sz w:val="18"/>
          <w:szCs w:val="18"/>
          <w:color w:val="auto"/>
        </w:rPr>
        <w:t>In the event of the termination of this Agreement in accordance with this Article,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forthwith become void and there shall be no liability on the part of any party hereto except:</w:t>
      </w:r>
    </w:p>
    <w:p>
      <w:pPr>
        <w:spacing w:after="0" w:line="155" w:lineRule="exact"/>
        <w:rPr>
          <w:sz w:val="20"/>
          <w:szCs w:val="20"/>
          <w:color w:val="auto"/>
        </w:rPr>
      </w:pPr>
    </w:p>
    <w:p>
      <w:pPr>
        <w:ind w:left="1040" w:hanging="384"/>
        <w:spacing w:after="0"/>
        <w:tabs>
          <w:tab w:leader="none" w:pos="10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set forth in this </w:t>
      </w:r>
      <w:r>
        <w:rPr>
          <w:rFonts w:ascii="Times New Roman" w:cs="Times New Roman" w:eastAsia="Times New Roman" w:hAnsi="Times New Roman"/>
          <w:sz w:val="18"/>
          <w:szCs w:val="18"/>
          <w:b w:val="1"/>
          <w:bCs w:val="1"/>
          <w:color w:val="auto"/>
        </w:rPr>
        <w:t>Article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6.02(b)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Article XI</w:t>
      </w:r>
      <w:r>
        <w:rPr>
          <w:rFonts w:ascii="Times New Roman" w:cs="Times New Roman" w:eastAsia="Times New Roman" w:hAnsi="Times New Roman"/>
          <w:sz w:val="18"/>
          <w:szCs w:val="18"/>
          <w:color w:val="auto"/>
        </w:rPr>
        <w:t xml:space="preserve"> hereof; and</w:t>
      </w:r>
    </w:p>
    <w:p>
      <w:pPr>
        <w:spacing w:after="0" w:line="229" w:lineRule="exact"/>
        <w:rPr>
          <w:rFonts w:ascii="Times New Roman" w:cs="Times New Roman" w:eastAsia="Times New Roman" w:hAnsi="Times New Roman"/>
          <w:sz w:val="18"/>
          <w:szCs w:val="18"/>
          <w:color w:val="auto"/>
        </w:rPr>
      </w:pPr>
    </w:p>
    <w:p>
      <w:pPr>
        <w:ind w:firstLine="656"/>
        <w:spacing w:after="0" w:line="282" w:lineRule="auto"/>
        <w:tabs>
          <w:tab w:leader="none" w:pos="103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nothing herein shall relieve any party hereto from liability for any intentional breach of any provision hereof. For the avoidance of doubt, in the event this Agreement is terminated by either party hereto, the Company shall no longer be entitled to the Transaction Expense Reimbursement.</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For a period of two (2) years after any termination of this Agreement in accordance with this </w:t>
      </w:r>
      <w:r>
        <w:rPr>
          <w:rFonts w:ascii="Times New Roman" w:cs="Times New Roman" w:eastAsia="Times New Roman" w:hAnsi="Times New Roman"/>
          <w:sz w:val="18"/>
          <w:szCs w:val="18"/>
          <w:b w:val="1"/>
          <w:bCs w:val="1"/>
          <w:color w:val="auto"/>
        </w:rPr>
        <w:t>Article X</w:t>
      </w:r>
      <w:r>
        <w:rPr>
          <w:rFonts w:ascii="Times New Roman" w:cs="Times New Roman" w:eastAsia="Times New Roman" w:hAnsi="Times New Roman"/>
          <w:sz w:val="18"/>
          <w:szCs w:val="18"/>
          <w:color w:val="auto"/>
        </w:rPr>
        <w:t>, without the prior written consent of the Company, which may be withheld for any reason, Parent shall not contact any Equityholders of the Company other than the Company’s executive officers and directors who may also be Equityholders.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p>
    <w:p>
      <w:pPr>
        <w:spacing w:after="0" w:line="20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11.01</w:t>
      </w:r>
      <w:r>
        <w:rPr>
          <w:sz w:val="20"/>
          <w:szCs w:val="20"/>
          <w:color w:val="auto"/>
        </w:rPr>
        <w:tab/>
      </w:r>
      <w:r>
        <w:rPr>
          <w:rFonts w:ascii="Times New Roman" w:cs="Times New Roman" w:eastAsia="Times New Roman" w:hAnsi="Times New Roman"/>
          <w:sz w:val="17"/>
          <w:szCs w:val="17"/>
          <w:b w:val="1"/>
          <w:bCs w:val="1"/>
          <w:color w:val="auto"/>
        </w:rPr>
        <w:t>Stockholder Representative.</w:t>
      </w:r>
    </w:p>
    <w:p>
      <w:pPr>
        <w:spacing w:after="0" w:line="229" w:lineRule="exact"/>
        <w:rPr>
          <w:sz w:val="20"/>
          <w:szCs w:val="20"/>
          <w:color w:val="auto"/>
        </w:rPr>
      </w:pPr>
    </w:p>
    <w:p>
      <w:pPr>
        <w:jc w:val="both"/>
        <w:ind w:firstLine="656"/>
        <w:spacing w:after="0" w:line="261" w:lineRule="auto"/>
        <w:tabs>
          <w:tab w:leader="none" w:pos="115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approving this Agreement and the transactions contemplated hereby or by executing and delivering a Letter of Transmittal, each Stockholder shall have irrevocably authorized and appointed Stockholder Representative as such Person’s representative and attorney-in-fact to act on behalf of such Person with respect to this Agreement and to take any and all actions and make any decisions required or permitted to be taken by the Stockholder Representative pursuant to this Agreement, including the exercise of the power to:</w:t>
      </w:r>
    </w:p>
    <w:p>
      <w:pPr>
        <w:spacing w:after="0" w:line="179" w:lineRule="exact"/>
        <w:rPr>
          <w:rFonts w:ascii="Times New Roman" w:cs="Times New Roman" w:eastAsia="Times New Roman" w:hAnsi="Times New Roman"/>
          <w:sz w:val="18"/>
          <w:szCs w:val="18"/>
          <w:color w:val="auto"/>
        </w:rPr>
      </w:pPr>
    </w:p>
    <w:p>
      <w:pPr>
        <w:ind w:left="1500" w:hanging="358"/>
        <w:spacing w:after="0"/>
        <w:tabs>
          <w:tab w:leader="none" w:pos="15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and receive notices and communications;</w:t>
      </w:r>
    </w:p>
    <w:p>
      <w:pPr>
        <w:spacing w:after="0" w:line="225" w:lineRule="exact"/>
        <w:rPr>
          <w:rFonts w:ascii="Times New Roman" w:cs="Times New Roman" w:eastAsia="Times New Roman" w:hAnsi="Times New Roman"/>
          <w:sz w:val="18"/>
          <w:szCs w:val="18"/>
          <w:color w:val="auto"/>
        </w:rPr>
      </w:pPr>
    </w:p>
    <w:p>
      <w:pPr>
        <w:ind w:firstLine="1142"/>
        <w:spacing w:after="0" w:line="282" w:lineRule="auto"/>
        <w:tabs>
          <w:tab w:leader="none" w:pos="168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negotiate, enter into settlements and compromises of, and comply with orders of courts with respect to claims for indemnification made by Parent pursuant to </w:t>
      </w:r>
      <w:r>
        <w:rPr>
          <w:rFonts w:ascii="Times New Roman" w:cs="Times New Roman" w:eastAsia="Times New Roman" w:hAnsi="Times New Roman"/>
          <w:sz w:val="18"/>
          <w:szCs w:val="18"/>
          <w:b w:val="1"/>
          <w:bCs w:val="1"/>
          <w:color w:val="auto"/>
        </w:rPr>
        <w:t>Article 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Article IX</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00" w:hanging="458"/>
        <w:spacing w:after="0"/>
        <w:tabs>
          <w:tab w:leader="none" w:pos="16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litigate, arbitrate, resolve, settle or compromise any claim for indemnification pursuant to </w:t>
      </w:r>
      <w:r>
        <w:rPr>
          <w:rFonts w:ascii="Times New Roman" w:cs="Times New Roman" w:eastAsia="Times New Roman" w:hAnsi="Times New Roman"/>
          <w:sz w:val="18"/>
          <w:szCs w:val="18"/>
          <w:b w:val="1"/>
          <w:bCs w:val="1"/>
          <w:color w:val="auto"/>
        </w:rPr>
        <w:t>Article 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Article IX</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580" w:hanging="438"/>
        <w:spacing w:after="0"/>
        <w:tabs>
          <w:tab w:leader="none" w:pos="15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all documents necessary or desirable to carry out the intent of this Agreement and any Ancillary Document;</w:t>
      </w:r>
    </w:p>
    <w:p>
      <w:pPr>
        <w:spacing w:after="0" w:line="225" w:lineRule="exact"/>
        <w:rPr>
          <w:rFonts w:ascii="Times New Roman" w:cs="Times New Roman" w:eastAsia="Times New Roman" w:hAnsi="Times New Roman"/>
          <w:sz w:val="18"/>
          <w:szCs w:val="18"/>
          <w:color w:val="auto"/>
        </w:rPr>
      </w:pPr>
    </w:p>
    <w:p>
      <w:pPr>
        <w:ind w:left="1540" w:hanging="398"/>
        <w:spacing w:after="0"/>
        <w:tabs>
          <w:tab w:leader="none" w:pos="15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elections or decisions contemplated by this Agreement and any Ancillary Document;</w:t>
      </w:r>
    </w:p>
    <w:p>
      <w:pPr>
        <w:spacing w:after="0" w:line="225" w:lineRule="exact"/>
        <w:rPr>
          <w:rFonts w:ascii="Times New Roman" w:cs="Times New Roman" w:eastAsia="Times New Roman" w:hAnsi="Times New Roman"/>
          <w:sz w:val="18"/>
          <w:szCs w:val="18"/>
          <w:color w:val="auto"/>
        </w:rPr>
      </w:pPr>
    </w:p>
    <w:p>
      <w:pPr>
        <w:ind w:right="20" w:firstLine="1142"/>
        <w:spacing w:after="0" w:line="282" w:lineRule="auto"/>
        <w:tabs>
          <w:tab w:leader="none" w:pos="166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employ or appoint any agents or representatives (including attorneys, accountants and consultants) to assist Stockholder Representative in complying with its duties and obligations; and</w:t>
      </w:r>
    </w:p>
    <w:p>
      <w:pPr>
        <w:spacing w:after="0" w:line="161"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actions necessary or appropriate in the good faith judgment of Stockholder Representative for the accomplishment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foregoing.</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Parent shall be entitled to deal exclusively with Stockholder Representative on all matters relating to this Agreement (including </w:t>
      </w:r>
      <w:r>
        <w:rPr>
          <w:rFonts w:ascii="Times New Roman" w:cs="Times New Roman" w:eastAsia="Times New Roman" w:hAnsi="Times New Roman"/>
          <w:sz w:val="18"/>
          <w:szCs w:val="18"/>
          <w:b w:val="1"/>
          <w:bCs w:val="1"/>
          <w:color w:val="auto"/>
        </w:rPr>
        <w:t>Article IX</w:t>
      </w:r>
      <w:r>
        <w:rPr>
          <w:rFonts w:ascii="Times New Roman" w:cs="Times New Roman" w:eastAsia="Times New Roman" w:hAnsi="Times New Roman"/>
          <w:sz w:val="18"/>
          <w:szCs w:val="18"/>
          <w:color w:val="auto"/>
        </w:rPr>
        <w:t>) and shall be entitled to rely conclusively (without further evidence of any kind whatsoever) on any document executed or purported to be executed on behalf of any Stockholder by Stockholder Representative, and on any other action taken or purported to be taken on behalf of any Stockholder by Stockholder Representative, as being fully binding upon such Person. Notices or communications to or from Stockholder Representative shall constitute notice to or from each of the Stockholders. Any decision or action by Stockholder Representative hereunder, including any agreement between Stockholder Representative and Parent relating to the defense, payment or settlement of any claims for indemnification hereunder, shall constitute a decision or action of all Stockholders and shall be final, binding and conclusive upon each such Person. No Stockholder shall have the right to object to, dissent from, protest or otherwise contest the same. The provisions of this Section, including the power of attorney granted hereby, are independent and severable, are irrevocable and coupled with an interest and shall not be terminated by any act of any one or Stockholders, or by operation of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6" w:name="page67"/>
    <w:bookmarkEnd w:id="66"/>
    <w:p>
      <w:pPr>
        <w:jc w:val="both"/>
        <w:ind w:firstLine="656"/>
        <w:spacing w:after="0" w:line="254" w:lineRule="auto"/>
        <w:tabs>
          <w:tab w:leader="none" w:pos="104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Representative may resign at any time, and may be removed for any reason or no reason by the vote or written consent of a majority in interest of the Stockholders according to each Stockholder’s Pro Rata Share (the “</w:t>
      </w:r>
      <w:r>
        <w:rPr>
          <w:rFonts w:ascii="Times New Roman" w:cs="Times New Roman" w:eastAsia="Times New Roman" w:hAnsi="Times New Roman"/>
          <w:sz w:val="18"/>
          <w:szCs w:val="18"/>
          <w:b w:val="1"/>
          <w:bCs w:val="1"/>
          <w:color w:val="auto"/>
        </w:rPr>
        <w:t>Majority 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in no event shall Stockholder Representative resign or be removed without the Majority Holders having first appointed a new Stockholder Representative who shall assume such duties immediately upon the resignation or removal of Stockholder Representative. In the event of the death, incapacity, resignation or removal of Stockholder Representative, a new Stockholder Representative shall be appointed by the vote or written consent of the Majority Holders. Notice of such vote or a copy of the written consent appointing such new Stockholder Representative shall be sent to Parent, such appointment to be effective upon the later of the date indicated in such consent or the date such notice is received by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until such notice is received, Parent, Merger Sub and the Surviving Corporation shall be entitled to rely on the decisions and actions of the prior Stockholder Representative as described in </w:t>
      </w:r>
      <w:r>
        <w:rPr>
          <w:rFonts w:ascii="Times New Roman" w:cs="Times New Roman" w:eastAsia="Times New Roman" w:hAnsi="Times New Roman"/>
          <w:sz w:val="18"/>
          <w:szCs w:val="18"/>
          <w:b w:val="1"/>
          <w:bCs w:val="1"/>
          <w:color w:val="auto"/>
        </w:rPr>
        <w:t>Section 11.01(a)</w:t>
      </w:r>
      <w:r>
        <w:rPr>
          <w:rFonts w:ascii="Times New Roman" w:cs="Times New Roman" w:eastAsia="Times New Roman" w:hAnsi="Times New Roman"/>
          <w:sz w:val="18"/>
          <w:szCs w:val="18"/>
          <w:color w:val="auto"/>
        </w:rPr>
        <w:t xml:space="preserve"> above.</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102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Representative shall not be liable to the Stockholders for actions taken pursuant to this Agreement, except to the extent such actions shall have been determined by a court of competent jurisdiction to have constituted gross negligence or involved fraud, intentional misconduct or bad faith (it being understood that any act done or omitted pursuant to the advice of counsel, accountants and other professionals and experts retained by Stockholder Representative shall be conclusive evidence of good faith). The Stockholders shall severally and not jointly (in accordance with their Pro Rata Shares), indemnify and hold harmless Stockholder Representative from and against, compensate it for, reimburse it for and pay any and all losses, liabilities, claims, actions, damages and expenses, including reasonable attorneys’ fees and disbursements, arising out of and in connection with its activities as Stockholder Representative under this Agreement (the “</w:t>
      </w:r>
      <w:r>
        <w:rPr>
          <w:rFonts w:ascii="Times New Roman" w:cs="Times New Roman" w:eastAsia="Times New Roman" w:hAnsi="Times New Roman"/>
          <w:sz w:val="18"/>
          <w:szCs w:val="18"/>
          <w:b w:val="1"/>
          <w:bCs w:val="1"/>
          <w:color w:val="auto"/>
        </w:rPr>
        <w:t>Representative Losses</w:t>
      </w:r>
      <w:r>
        <w:rPr>
          <w:rFonts w:ascii="Times New Roman" w:cs="Times New Roman" w:eastAsia="Times New Roman" w:hAnsi="Times New Roman"/>
          <w:sz w:val="18"/>
          <w:szCs w:val="18"/>
          <w:color w:val="auto"/>
        </w:rPr>
        <w:t xml:space="preserve">”), in each case as such Representative Loss is suffered or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event it is finally adjudicated that a Representative Loss or any portion thereof was primarily caused by the gross negligence, fraud, intentional misconduct or bad faith of Stockholder Representative, Stockholder Representative shall reimburse the Stockholders the amount of such indemnified Representative Loss attributable to such gross negligence, fraud, intentional misconduct or bad faith. The Representative Losses shall be satisfied from the Stockholders, severally and not jointly (in accordance with their Pro Rata Shares), as soon as practicable after the date on which the final obligation of Stockholder Representative under this Agreement has been discharged or such other date as Stockholder Representative deems appropriate. Representative Losses may be recovered by the Stockholder Representative from other funds that become payable to the Stockholders under this Agreement in accordance to at such time as such amounts would otherwise be distributable to the Stockholders; provided, that while the Stockholder Representative may be paid from the aforementioned sources of funds, this does not relieve the Stockholders from their obligation to promptly pay such Representative Losses as they are suffered or incurred. In no event will the Stockholder Representative be required to advance its own funds on behalf of the Stockholders or otherwise. Notwithstanding anything in this Agreement to the contrary, any restrictions or limitations on liability or indemnification obligations of, or provisions limiting the recourse against non-parties otherwise applicable to, the Stockholders set forth elsewhere in this Agreement are not intended to be applicable to the indemnities provided to the Stockholder Representative hereunder. The foregoing indemnities will survive the Closing, the resignation or removal of the Stockholder Representative or the termination of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7" w:name="page68"/>
    <w:bookmarkEnd w:id="67"/>
    <w:p>
      <w:pPr>
        <w:jc w:val="both"/>
        <w:ind w:firstLine="656"/>
        <w:spacing w:after="0" w:line="256" w:lineRule="auto"/>
        <w:tabs>
          <w:tab w:leader="none" w:pos="106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and Merger Sub shall be entitled to rely (without investigation) on and shall have no liability to any Stockholder or any other Person for, any action taken by the Stockholder Representative as being taken by the Stockholder Representative for itself and on behalf of each of the Stockholders, and fully authorized by each Stockholder. Each Stockholder hereby agrees that for any legal proceedings arising under this Agreement, the Stockholder may be served legal process by registered mail to the address set forth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for the Stockholder and that service in such manner shall be adequate, and such Stockholder shall not assert any defense or claim that service in such manner was not adequate or sufficient in any court in any jurisdiction.</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11.02 Expenses. </w:t>
      </w:r>
      <w:r>
        <w:rPr>
          <w:rFonts w:ascii="Times New Roman" w:cs="Times New Roman" w:eastAsia="Times New Roman" w:hAnsi="Times New Roman"/>
          <w:sz w:val="18"/>
          <w:szCs w:val="18"/>
          <w:color w:val="auto"/>
        </w:rPr>
        <w:t>Except as otherwise expressly provided herein, all costs and expenses, including, without limitation, fees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disbursements of counsel, financial advisors and accountants, incurred in connection with this Agreement and the transactions contemplated hereby shall be paid by the party incurring such costs and expenses, whether or not the Closing shall have occurred;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on or before execution of this Agreement by the parties, Parent will have paid or will pay up to $75,000 of the Transaction Expense Reimbursement to such proper Persons as the Company may designate to Parent in writing pursuant at such time;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at the Closing, Parent will reimburse or otherwise pay the remainder of the Transaction Expense Reimbursement to such proper Persons as the Company may designate to Parent in writing pursuant to the terms.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11.03 Notices. </w:t>
      </w:r>
      <w:r>
        <w:rPr>
          <w:rFonts w:ascii="Times New Roman" w:cs="Times New Roman" w:eastAsia="Times New Roman" w:hAnsi="Times New Roman"/>
          <w:sz w:val="18"/>
          <w:szCs w:val="18"/>
          <w:color w:val="auto"/>
        </w:rPr>
        <w:t>All notices, requests, consents, claims, demands, waivers and other communications hereunder shall be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be deemed to have been given (a) when delivered by hand (with written confirmation of receipt); (b) when received by the addressee if sent by a nationally recognized overnight courier (receipt requested); (c) on the date sent by facsimile or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11.03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If to the Company:</w:t>
            </w:r>
          </w:p>
        </w:tc>
        <w:tc>
          <w:tcPr>
            <w:tcW w:w="394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Pherin Pharmaceuticals, Inc.</w:t>
            </w:r>
          </w:p>
        </w:tc>
      </w:tr>
      <w:tr>
        <w:trPr>
          <w:trHeight w:val="216"/>
        </w:trPr>
        <w:tc>
          <w:tcPr>
            <w:tcW w:w="3360" w:type="dxa"/>
            <w:vAlign w:val="bottom"/>
          </w:tcPr>
          <w:p>
            <w:pPr>
              <w:spacing w:after="0"/>
              <w:rPr>
                <w:sz w:val="18"/>
                <w:szCs w:val="18"/>
                <w:color w:val="auto"/>
              </w:rPr>
            </w:pPr>
          </w:p>
        </w:tc>
        <w:tc>
          <w:tcPr>
            <w:tcW w:w="394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58 West Portal Ave., #132</w:t>
            </w:r>
          </w:p>
        </w:tc>
      </w:tr>
      <w:tr>
        <w:trPr>
          <w:trHeight w:val="216"/>
        </w:trPr>
        <w:tc>
          <w:tcPr>
            <w:tcW w:w="3360" w:type="dxa"/>
            <w:vAlign w:val="bottom"/>
          </w:tcPr>
          <w:p>
            <w:pPr>
              <w:spacing w:after="0"/>
              <w:rPr>
                <w:sz w:val="18"/>
                <w:szCs w:val="18"/>
                <w:color w:val="auto"/>
              </w:rPr>
            </w:pPr>
          </w:p>
        </w:tc>
        <w:tc>
          <w:tcPr>
            <w:tcW w:w="394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San Francisco, CA 94127</w:t>
            </w:r>
          </w:p>
        </w:tc>
      </w:tr>
      <w:tr>
        <w:trPr>
          <w:trHeight w:val="216"/>
        </w:trPr>
        <w:tc>
          <w:tcPr>
            <w:tcW w:w="3360" w:type="dxa"/>
            <w:vAlign w:val="bottom"/>
          </w:tcPr>
          <w:p>
            <w:pPr>
              <w:spacing w:after="0"/>
              <w:rPr>
                <w:sz w:val="18"/>
                <w:szCs w:val="18"/>
                <w:color w:val="auto"/>
              </w:rPr>
            </w:pPr>
          </w:p>
        </w:tc>
        <w:tc>
          <w:tcPr>
            <w:tcW w:w="394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E-mail: kmccarthy38@gmail.com</w:t>
            </w:r>
          </w:p>
        </w:tc>
      </w:tr>
      <w:tr>
        <w:trPr>
          <w:trHeight w:val="234"/>
        </w:trPr>
        <w:tc>
          <w:tcPr>
            <w:tcW w:w="3360" w:type="dxa"/>
            <w:vAlign w:val="bottom"/>
          </w:tcPr>
          <w:p>
            <w:pPr>
              <w:spacing w:after="0"/>
              <w:rPr>
                <w:sz w:val="20"/>
                <w:szCs w:val="20"/>
                <w:color w:val="auto"/>
              </w:rPr>
            </w:pPr>
          </w:p>
        </w:tc>
        <w:tc>
          <w:tcPr>
            <w:tcW w:w="22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Attention:</w:t>
            </w:r>
          </w:p>
        </w:tc>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Kevin McCarthy</w:t>
            </w:r>
          </w:p>
        </w:tc>
      </w:tr>
      <w:tr>
        <w:trPr>
          <w:trHeight w:val="41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394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Klinedinst PC</w:t>
            </w:r>
          </w:p>
        </w:tc>
      </w:tr>
      <w:tr>
        <w:trPr>
          <w:trHeight w:val="216"/>
        </w:trPr>
        <w:tc>
          <w:tcPr>
            <w:tcW w:w="3360" w:type="dxa"/>
            <w:vAlign w:val="bottom"/>
          </w:tcPr>
          <w:p>
            <w:pPr>
              <w:spacing w:after="0"/>
              <w:rPr>
                <w:sz w:val="18"/>
                <w:szCs w:val="18"/>
                <w:color w:val="auto"/>
              </w:rPr>
            </w:pPr>
          </w:p>
        </w:tc>
        <w:tc>
          <w:tcPr>
            <w:tcW w:w="394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501 W Broadway, Suite 600</w:t>
            </w:r>
          </w:p>
        </w:tc>
      </w:tr>
      <w:tr>
        <w:trPr>
          <w:trHeight w:val="216"/>
        </w:trPr>
        <w:tc>
          <w:tcPr>
            <w:tcW w:w="3360" w:type="dxa"/>
            <w:vAlign w:val="bottom"/>
          </w:tcPr>
          <w:p>
            <w:pPr>
              <w:spacing w:after="0"/>
              <w:rPr>
                <w:sz w:val="18"/>
                <w:szCs w:val="18"/>
                <w:color w:val="auto"/>
              </w:rPr>
            </w:pPr>
          </w:p>
        </w:tc>
        <w:tc>
          <w:tcPr>
            <w:tcW w:w="394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San Diego, CA 92101</w:t>
            </w:r>
          </w:p>
        </w:tc>
      </w:tr>
      <w:tr>
        <w:trPr>
          <w:trHeight w:val="194"/>
        </w:trPr>
        <w:tc>
          <w:tcPr>
            <w:tcW w:w="3360" w:type="dxa"/>
            <w:vAlign w:val="bottom"/>
          </w:tcPr>
          <w:p>
            <w:pPr>
              <w:spacing w:after="0"/>
              <w:rPr>
                <w:sz w:val="16"/>
                <w:szCs w:val="16"/>
                <w:color w:val="auto"/>
              </w:rPr>
            </w:pPr>
          </w:p>
        </w:tc>
        <w:tc>
          <w:tcPr>
            <w:tcW w:w="3940" w:type="dxa"/>
            <w:vAlign w:val="bottom"/>
            <w:gridSpan w:val="3"/>
          </w:tcPr>
          <w:p>
            <w:pPr>
              <w:ind w:left="1400"/>
              <w:spacing w:after="0" w:line="194" w:lineRule="exact"/>
              <w:rPr>
                <w:sz w:val="20"/>
                <w:szCs w:val="20"/>
                <w:color w:val="auto"/>
              </w:rPr>
            </w:pPr>
            <w:r>
              <w:rPr>
                <w:rFonts w:ascii="Times New Roman" w:cs="Times New Roman" w:eastAsia="Times New Roman" w:hAnsi="Times New Roman"/>
                <w:sz w:val="18"/>
                <w:szCs w:val="18"/>
                <w:color w:val="auto"/>
                <w:w w:val="98"/>
              </w:rPr>
              <w:t>Email: jsnyder@klinedinstlaw.com</w:t>
            </w:r>
          </w:p>
        </w:tc>
      </w:tr>
      <w:tr>
        <w:trPr>
          <w:trHeight w:val="20"/>
        </w:trPr>
        <w:tc>
          <w:tcPr>
            <w:tcW w:w="3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r>
      <w:tr>
        <w:trPr>
          <w:trHeight w:val="237"/>
        </w:trPr>
        <w:tc>
          <w:tcPr>
            <w:tcW w:w="3360" w:type="dxa"/>
            <w:vAlign w:val="bottom"/>
          </w:tcPr>
          <w:p>
            <w:pPr>
              <w:spacing w:after="0"/>
              <w:rPr>
                <w:sz w:val="20"/>
                <w:szCs w:val="20"/>
                <w:color w:val="auto"/>
              </w:rPr>
            </w:pPr>
          </w:p>
        </w:tc>
        <w:tc>
          <w:tcPr>
            <w:tcW w:w="394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Attention: James D. Snyder, Esq.</w:t>
            </w:r>
          </w:p>
        </w:tc>
      </w:tr>
      <w:tr>
        <w:trPr>
          <w:trHeight w:val="41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If to Parent or Merger Sub:</w:t>
            </w:r>
          </w:p>
        </w:tc>
        <w:tc>
          <w:tcPr>
            <w:tcW w:w="394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216"/>
        </w:trPr>
        <w:tc>
          <w:tcPr>
            <w:tcW w:w="3360" w:type="dxa"/>
            <w:vAlign w:val="bottom"/>
          </w:tcPr>
          <w:p>
            <w:pPr>
              <w:spacing w:after="0"/>
              <w:rPr>
                <w:sz w:val="18"/>
                <w:szCs w:val="18"/>
                <w:color w:val="auto"/>
              </w:rPr>
            </w:pPr>
          </w:p>
        </w:tc>
        <w:tc>
          <w:tcPr>
            <w:tcW w:w="394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343 Allerton Avenue</w:t>
            </w:r>
          </w:p>
        </w:tc>
      </w:tr>
      <w:tr>
        <w:trPr>
          <w:trHeight w:val="216"/>
        </w:trPr>
        <w:tc>
          <w:tcPr>
            <w:tcW w:w="3360" w:type="dxa"/>
            <w:vAlign w:val="bottom"/>
          </w:tcPr>
          <w:p>
            <w:pPr>
              <w:spacing w:after="0"/>
              <w:rPr>
                <w:sz w:val="18"/>
                <w:szCs w:val="18"/>
                <w:color w:val="auto"/>
              </w:rPr>
            </w:pPr>
          </w:p>
        </w:tc>
        <w:tc>
          <w:tcPr>
            <w:tcW w:w="394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South San Francisco, CA 94080</w:t>
            </w:r>
          </w:p>
        </w:tc>
      </w:tr>
      <w:tr>
        <w:trPr>
          <w:trHeight w:val="234"/>
        </w:trPr>
        <w:tc>
          <w:tcPr>
            <w:tcW w:w="3360" w:type="dxa"/>
            <w:vAlign w:val="bottom"/>
          </w:tcPr>
          <w:p>
            <w:pPr>
              <w:spacing w:after="0"/>
              <w:rPr>
                <w:sz w:val="20"/>
                <w:szCs w:val="20"/>
                <w:color w:val="auto"/>
              </w:rPr>
            </w:pPr>
          </w:p>
        </w:tc>
        <w:tc>
          <w:tcPr>
            <w:tcW w:w="22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E-mail:</w:t>
            </w:r>
          </w:p>
        </w:tc>
        <w:tc>
          <w:tcPr>
            <w:tcW w:w="17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jhaskell@vistagen.com</w:t>
            </w:r>
          </w:p>
        </w:tc>
      </w:tr>
    </w:tbl>
    <w:p>
      <w:pPr>
        <w:ind w:left="4760"/>
        <w:spacing w:after="0"/>
        <w:rPr>
          <w:sz w:val="20"/>
          <w:szCs w:val="20"/>
          <w:color w:val="auto"/>
        </w:rPr>
      </w:pPr>
      <w:r>
        <w:rPr>
          <w:rFonts w:ascii="Times New Roman" w:cs="Times New Roman" w:eastAsia="Times New Roman" w:hAnsi="Times New Roman"/>
          <w:sz w:val="18"/>
          <w:szCs w:val="18"/>
          <w:color w:val="auto"/>
        </w:rPr>
        <w:t>Attention: Jessica Haskell, Associate General Counsel</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Disclosure Law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Professional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655 West Broadway, Suite 870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drumsey@disclosurelawgroup.com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Daniel W. Rumsey, Managing Director</w:t>
      </w:r>
    </w:p>
    <w:p>
      <w:pPr>
        <w:spacing w:after="0" w:line="200" w:lineRule="exact"/>
        <w:rPr>
          <w:sz w:val="20"/>
          <w:szCs w:val="20"/>
          <w:color w:val="auto"/>
        </w:rPr>
      </w:pPr>
    </w:p>
    <w:p>
      <w:pPr>
        <w:sectPr>
          <w:pgSz w:w="11900" w:h="16838" w:orient="portrait"/>
          <w:cols w:equalWidth="0" w:num="2">
            <w:col w:w="4040" w:space="720"/>
            <w:col w:w="6480"/>
          </w:cols>
          <w:pgMar w:left="320" w:top="580" w:right="339" w:bottom="1440" w:gutter="0" w:footer="0" w:header="0"/>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Stockholder Representative: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Kevin McCarthy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 West Portal, #132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kmccarthy38@gmail.com</w:t>
      </w:r>
    </w:p>
    <w:p>
      <w:pPr>
        <w:spacing w:after="0" w:line="200" w:lineRule="exact"/>
        <w:rPr>
          <w:sz w:val="20"/>
          <w:szCs w:val="20"/>
          <w:color w:val="auto"/>
        </w:rPr>
      </w:pPr>
    </w:p>
    <w:p>
      <w:pPr>
        <w:sectPr>
          <w:pgSz w:w="11900" w:h="16838" w:orient="portrait"/>
          <w:cols w:equalWidth="0" w:num="2">
            <w:col w:w="4040" w:space="720"/>
            <w:col w:w="6480"/>
          </w:cols>
          <w:pgMar w:left="320" w:top="580" w:right="339" w:bottom="1440" w:gutter="0" w:footer="0" w:header="0"/>
          <w:type w:val="continuous"/>
        </w:sectPr>
      </w:pPr>
    </w:p>
    <w:p>
      <w:pPr>
        <w:spacing w:after="0" w:line="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11.04 Interpretation. </w:t>
      </w:r>
      <w:r>
        <w:rPr>
          <w:rFonts w:ascii="Times New Roman" w:cs="Times New Roman" w:eastAsia="Times New Roman" w:hAnsi="Times New Roman"/>
          <w:sz w:val="18"/>
          <w:szCs w:val="18"/>
          <w:color w:val="auto"/>
        </w:rPr>
        <w:t>For purposes of this Agreement: (a) the words “include,” “includes” and “including” shall be deemed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followed by the words “without limitation”; (b) the word “or” is not exclusive; (c) the words “herein,” “hereof,” “hereby,” “hereto” and “hereunder” refer to this Agreement as a whole; and (d) for purposes of Parent’s investigation pursuant to </w:t>
      </w:r>
      <w:r>
        <w:rPr>
          <w:rFonts w:ascii="Times New Roman" w:cs="Times New Roman" w:eastAsia="Times New Roman" w:hAnsi="Times New Roman"/>
          <w:sz w:val="18"/>
          <w:szCs w:val="18"/>
          <w:b w:val="1"/>
          <w:bCs w:val="1"/>
          <w:color w:val="auto"/>
        </w:rPr>
        <w:t>Section 6.02</w:t>
      </w:r>
      <w:r>
        <w:rPr>
          <w:rFonts w:ascii="Times New Roman" w:cs="Times New Roman" w:eastAsia="Times New Roman" w:hAnsi="Times New Roman"/>
          <w:sz w:val="18"/>
          <w:szCs w:val="18"/>
          <w:color w:val="auto"/>
        </w:rPr>
        <w:t>, with regard to the Company’s obligation to delivery any documentation, such terms as “provided Parent with”, “made available to Parent”, or “furnished to Parent”, will be interpreted to mean the Company uploading such documentation into the Data Room, along with notice to Parent of any update by the Company to the Data Room. Unless the context otherwise requires, references herein: (x) to Articles, Sections, Disclosure Schedules and Exhibits mean the Articles and Sections of, and Disclosure Schedules and Exhibits attached to, this Agreement; (y) 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The Disclosure Schedules and Exhibits referred to herein shall be construed with, and as an integral part of, this Agreement to the same extent as if they were set forth verbatim herein.</w:t>
      </w:r>
    </w:p>
    <w:p>
      <w:pPr>
        <w:spacing w:after="0" w:line="190"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11.05</w:t>
      </w:r>
      <w:r>
        <w:rPr>
          <w:sz w:val="20"/>
          <w:szCs w:val="20"/>
          <w:color w:val="auto"/>
        </w:rPr>
        <w:tab/>
      </w:r>
      <w:r>
        <w:rPr>
          <w:rFonts w:ascii="Times New Roman" w:cs="Times New Roman" w:eastAsia="Times New Roman" w:hAnsi="Times New Roman"/>
          <w:sz w:val="17"/>
          <w:szCs w:val="17"/>
          <w:b w:val="1"/>
          <w:bCs w:val="1"/>
          <w:color w:val="auto"/>
        </w:rPr>
        <w:t xml:space="preserve">Headings. </w:t>
      </w:r>
      <w:r>
        <w:rPr>
          <w:rFonts w:ascii="Times New Roman" w:cs="Times New Roman" w:eastAsia="Times New Roman" w:hAnsi="Times New Roman"/>
          <w:sz w:val="17"/>
          <w:szCs w:val="17"/>
          <w:color w:val="auto"/>
        </w:rPr>
        <w:t>The headings in this Agreement are for reference only and shall not affect the interpretation of this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11.06 Severability. </w:t>
      </w:r>
      <w:r>
        <w:rPr>
          <w:rFonts w:ascii="Times New Roman" w:cs="Times New Roman" w:eastAsia="Times New Roman" w:hAnsi="Times New Roman"/>
          <w:sz w:val="18"/>
          <w:szCs w:val="18"/>
          <w:color w:val="auto"/>
        </w:rPr>
        <w:t>If any term or provision of this Agreement is invalid, illegal or unenforceable in any jurisdiction, such invalidity,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69" w:name="page70"/>
    <w:bookmarkEnd w:id="69"/>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11.07 Entire Agreement. </w:t>
      </w:r>
      <w:r>
        <w:rPr>
          <w:rFonts w:ascii="Times New Roman" w:cs="Times New Roman" w:eastAsia="Times New Roman" w:hAnsi="Times New Roman"/>
          <w:sz w:val="18"/>
          <w:szCs w:val="18"/>
          <w:color w:val="auto"/>
        </w:rPr>
        <w:t>This Agreement and the Ancillary Documents constitute the sole and entire agreement of the parties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respect to the subject matter contained herein and therein, and supersede all prior and contemporaneous understandings and agreements, both written and oral, with respect to such subject matter. In the event of any inconsistency between the statements in the body of this Agreement and those in the Ancillary Documents, the Exhibits and Disclosure Schedules (other than an exception expressly set forth as such in the Disclosure Schedules), the statements in the body of this Agreement will control.</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11.08 Successors and Assigns. </w:t>
      </w:r>
      <w:r>
        <w:rPr>
          <w:rFonts w:ascii="Times New Roman" w:cs="Times New Roman" w:eastAsia="Times New Roman" w:hAnsi="Times New Roman"/>
          <w:sz w:val="18"/>
          <w:szCs w:val="18"/>
          <w:color w:val="auto"/>
        </w:rPr>
        <w:t>This Agreement shall be binding upon and shall inure to the benefit of the parties hereto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successors and permitted assigns. Neither party may assign its rights or obligations hereunder without the prior written consent of the other party, which consent shall not be unreasonably withheld or delayed. No assignment shall relieve the assigning party of any of its obligations hereunder.</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11.09 No Third-party Beneficiaries. </w:t>
      </w:r>
      <w:r>
        <w:rPr>
          <w:rFonts w:ascii="Times New Roman" w:cs="Times New Roman" w:eastAsia="Times New Roman" w:hAnsi="Times New Roman"/>
          <w:sz w:val="18"/>
          <w:szCs w:val="18"/>
          <w:color w:val="auto"/>
        </w:rPr>
        <w:t>Except as provided in</w:t>
      </w:r>
      <w:r>
        <w:rPr>
          <w:rFonts w:ascii="Times New Roman" w:cs="Times New Roman" w:eastAsia="Times New Roman" w:hAnsi="Times New Roman"/>
          <w:sz w:val="18"/>
          <w:szCs w:val="18"/>
          <w:b w:val="1"/>
          <w:bCs w:val="1"/>
          <w:color w:val="auto"/>
        </w:rPr>
        <w:t xml:space="preserve"> Section 6.08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7.03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Article IX</w:t>
      </w:r>
      <w:r>
        <w:rPr>
          <w:rFonts w:ascii="Times New Roman" w:cs="Times New Roman" w:eastAsia="Times New Roman" w:hAnsi="Times New Roman"/>
          <w:sz w:val="18"/>
          <w:szCs w:val="18"/>
          <w:color w:val="auto"/>
        </w:rPr>
        <w:t>, this Agreement is for the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of the parties hereto and their respective successors and permitted assigns and nothing herein, express or implied, is intended to or shall confer upon any other Person or entity any legal or equitable right, benefit or remedy of any nature whatsoever under or by reason of this Agreement.</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11.10 Amendment and Modification; Waiver. </w:t>
      </w:r>
      <w:r>
        <w:rPr>
          <w:rFonts w:ascii="Times New Roman" w:cs="Times New Roman" w:eastAsia="Times New Roman" w:hAnsi="Times New Roman"/>
          <w:sz w:val="18"/>
          <w:szCs w:val="18"/>
          <w:color w:val="auto"/>
        </w:rPr>
        <w:t>This Agreement may only be amended, modified or supplemented by an agreement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writing signed by Parent, Merger Sub and the Company at any time prior to the Effective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after the Requisite Company Approval is obtained, there shall be no amendment or waiver that, pursuant to applicable Law, requires further approval of the Stockholders, without the receipt of such further approvals. Any failure of Parent or Merger Sub, on the one hand, or the Company, on the other hand, to comply with any obligation, covenant, agreement or condition herein may be waived by the Company (with respect to any failure by Parent or Merger Sub) or by Parent or Merger Sub (with respect to any failure by the Company), respectively, only by a written instrument signed by the party granting such waiver, but such waiver or failure to insist upon strict compliance with such obligation, covenant, agreement or condition shall not operate as a waiver of, or estoppel with respect to, any subsequent or other failure.</w:t>
      </w:r>
    </w:p>
    <w:p>
      <w:pPr>
        <w:spacing w:after="0" w:line="18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Section 11.11</w:t>
      </w:r>
      <w:r>
        <w:rPr>
          <w:sz w:val="20"/>
          <w:szCs w:val="20"/>
          <w:color w:val="auto"/>
        </w:rPr>
        <w:tab/>
      </w:r>
      <w:r>
        <w:rPr>
          <w:rFonts w:ascii="Times New Roman" w:cs="Times New Roman" w:eastAsia="Times New Roman" w:hAnsi="Times New Roman"/>
          <w:sz w:val="17"/>
          <w:szCs w:val="17"/>
          <w:b w:val="1"/>
          <w:bCs w:val="1"/>
          <w:color w:val="auto"/>
        </w:rPr>
        <w:t>Governing Law; Submission to Jurisdiction; Waiver of Jury Trial.</w:t>
      </w:r>
    </w:p>
    <w:p>
      <w:pPr>
        <w:spacing w:after="0" w:line="229" w:lineRule="exact"/>
        <w:rPr>
          <w:sz w:val="20"/>
          <w:szCs w:val="20"/>
          <w:color w:val="auto"/>
        </w:rPr>
      </w:pPr>
    </w:p>
    <w:p>
      <w:pPr>
        <w:ind w:firstLine="656"/>
        <w:spacing w:after="0" w:line="282" w:lineRule="auto"/>
        <w:tabs>
          <w:tab w:leader="none" w:pos="106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internal laws of the State of Delaware without giving effect to any choice or conflict of law provision or rule (whether of the State of Delaware or any other jurisdiction).</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11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SUIT, ACTION OR PROCEEDING ARISING OUT OF OR BASED UPON THIS AGREEMENT, THE ANCILLARY DOCUMENTS OR THE TRANSACTIONS CONTEMPLATED HEREBY OR THEREBY MAY BE INSTITUTED IN THE FEDERAL COURTS OF THE UNITED STATES OF AMERICA OR THE DELAWARE COURT OF CHANCERY, IN EACH CASE LOCATED IN THE STATE OF DELAWARE, AND EACH PARTY IRREVOCABLY SUBMITS TO THE EXCLUSIVE JURISDICTION OF SUCH COURTS IN ANY SUCH SUIT, ACTION OR PROCEEDING. SERVICE OF PROCESS, SUMMONS, NOTICE OR OTHER DOCUMENT BY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0" w:name="page71"/>
    <w:bookmarkEnd w:id="70"/>
    <w:p>
      <w:pPr>
        <w:jc w:val="both"/>
        <w:ind w:firstLine="656"/>
        <w:spacing w:after="0" w:line="253" w:lineRule="auto"/>
        <w:tabs>
          <w:tab w:leader="none" w:pos="105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AGREES THAT ANY CONTROVERSY WHICH MAY ARISE UNDER THIS AGREEMENT OR THE ANCILLARY DOCUMENTS IS LIKELY TO INVOLVE COMPLICATED AND DIFFICULT ISSUES AND, THEREFORE, EACH SUCH PARTY IRREVOCABLY AND UNCONDITIONALLY WAIVES ANY RIGHT IT MAY HAVE TO A TRIAL BY JURY IN RESPECT OF ANY LEGAL ACTION ARISING OUT OF OR RELATING TO THIS AGREEMENT, THE ANCILLARY DOCUMENTS OR THE TRANSACTIONS CONTEMPLATED HEREBY OR THEREBY.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SECTION 11.11(c).</w:t>
      </w:r>
    </w:p>
    <w:p>
      <w:pPr>
        <w:spacing w:after="0" w:line="190"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11.12 Specific Performance. </w:t>
      </w:r>
      <w:r>
        <w:rPr>
          <w:rFonts w:ascii="Times New Roman" w:cs="Times New Roman" w:eastAsia="Times New Roman" w:hAnsi="Times New Roman"/>
          <w:sz w:val="18"/>
          <w:szCs w:val="18"/>
          <w:color w:val="auto"/>
        </w:rPr>
        <w:t>The parties agree that irreparable damage would occur if any provision of this Agreement were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in accordance with the terms hereof and that the parties shall be entitled to specific performance of the terms hereof, in addition to any other remedy to which they are entitled at law or in equity.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11.13 Counterparts. </w:t>
      </w:r>
      <w:r>
        <w:rPr>
          <w:rFonts w:ascii="Times New Roman" w:cs="Times New Roman" w:eastAsia="Times New Roman" w:hAnsi="Times New Roman"/>
          <w:sz w:val="18"/>
          <w:szCs w:val="18"/>
          <w:color w:val="auto"/>
        </w:rPr>
        <w:t>This Agreement may be executed in counterparts, each of which shall be deemed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1" w:name="page72"/>
    <w:bookmarkEnd w:id="71"/>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executed as of the date first written above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thereunto duly authorized.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tc>
        <w:tc>
          <w:tcPr>
            <w:tcW w:w="7100" w:type="dxa"/>
            <w:vAlign w:val="bottom"/>
            <w:gridSpan w:val="6"/>
          </w:tcPr>
          <w:p>
            <w:pPr>
              <w:ind w:left="1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w:t>
            </w:r>
          </w:p>
        </w:tc>
      </w:tr>
      <w:tr>
        <w:trPr>
          <w:trHeight w:val="414"/>
        </w:trPr>
        <w:tc>
          <w:tcPr>
            <w:tcW w:w="41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Pherin Pharmaceuticals, Inc.,</w:t>
            </w:r>
          </w:p>
        </w:tc>
        <w:tc>
          <w:tcPr>
            <w:tcW w:w="7100" w:type="dxa"/>
            <w:vAlign w:val="bottom"/>
            <w:gridSpan w:val="6"/>
          </w:tcPr>
          <w:p>
            <w:pPr>
              <w:ind w:left="160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234"/>
        </w:trPr>
        <w:tc>
          <w:tcPr>
            <w:tcW w:w="41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a Delaware corporation</w:t>
            </w:r>
          </w:p>
        </w:tc>
        <w:tc>
          <w:tcPr>
            <w:tcW w:w="7100" w:type="dxa"/>
            <w:vAlign w:val="bottom"/>
            <w:gridSpan w:val="6"/>
          </w:tcPr>
          <w:p>
            <w:pPr>
              <w:ind w:left="1600"/>
              <w:spacing w:after="0"/>
              <w:rPr>
                <w:sz w:val="20"/>
                <w:szCs w:val="20"/>
                <w:color w:val="auto"/>
              </w:rPr>
            </w:pPr>
            <w:r>
              <w:rPr>
                <w:rFonts w:ascii="Times New Roman" w:cs="Times New Roman" w:eastAsia="Times New Roman" w:hAnsi="Times New Roman"/>
                <w:sz w:val="18"/>
                <w:szCs w:val="18"/>
                <w:color w:val="auto"/>
              </w:rPr>
              <w:t>a Nevada corporation</w:t>
            </w:r>
          </w:p>
        </w:tc>
      </w:tr>
      <w:tr>
        <w:trPr>
          <w:trHeight w:val="607"/>
        </w:trPr>
        <w:tc>
          <w:tcPr>
            <w:tcW w:w="41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By: /s/ Kevin McCarthy</w:t>
            </w:r>
          </w:p>
        </w:tc>
        <w:tc>
          <w:tcPr>
            <w:tcW w:w="7100" w:type="dxa"/>
            <w:vAlign w:val="bottom"/>
            <w:gridSpan w:val="6"/>
          </w:tcPr>
          <w:p>
            <w:pPr>
              <w:ind w:left="1600"/>
              <w:spacing w:after="0"/>
              <w:rPr>
                <w:sz w:val="20"/>
                <w:szCs w:val="20"/>
                <w:color w:val="auto"/>
              </w:rPr>
            </w:pPr>
            <w:r>
              <w:rPr>
                <w:rFonts w:ascii="Times New Roman" w:cs="Times New Roman" w:eastAsia="Times New Roman" w:hAnsi="Times New Roman"/>
                <w:sz w:val="18"/>
                <w:szCs w:val="18"/>
                <w:color w:val="auto"/>
              </w:rPr>
              <w:t>By: /s/ Shawn K. Singh</w:t>
            </w:r>
          </w:p>
        </w:tc>
      </w:tr>
      <w:tr>
        <w:trPr>
          <w:trHeight w:val="20"/>
        </w:trPr>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4140" w:type="dxa"/>
            <w:vAlign w:val="bottom"/>
            <w:gridSpan w:val="6"/>
          </w:tcPr>
          <w:p>
            <w:pPr>
              <w:ind w:left="660"/>
              <w:spacing w:after="0" w:line="196" w:lineRule="exact"/>
              <w:rPr>
                <w:sz w:val="20"/>
                <w:szCs w:val="20"/>
                <w:color w:val="auto"/>
              </w:rPr>
            </w:pPr>
            <w:r>
              <w:rPr>
                <w:rFonts w:ascii="Times New Roman" w:cs="Times New Roman" w:eastAsia="Times New Roman" w:hAnsi="Times New Roman"/>
                <w:sz w:val="18"/>
                <w:szCs w:val="18"/>
                <w:color w:val="auto"/>
              </w:rPr>
              <w:t>Name: Kevin McCarthy</w:t>
            </w:r>
          </w:p>
        </w:tc>
        <w:tc>
          <w:tcPr>
            <w:tcW w:w="7100" w:type="dxa"/>
            <w:vAlign w:val="bottom"/>
            <w:gridSpan w:val="6"/>
          </w:tcPr>
          <w:p>
            <w:pPr>
              <w:ind w:left="1600"/>
              <w:spacing w:after="0" w:line="196" w:lineRule="exact"/>
              <w:rPr>
                <w:sz w:val="20"/>
                <w:szCs w:val="20"/>
                <w:color w:val="auto"/>
              </w:rPr>
            </w:pPr>
            <w:r>
              <w:rPr>
                <w:rFonts w:ascii="Times New Roman" w:cs="Times New Roman" w:eastAsia="Times New Roman" w:hAnsi="Times New Roman"/>
                <w:sz w:val="18"/>
                <w:szCs w:val="18"/>
                <w:color w:val="auto"/>
              </w:rPr>
              <w:t>Name: Shawn K. Singh, J.D.</w:t>
            </w:r>
          </w:p>
        </w:tc>
      </w:tr>
      <w:tr>
        <w:trPr>
          <w:trHeight w:val="20"/>
        </w:trPr>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4140" w:type="dxa"/>
            <w:vAlign w:val="bottom"/>
            <w:gridSpan w:val="6"/>
          </w:tcPr>
          <w:p>
            <w:pPr>
              <w:ind w:left="660"/>
              <w:spacing w:after="0" w:line="196" w:lineRule="exact"/>
              <w:rPr>
                <w:sz w:val="20"/>
                <w:szCs w:val="20"/>
                <w:color w:val="auto"/>
              </w:rPr>
            </w:pPr>
            <w:r>
              <w:rPr>
                <w:rFonts w:ascii="Times New Roman" w:cs="Times New Roman" w:eastAsia="Times New Roman" w:hAnsi="Times New Roman"/>
                <w:sz w:val="18"/>
                <w:szCs w:val="18"/>
                <w:color w:val="auto"/>
              </w:rPr>
              <w:t>Title: President and CEO</w:t>
            </w:r>
          </w:p>
        </w:tc>
        <w:tc>
          <w:tcPr>
            <w:tcW w:w="7100" w:type="dxa"/>
            <w:vAlign w:val="bottom"/>
            <w:gridSpan w:val="6"/>
          </w:tcPr>
          <w:p>
            <w:pPr>
              <w:ind w:left="1600"/>
              <w:spacing w:after="0" w:line="196" w:lineRule="exact"/>
              <w:rPr>
                <w:sz w:val="20"/>
                <w:szCs w:val="20"/>
                <w:color w:val="auto"/>
              </w:rPr>
            </w:pPr>
            <w:r>
              <w:rPr>
                <w:rFonts w:ascii="Times New Roman" w:cs="Times New Roman" w:eastAsia="Times New Roman" w:hAnsi="Times New Roman"/>
                <w:sz w:val="18"/>
                <w:szCs w:val="18"/>
                <w:color w:val="auto"/>
              </w:rPr>
              <w:t>Title: Chief Executive Officer</w:t>
            </w:r>
          </w:p>
        </w:tc>
      </w:tr>
      <w:tr>
        <w:trPr>
          <w:trHeight w:val="20"/>
        </w:trPr>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740" w:type="dxa"/>
            <w:vAlign w:val="bottom"/>
            <w:tcBorders>
              <w:left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430"/>
        </w:trPr>
        <w:tc>
          <w:tcPr>
            <w:tcW w:w="4140" w:type="dxa"/>
            <w:vAlign w:val="bottom"/>
            <w:gridSpan w:val="6"/>
          </w:tcPr>
          <w:p>
            <w:pPr>
              <w:ind w:left="660"/>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38"/>
        </w:trPr>
        <w:tc>
          <w:tcPr>
            <w:tcW w:w="4140" w:type="dxa"/>
            <w:vAlign w:val="bottom"/>
            <w:gridSpan w:val="6"/>
          </w:tcPr>
          <w:p>
            <w:pPr>
              <w:ind w:left="660"/>
              <w:spacing w:after="0"/>
              <w:rPr>
                <w:sz w:val="20"/>
                <w:szCs w:val="20"/>
                <w:color w:val="auto"/>
              </w:rPr>
            </w:pP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w:t>
            </w:r>
          </w:p>
        </w:tc>
        <w:tc>
          <w:tcPr>
            <w:tcW w:w="7100" w:type="dxa"/>
            <w:vAlign w:val="bottom"/>
            <w:gridSpan w:val="6"/>
          </w:tcPr>
          <w:p>
            <w:pPr>
              <w:ind w:left="1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w:t>
            </w:r>
          </w:p>
        </w:tc>
      </w:tr>
      <w:tr>
        <w:trPr>
          <w:trHeight w:val="414"/>
        </w:trPr>
        <w:tc>
          <w:tcPr>
            <w:tcW w:w="41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Kevin McCarthy</w:t>
            </w:r>
          </w:p>
        </w:tc>
        <w:tc>
          <w:tcPr>
            <w:tcW w:w="7100" w:type="dxa"/>
            <w:vAlign w:val="bottom"/>
            <w:gridSpan w:val="6"/>
          </w:tcPr>
          <w:p>
            <w:pPr>
              <w:ind w:left="1600"/>
              <w:spacing w:after="0"/>
              <w:rPr>
                <w:sz w:val="20"/>
                <w:szCs w:val="20"/>
                <w:color w:val="auto"/>
              </w:rPr>
            </w:pPr>
            <w:r>
              <w:rPr>
                <w:rFonts w:ascii="Times New Roman" w:cs="Times New Roman" w:eastAsia="Times New Roman" w:hAnsi="Times New Roman"/>
                <w:sz w:val="18"/>
                <w:szCs w:val="18"/>
                <w:color w:val="auto"/>
              </w:rPr>
              <w:t>VTGN Merger Sub, Inc.</w:t>
            </w:r>
          </w:p>
        </w:tc>
      </w:tr>
      <w:tr>
        <w:trPr>
          <w:trHeight w:val="216"/>
        </w:trPr>
        <w:tc>
          <w:tcPr>
            <w:tcW w:w="41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solely in his capacity as</w:t>
            </w:r>
          </w:p>
        </w:tc>
        <w:tc>
          <w:tcPr>
            <w:tcW w:w="7100" w:type="dxa"/>
            <w:vAlign w:val="bottom"/>
            <w:gridSpan w:val="6"/>
          </w:tcPr>
          <w:p>
            <w:pPr>
              <w:ind w:left="160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234"/>
        </w:trPr>
        <w:tc>
          <w:tcPr>
            <w:tcW w:w="41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Stockholder Representative</w:t>
            </w: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608"/>
        </w:trPr>
        <w:tc>
          <w:tcPr>
            <w:tcW w:w="41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By: /s/ Kevin McCarthy</w:t>
            </w:r>
          </w:p>
        </w:tc>
        <w:tc>
          <w:tcPr>
            <w:tcW w:w="7100" w:type="dxa"/>
            <w:vAlign w:val="bottom"/>
            <w:gridSpan w:val="6"/>
          </w:tcPr>
          <w:p>
            <w:pPr>
              <w:ind w:left="1600"/>
              <w:spacing w:after="0"/>
              <w:rPr>
                <w:sz w:val="20"/>
                <w:szCs w:val="20"/>
                <w:color w:val="auto"/>
              </w:rPr>
            </w:pPr>
            <w:r>
              <w:rPr>
                <w:rFonts w:ascii="Times New Roman" w:cs="Times New Roman" w:eastAsia="Times New Roman" w:hAnsi="Times New Roman"/>
                <w:sz w:val="18"/>
                <w:szCs w:val="18"/>
                <w:color w:val="auto"/>
              </w:rPr>
              <w:t>By: /s/ Shawn K. Singh</w:t>
            </w: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100" w:type="dxa"/>
            <w:vAlign w:val="bottom"/>
            <w:gridSpan w:val="6"/>
          </w:tcPr>
          <w:p>
            <w:pPr>
              <w:ind w:left="1600"/>
              <w:spacing w:after="0" w:line="196" w:lineRule="exact"/>
              <w:rPr>
                <w:sz w:val="20"/>
                <w:szCs w:val="20"/>
                <w:color w:val="auto"/>
              </w:rPr>
            </w:pPr>
            <w:r>
              <w:rPr>
                <w:rFonts w:ascii="Times New Roman" w:cs="Times New Roman" w:eastAsia="Times New Roman" w:hAnsi="Times New Roman"/>
                <w:sz w:val="18"/>
                <w:szCs w:val="18"/>
                <w:color w:val="auto"/>
              </w:rPr>
              <w:t>Name: Shawn K. Singh, J.D.</w:t>
            </w: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100" w:type="dxa"/>
            <w:vAlign w:val="bottom"/>
            <w:gridSpan w:val="6"/>
          </w:tcPr>
          <w:p>
            <w:pPr>
              <w:ind w:left="1600"/>
              <w:spacing w:after="0" w:line="196" w:lineRule="exact"/>
              <w:rPr>
                <w:sz w:val="20"/>
                <w:szCs w:val="20"/>
                <w:color w:val="auto"/>
              </w:rPr>
            </w:pPr>
            <w:r>
              <w:rPr>
                <w:rFonts w:ascii="Times New Roman" w:cs="Times New Roman" w:eastAsia="Times New Roman" w:hAnsi="Times New Roman"/>
                <w:sz w:val="18"/>
                <w:szCs w:val="18"/>
                <w:color w:val="auto"/>
              </w:rPr>
              <w:t>Title: Chief Executive Officer</w:t>
            </w:r>
          </w:p>
        </w:tc>
      </w:tr>
      <w:tr>
        <w:trPr>
          <w:trHeight w:val="453"/>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340" w:type="dxa"/>
            <w:vAlign w:val="bottom"/>
          </w:tcPr>
          <w:p>
            <w:pPr>
              <w:spacing w:after="0"/>
              <w:rPr>
                <w:sz w:val="24"/>
                <w:szCs w:val="24"/>
                <w:color w:val="auto"/>
              </w:rPr>
            </w:pPr>
          </w:p>
        </w:tc>
      </w:tr>
      <w:tr>
        <w:trPr>
          <w:trHeight w:val="115"/>
        </w:trPr>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STOCK CONSIDERATION SCHEDULE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Stock Consideration Schedule is made and given pursuant to the terms of the Agreement and Plan of Merger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December 20, 2022, by and among Vistagen Therapeutics, Inc., a Nevada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VTGN Merger Sub, Inc., a Delaware corporation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Pherin Pharmaceuticals, Inc., a Delaware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Kevin McCarthy, an individual, solely in the capacity as Stockholder Representative (“</w:t>
      </w:r>
      <w:r>
        <w:rPr>
          <w:rFonts w:ascii="Times New Roman" w:cs="Times New Roman" w:eastAsia="Times New Roman" w:hAnsi="Times New Roman"/>
          <w:sz w:val="18"/>
          <w:szCs w:val="18"/>
          <w:b w:val="1"/>
          <w:bCs w:val="1"/>
          <w:color w:val="auto"/>
        </w:rPr>
        <w:t>Stockholder Representative</w:t>
      </w:r>
      <w:r>
        <w:rPr>
          <w:rFonts w:ascii="Times New Roman" w:cs="Times New Roman" w:eastAsia="Times New Roman" w:hAnsi="Times New Roman"/>
          <w:sz w:val="18"/>
          <w:szCs w:val="18"/>
          <w:color w:val="auto"/>
        </w:rPr>
        <w:t>”). This Schedule is referred to as the “</w:t>
      </w:r>
      <w:r>
        <w:rPr>
          <w:rFonts w:ascii="Times New Roman" w:cs="Times New Roman" w:eastAsia="Times New Roman" w:hAnsi="Times New Roman"/>
          <w:sz w:val="18"/>
          <w:szCs w:val="18"/>
          <w:b w:val="1"/>
          <w:bCs w:val="1"/>
          <w:color w:val="auto"/>
        </w:rPr>
        <w:t>Stock Consideration Schedule</w:t>
      </w:r>
      <w:r>
        <w:rPr>
          <w:rFonts w:ascii="Times New Roman" w:cs="Times New Roman" w:eastAsia="Times New Roman" w:hAnsi="Times New Roman"/>
          <w:sz w:val="18"/>
          <w:szCs w:val="18"/>
          <w:color w:val="auto"/>
        </w:rPr>
        <w:t>.” Capitalized terms not otherwise defined herein shall have the meaning ascribed to them in the Agreement.</w:t>
      </w:r>
    </w:p>
    <w:p>
      <w:pPr>
        <w:spacing w:after="0" w:line="183" w:lineRule="exact"/>
        <w:rPr>
          <w:sz w:val="20"/>
          <w:szCs w:val="20"/>
          <w:color w:val="auto"/>
        </w:rPr>
      </w:pPr>
    </w:p>
    <w:p>
      <w:pPr>
        <w:ind w:left="660" w:hanging="328"/>
        <w:spacing w:after="0"/>
        <w:tabs>
          <w:tab w:leader="none" w:pos="6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all shares of Company Common Stock held by Accredited Investors or Non-U.S. Persons shall be converted into the right to receive:</w:t>
      </w:r>
    </w:p>
    <w:p>
      <w:pPr>
        <w:spacing w:after="0" w:line="27" w:lineRule="exact"/>
        <w:rPr>
          <w:rFonts w:ascii="Times New Roman" w:cs="Times New Roman" w:eastAsia="Times New Roman" w:hAnsi="Times New Roman"/>
          <w:sz w:val="18"/>
          <w:szCs w:val="18"/>
          <w:color w:val="auto"/>
        </w:rPr>
      </w:pPr>
    </w:p>
    <w:p>
      <w:pPr>
        <w:ind w:right="20" w:firstLine="8"/>
        <w:spacing w:after="0" w:line="260" w:lineRule="auto"/>
        <w:tabs>
          <w:tab w:leader="none" w:pos="2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number of shares of Parent Common Stock equal to (a) each such holder’s Pro Rata Share, multiplied by (b) the Consideration Shares; and (ii) any cash in lieu of fractional shares of Parent Common Stock payable pursuant to Section 3.01(c) of the Agreement.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CASH CONSIDERATION SCHEDULE</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This Cash Consideration Schedule is made and given pursuant to the terms of the Agreement and Plan of Merger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December 20, 2022, by and among Vistagen Therapeutics, Inc., a Nevada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VTGN Merger Sub, Inc., a Delaware corporation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Pherin Pharmaceuticals, Inc., a Delaware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Kevin McCarthy, an individual, solely in the capacity as Stockholder Representative (“</w:t>
      </w:r>
      <w:r>
        <w:rPr>
          <w:rFonts w:ascii="Times New Roman" w:cs="Times New Roman" w:eastAsia="Times New Roman" w:hAnsi="Times New Roman"/>
          <w:sz w:val="18"/>
          <w:szCs w:val="18"/>
          <w:b w:val="1"/>
          <w:bCs w:val="1"/>
          <w:color w:val="auto"/>
        </w:rPr>
        <w:t>Stockholder Representative</w:t>
      </w:r>
      <w:r>
        <w:rPr>
          <w:rFonts w:ascii="Times New Roman" w:cs="Times New Roman" w:eastAsia="Times New Roman" w:hAnsi="Times New Roman"/>
          <w:sz w:val="18"/>
          <w:szCs w:val="18"/>
          <w:color w:val="auto"/>
        </w:rPr>
        <w:t>”). This Schedule is referred to as the “</w:t>
      </w:r>
      <w:r>
        <w:rPr>
          <w:rFonts w:ascii="Times New Roman" w:cs="Times New Roman" w:eastAsia="Times New Roman" w:hAnsi="Times New Roman"/>
          <w:sz w:val="18"/>
          <w:szCs w:val="18"/>
          <w:b w:val="1"/>
          <w:bCs w:val="1"/>
          <w:color w:val="auto"/>
        </w:rPr>
        <w:t>Cash Consideration Schedule</w:t>
      </w:r>
      <w:r>
        <w:rPr>
          <w:rFonts w:ascii="Times New Roman" w:cs="Times New Roman" w:eastAsia="Times New Roman" w:hAnsi="Times New Roman"/>
          <w:sz w:val="18"/>
          <w:szCs w:val="18"/>
          <w:color w:val="auto"/>
        </w:rPr>
        <w:t>.” Capitalized terms not otherwise defined herein shall have the meaning ascribed to them in the Agreement.</w:t>
      </w:r>
    </w:p>
    <w:p>
      <w:pPr>
        <w:spacing w:after="0" w:line="183" w:lineRule="exact"/>
        <w:rPr>
          <w:sz w:val="20"/>
          <w:szCs w:val="20"/>
          <w:color w:val="auto"/>
        </w:rPr>
      </w:pPr>
    </w:p>
    <w:p>
      <w:pPr>
        <w:ind w:left="640" w:hanging="308"/>
        <w:spacing w:after="0"/>
        <w:tabs>
          <w:tab w:leader="none" w:pos="6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all shares of Company Common Stock held by Cash Recipients shall be converted into the right to receive an amount of cash equal to</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holder’s Pro Rata Share, multiplied by (b) the Cash Payment.</w:t>
      </w:r>
    </w:p>
    <w:p>
      <w:pPr>
        <w:spacing w:after="0" w:line="20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formulas shall be used when determining the monetary amounts of the applicable Cash Consideration:</w:t>
      </w:r>
    </w:p>
    <w:p>
      <w:pPr>
        <w:spacing w:after="0" w:line="225" w:lineRule="exact"/>
        <w:rPr>
          <w:sz w:val="20"/>
          <w:szCs w:val="20"/>
          <w:color w:val="auto"/>
        </w:rPr>
      </w:pPr>
    </w:p>
    <w:p>
      <w:pPr>
        <w:ind w:left="980"/>
        <w:spacing w:after="0"/>
        <w:tabs>
          <w:tab w:leader="none" w:pos="1280" w:val="left"/>
          <w:tab w:leader="none" w:pos="31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auto"/>
        </w:rPr>
        <w:t>Cash Payment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(X • Z)/Y)-(X • Z)</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foregoing formulas, the following definitions shall apply:</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shall mean the Consideration Shares.</w:t>
      </w:r>
    </w:p>
    <w:p>
      <w:pPr>
        <w:spacing w:after="0" w:line="225" w:lineRule="exact"/>
        <w:rPr>
          <w:sz w:val="20"/>
          <w:szCs w:val="20"/>
          <w:color w:val="auto"/>
        </w:rPr>
      </w:pPr>
    </w:p>
    <w:p>
      <w:pPr>
        <w:ind w:left="9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 shall mean 0.9667, which is the percentage of the total outstanding shares of the Company’s common stock, par value $0.0001 per share, held by the Stock Recipients.</w:t>
      </w:r>
    </w:p>
    <w:p>
      <w:pPr>
        <w:spacing w:after="0" w:line="15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Z</w:t>
      </w:r>
      <w:r>
        <w:rPr>
          <w:rFonts w:ascii="Times New Roman" w:cs="Times New Roman" w:eastAsia="Times New Roman" w:hAnsi="Times New Roman"/>
          <w:sz w:val="18"/>
          <w:szCs w:val="18"/>
          <w:color w:val="auto"/>
        </w:rPr>
        <w:t>” shall mean closing price of the Parent’s Common Stock as listed on the Nasdaq Capital Market on the date of Closing.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Accredited Investor Questionnaire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Intellectual Property Assignments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Lock-Up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343 Allerton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Shawn Singh, Chief Executive Officer</w:t>
      </w:r>
    </w:p>
    <w:p>
      <w:pPr>
        <w:spacing w:after="0" w:line="20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c/o</w:t>
      </w:r>
      <w:r>
        <w:rPr>
          <w:sz w:val="20"/>
          <w:szCs w:val="20"/>
          <w:color w:val="auto"/>
        </w:rPr>
        <w:tab/>
      </w:r>
      <w:r>
        <w:rPr>
          <w:rFonts w:ascii="Times New Roman" w:cs="Times New Roman" w:eastAsia="Times New Roman" w:hAnsi="Times New Roman"/>
          <w:sz w:val="18"/>
          <w:szCs w:val="18"/>
          <w:color w:val="auto"/>
        </w:rPr>
        <w:t>Disclosure Law Group, a Professional corporation</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655 West Broadway, Suite 870</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San Diego, CA 92019</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Attn: Daniel W. Rumsey</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Klinedinst PC</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501 W Broadway, Suite 600</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San Diego, CA 92101</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Attention: James D. Snyder, Esq.</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owns shares common stock of Pherin Pharmaceuticals, Inc., a Delaware corporation (“</w:t>
      </w:r>
      <w:r>
        <w:rPr>
          <w:rFonts w:ascii="Times New Roman" w:cs="Times New Roman" w:eastAsia="Times New Roman" w:hAnsi="Times New Roman"/>
          <w:sz w:val="18"/>
          <w:szCs w:val="18"/>
          <w:u w:val="single" w:color="auto"/>
          <w:color w:val="auto"/>
        </w:rPr>
        <w:t>Pherin</w:t>
      </w:r>
      <w:r>
        <w:rPr>
          <w:rFonts w:ascii="Times New Roman" w:cs="Times New Roman" w:eastAsia="Times New Roman" w:hAnsi="Times New Roman"/>
          <w:sz w:val="18"/>
          <w:szCs w:val="18"/>
          <w:color w:val="auto"/>
        </w:rPr>
        <w:t>”), which shares are to be exchanged for shares of common stock of Vistagen Therapeutics, Inc., a Nevada corporation (“</w:t>
      </w:r>
      <w:r>
        <w:rPr>
          <w:rFonts w:ascii="Times New Roman" w:cs="Times New Roman" w:eastAsia="Times New Roman" w:hAnsi="Times New Roman"/>
          <w:sz w:val="18"/>
          <w:szCs w:val="18"/>
          <w:u w:val="single" w:color="auto"/>
          <w:color w:val="auto"/>
        </w:rPr>
        <w:t>Vistagen</w:t>
      </w:r>
      <w:r>
        <w:rPr>
          <w:rFonts w:ascii="Times New Roman" w:cs="Times New Roman" w:eastAsia="Times New Roman" w:hAnsi="Times New Roman"/>
          <w:sz w:val="18"/>
          <w:szCs w:val="18"/>
          <w:color w:val="auto"/>
        </w:rPr>
        <w:t>”), pursuant to an Agreement and Plan of Merger among Vistagen, VTGN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Pherin, and the Stockholders Representative dated December 20, 2022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Capitalized terms used and not otherwise defined herein shall have the meanings set forth in the Merger Agreement.</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and as a condition to the closing of the transactions set forth in the Merger Agreement, the undersigned agrees that, during the 180 days that follow the Closing Date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undersigned will not, directly or indirectly:</w:t>
      </w:r>
    </w:p>
    <w:p>
      <w:pPr>
        <w:spacing w:after="0" w:line="162" w:lineRule="exact"/>
        <w:rPr>
          <w:sz w:val="20"/>
          <w:szCs w:val="20"/>
          <w:color w:val="auto"/>
        </w:rPr>
      </w:pPr>
    </w:p>
    <w:p>
      <w:pPr>
        <w:jc w:val="both"/>
        <w:ind w:firstLine="656"/>
        <w:spacing w:after="0" w:line="258" w:lineRule="auto"/>
        <w:tabs>
          <w:tab w:leader="none" w:pos="91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for sale, sell or otherwise dispose of any shares of Vistagen common stock (“</w:t>
      </w:r>
      <w:r>
        <w:rPr>
          <w:rFonts w:ascii="Times New Roman" w:cs="Times New Roman" w:eastAsia="Times New Roman" w:hAnsi="Times New Roman"/>
          <w:sz w:val="18"/>
          <w:szCs w:val="18"/>
          <w:u w:val="single" w:color="auto"/>
          <w:color w:val="auto"/>
        </w:rPr>
        <w:t>Vistagen Shares</w:t>
      </w:r>
      <w:r>
        <w:rPr>
          <w:rFonts w:ascii="Times New Roman" w:cs="Times New Roman" w:eastAsia="Times New Roman" w:hAnsi="Times New Roman"/>
          <w:sz w:val="18"/>
          <w:szCs w:val="18"/>
          <w:color w:val="auto"/>
        </w:rPr>
        <w:t>”) the undersigned receives in in exchange for shares of Pherin common stock at the Closing pursuant to the Merger Agreement (the “</w:t>
      </w:r>
      <w:r>
        <w:rPr>
          <w:rFonts w:ascii="Times New Roman" w:cs="Times New Roman" w:eastAsia="Times New Roman" w:hAnsi="Times New Roman"/>
          <w:sz w:val="18"/>
          <w:szCs w:val="18"/>
          <w:u w:val="single" w:color="auto"/>
          <w:color w:val="auto"/>
        </w:rPr>
        <w:t>Locked-Up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to the extent the undersigned is an Optionholder and exercises Options prior to the Closing Date, the undersigned may, subject to Vistagen’s prior consent which consent will not be unreasonably withheld, sell or otherwise dispose of a reasonable portion of Locked-Up Shares for the sole purpose of satisfying any tax obligations that arise in connection with the exercise of such Options;</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1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that transfers, in whole or in part, any of the economic consequences of ownership of the Locked-Up Shares, whether any such transaction described is to be settled by delivery of Vistagen Shares or other securities, in cash or otherwise;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color w:val="auto"/>
        </w:rPr>
        <w:t>(3) publicly disclose the intention to do any of the foregoing.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the undersigned may transfer Locked-Up Shares:</w:t>
      </w:r>
    </w:p>
    <w:p>
      <w:pPr>
        <w:spacing w:after="0" w:line="223" w:lineRule="exact"/>
        <w:rPr>
          <w:sz w:val="20"/>
          <w:szCs w:val="20"/>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w:t>
      </w:r>
    </w:p>
    <w:p>
      <w:pPr>
        <w:spacing w:after="0" w:line="2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the immediate family of the undersigned,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(1) transfers to another corporation, partnership, limited liability company, trust or other business entity that is a direct or indirect affiliate (as defined in Rule 405 promulgated under the Securities Act of 1933, as amended) of the undersigned or (2) distributions of Locked-Up Shares to limited partners, limited liability company members or stockholders of the undersigned,</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trust, transfers to the beneficiary of such trust,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testate succession or intestate succession;</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(x) such transfer shall not involve a disposition for value, (y) the transferee agrees in writing with the Vistagen to be bound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this Agreement, and (z) no filing by any party under Section 16(a)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be required or shall be made voluntarily in connection with such transfer. For purposes of this Agreement, “immediate family” shall mean any relationship by blood, marriage or adoption, nor more remote than first cousin.</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furtherance of the foregoing, Vistagen and its transfer agent and registrar are hereby authorized to decline to make any transfer of Locked-Up Shares if such transfer would constitute a violation or breach of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Agreement and that upon request, the undersigned will execute any additional documents necessary to ensure the validity or enforcement of this Agreement. All authority herein conferred or agreed to be conferred and any obligations of the undersigned shall be binding upon the successors, assigns, heirs or personal representatives of the undersigned.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undersigned shall be released from all obligations under this Agreement if (i) any of the Merging Parties notifies any of the other Merging Parties that it does not intend to proceed with the Merger prior to the Closing Date, or (ii) if the Merger Agreement (other than the provisions thereof which survive termination) shall terminate or be terminated prior to delivery of the Common Stock to be exchanged thereunder.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understands that Vistagen will be proceeding with the Closing pursuant to the terms of the Merger Agreement in reliance upon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It is understood that if the Merger Agreement has been terminated prior to the Closing, this agreement shall be cancelled and of no further force and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9" w:name="page80"/>
    <w:bookmarkEnd w:id="79"/>
    <w:p>
      <w:pPr>
        <w:ind w:left="4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Printed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27089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27089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Printed Name and Title of Person Signing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27089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 signing as custodian, trustee, or on behalf</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of an entity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Registration Rights Agreement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ectPr>
          <w:pgSz w:w="11900" w:h="16838" w:orient="portrait"/>
          <w:cols w:equalWidth="0" w:num="1">
            <w:col w:w="11240"/>
          </w:cols>
          <w:pgMar w:left="320" w:top="576" w:right="339" w:bottom="1440" w:gutter="0" w:footer="0" w:header="0"/>
        </w:sectPr>
      </w:pPr>
    </w:p>
    <w:p>
      <w:pPr>
        <w:spacing w:after="0" w:line="23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REGISTRATION RIGHTS AGREEMENT </w:t>
      </w:r>
      <w:r>
        <w:rPr>
          <w:rFonts w:ascii="Times New Roman" w:cs="Times New Roman" w:eastAsia="Times New Roman" w:hAnsi="Times New Roman"/>
          <w:sz w:val="18"/>
          <w:szCs w:val="18"/>
          <w:color w:val="auto"/>
        </w:rPr>
        <w:t>Therapeutics, Inc.,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Shareholders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firstLine="1"/>
        <w:spacing w:after="0" w:line="282" w:lineRule="auto"/>
        <w:rPr>
          <w:sz w:val="20"/>
          <w:szCs w:val="20"/>
          <w:color w:val="auto"/>
        </w:rPr>
      </w:pP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 2022, is entered into by and between Vistagen and and each of the signatories hereto (each a “</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and collectively, the</w:t>
      </w:r>
    </w:p>
    <w:p>
      <w:pPr>
        <w:spacing w:after="0" w:line="373" w:lineRule="exact"/>
        <w:rPr>
          <w:sz w:val="20"/>
          <w:szCs w:val="20"/>
          <w:color w:val="auto"/>
        </w:rPr>
      </w:pPr>
    </w:p>
    <w:p>
      <w:pPr>
        <w:sectPr>
          <w:pgSz w:w="11900" w:h="16838" w:orient="portrait"/>
          <w:cols w:equalWidth="0" w:num="2">
            <w:col w:w="4620" w:space="100"/>
            <w:col w:w="6520"/>
          </w:cols>
          <w:pgMar w:left="320" w:top="576" w:right="339" w:bottom="1440" w:gutter="0" w:footer="0" w:header="0"/>
          <w:type w:val="continuous"/>
        </w:sect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Capitalized terms used herein and not otherwise defined herein shall have the respective meanings set forth in that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Plan of Merger, by and between the Company, Pherin Pharmaceuticals, Inc., a Delaware corporation ("</w:t>
      </w:r>
      <w:r>
        <w:rPr>
          <w:rFonts w:ascii="Times New Roman" w:cs="Times New Roman" w:eastAsia="Times New Roman" w:hAnsi="Times New Roman"/>
          <w:sz w:val="18"/>
          <w:szCs w:val="18"/>
          <w:u w:val="single" w:color="auto"/>
          <w:color w:val="auto"/>
        </w:rPr>
        <w:t>Pherin</w:t>
      </w:r>
      <w:r>
        <w:rPr>
          <w:rFonts w:ascii="Times New Roman" w:cs="Times New Roman" w:eastAsia="Times New Roman" w:hAnsi="Times New Roman"/>
          <w:sz w:val="18"/>
          <w:szCs w:val="18"/>
          <w:color w:val="auto"/>
        </w:rPr>
        <w:t>"), and VTGN Merger Sub, Inc., a Delaware corporation, dated as of December 20, 2022 (as may be amended, restated,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agreed, upon the terms and subject to the conditions of the Merger Agreement, to issue shares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(as defined below) to the Shareholders in exchange for their shares of Pherin, and to provide the Shareholders certain registration rights under the Securities Act of 1933, as amended, and the rules and regulations thereunder, or any similar successor statute (collectively,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applicable state securities laws on the terms and subject to the conditions set forth herein.</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covenants and agreements contained herein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Company and each Shareholder hereby agree as follows:</w:t>
      </w:r>
    </w:p>
    <w:p>
      <w:pPr>
        <w:spacing w:after="0" w:line="159" w:lineRule="exact"/>
        <w:rPr>
          <w:sz w:val="20"/>
          <w:szCs w:val="20"/>
          <w:color w:val="auto"/>
        </w:rPr>
      </w:pPr>
    </w:p>
    <w:p>
      <w:pPr>
        <w:ind w:left="1280" w:hanging="624"/>
        <w:spacing w:after="0"/>
        <w:tabs>
          <w:tab w:leader="none" w:pos="12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6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Company’s common stock, par value $0.001 per share, and any securities into which such Common Stock may hereinafter be reclassified.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663"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or entity including but not limited to any corporation, a limited liability company, an association, a partnership, an organization, a business, an individual, a governmental or political subdivision thereof or a governmental agency.</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6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refer to a registration made by preparing and filing a Registration Statement or similar document in compliance with the 1933 Act (as defined below), and the declaration or ordering of effectiveness of such Registration Statement or document.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82" w:name="page83"/>
    <w:bookmarkEnd w:id="82"/>
    <w:p>
      <w:pPr>
        <w:jc w:val="both"/>
        <w:ind w:left="660" w:firstLine="644"/>
        <w:spacing w:after="0" w:line="253" w:lineRule="auto"/>
        <w:tabs>
          <w:tab w:leader="none" w:pos="162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all of the shares of the Company's Common Stock which have been, or which may, from time to time be issued or become issuable to the Shareholders under the Merger Agreement, and any and all shares of capital stock issued or issuable with respect to the Merger Agreement as a result of any stock split, stock dividend, recapitalization, exchange or similar event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as to any particular Registrable Security, such securities shall cease to be Registrable Securities upon the earliest to occur of: (A)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with respect to the sale of such securities shall have become effective under the Securities Act and such securities shall have been sold, transferred, disposed of or exchanged in accordance with such Registration Statement by the applicable Shareholder; (B)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(C) such securities shall have ceased to be outstanding; and (D) such securities have been sold to, or through, a broker, dealer or underwriter in a public distribution or other public securities transaction.</w:t>
      </w:r>
    </w:p>
    <w:p>
      <w:pPr>
        <w:spacing w:after="0" w:line="194"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Period</w:t>
      </w:r>
      <w:r>
        <w:rPr>
          <w:rFonts w:ascii="Times New Roman" w:cs="Times New Roman" w:eastAsia="Times New Roman" w:hAnsi="Times New Roman"/>
          <w:sz w:val="18"/>
          <w:szCs w:val="18"/>
          <w:color w:val="auto"/>
        </w:rPr>
        <w:t>" means the period that will terminate upon the date on which all Registrable Securities have been sold.</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3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one or more registration statements of the Company covering the sale of the Registrable Securities on a continuous basis pursuant to Rule 415 of the Securities Act.</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Shareholders</w:t>
      </w:r>
      <w:r>
        <w:rPr>
          <w:rFonts w:ascii="Times New Roman" w:cs="Times New Roman" w:eastAsia="Times New Roman" w:hAnsi="Times New Roman"/>
          <w:sz w:val="18"/>
          <w:szCs w:val="18"/>
          <w:color w:val="auto"/>
        </w:rPr>
        <w:t>" means, as of any date of determination, the Shareholders holding a majority of the Registrable Securities as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such date.</w:t>
      </w:r>
    </w:p>
    <w:p>
      <w:pPr>
        <w:spacing w:after="0" w:line="206"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39"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Registration</w:t>
      </w:r>
      <w:r>
        <w:rPr>
          <w:rFonts w:ascii="Times New Roman" w:cs="Times New Roman" w:eastAsia="Times New Roman" w:hAnsi="Times New Roman"/>
          <w:sz w:val="18"/>
          <w:szCs w:val="18"/>
          <w:color w:val="auto"/>
        </w:rPr>
        <w:t>. No later than thirty (30) days from the date of the consummation of the transactions contemplated by the Merger Agreement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the Company shall prepare and file with the SEC one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covering the resale of all of the Registrable Securities on a continuous basis pursuant to Rule 415 of the Securities Act. This initial Registration Statement filed hereunder shall be on Form S-3;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Form S-3 is not available for the registration of the resale of Registrable Securities hereunder, the Company shall (x) register the resale of the Registrable Securities on another appropriate form and (y) undertake to register the resale of Registrable Securities on Form S-3 as soon as such form is available,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maintain the effectiveness of the Registration Statement then in effect until such time as a Registration Statement on Form S-3 covering the Registrable Securities has been declared effective by the staff of the SEC.</w:t>
      </w:r>
    </w:p>
    <w:p>
      <w:pPr>
        <w:spacing w:after="0" w:line="188"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Registration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692"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Registration Statement ceases to be effective under the Securities Act for any reason at any time during the Registration Period, the Company shall use its reasonable best efforts to promptly cause such Registration Statement to again become effective under the Securities Act (including obtaining the prompt withdrawal of any order suspending the effectiveness of such Registration Statement), and shall use its reasonable best efforts to promptly amend such Registration Statement in a manner reasonably expected to result in the withdrawal of any order suspending the effectiveness of such Registration Statement or file an additional Registration.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3" w:name="page84"/>
    <w:bookmarkEnd w:id="83"/>
    <w:p>
      <w:pPr>
        <w:jc w:val="both"/>
        <w:ind w:firstLine="1952"/>
        <w:spacing w:after="0" w:line="220" w:lineRule="exact"/>
        <w:tabs>
          <w:tab w:leader="none" w:pos="259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 subsequent Registration Statement is filed, the Company shall use its reasonable best efforts to (A) cause such Registration Statement to become effective promptly after the filing thereof, and (B) keep such Registration Statement continuously effective and usable until the end of the Registration Period. Any such Registration Statement shall be a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to the extent that the Company is eligible to use such form. Otherwise, the Company shall (x) file such Registration Statement on another appropriate form, and (y) file a Registration Statement on Form S-3 as soon as the Company regains its Form S-3 eligibility.</w:t>
      </w:r>
    </w:p>
    <w:p>
      <w:pPr>
        <w:spacing w:after="0" w:line="200"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3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No Shareholder shall be named as an “underwriter” in any Registration Statement without such Shareholder’s prior written consent. No Registration Statement shall include any securities other than Registrable Securities without the prior written consent of the Required Shareholders.</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4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Piggy-Back Registrations</w:t>
      </w:r>
      <w:r>
        <w:rPr>
          <w:rFonts w:ascii="Times New Roman" w:cs="Times New Roman" w:eastAsia="Times New Roman" w:hAnsi="Times New Roman"/>
          <w:sz w:val="18"/>
          <w:szCs w:val="18"/>
          <w:color w:val="auto"/>
        </w:rPr>
        <w:t>. If, at any time there is not an effective Registration Statement covering all of the Registrable Securities and the Company shall determine to prepare and file with the SEC a registration statement relating to an offering for its own account or the account of others under the Securities Act of any of its equity securities, other than on Form S-4 or Form S-8 (each as promulgated under the Securities Act) or their then equivalents relating to equity securities to be issued solely in connection with any acquisition of any entity or business or equity securities issuable in connection with the Company’s stock option or other employee benefit plans, then the Company shall deliver to Shareholder a written notice of such determination and, if within fifteen (15) days after the date of the delivery of such notice, Shareholder shall so request in writing, the Company shall include in such registration statement all or any part of such Registrable Securities that Shareholder requests to be registered or such amount as otherwise shall be permitted to be included thereon in accordance with applicable SEC rules, regulations and interpretations so as to permit the resale of such Registrable Securities by the Shareholder under Rule 415 under the Securities Act.</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0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424 Prospectus</w:t>
      </w:r>
      <w:r>
        <w:rPr>
          <w:rFonts w:ascii="Times New Roman" w:cs="Times New Roman" w:eastAsia="Times New Roman" w:hAnsi="Times New Roman"/>
          <w:sz w:val="18"/>
          <w:szCs w:val="18"/>
          <w:color w:val="auto"/>
        </w:rPr>
        <w:t>. The Company shall, as required by applicable securities regulations, from time to time file with the SEC, pursuant to Rule 424 promulgated under the Securities Act, the prospectus and prospectus supplements, if any, to be used in connection with sales of the Registrable Securities under the Registration Statement. The Shareholders and their counsel shall have a reasonable opportunity to review and comment upon such prospectus prior to its filing with the SEC, and the Company shall give due consideration to all such comments. The Shareholders shall use their reasonable best efforts to comment upon such prospectus within three (3) Business Days from the date the Shareholders receives the final pre-filing version of such prospectus.</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7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Sufficient Number of Shares Registered</w:t>
      </w:r>
      <w:r>
        <w:rPr>
          <w:rFonts w:ascii="Times New Roman" w:cs="Times New Roman" w:eastAsia="Times New Roman" w:hAnsi="Times New Roman"/>
          <w:sz w:val="18"/>
          <w:szCs w:val="18"/>
          <w:color w:val="auto"/>
        </w:rPr>
        <w:t>. In the event the number of shares available under the Registration Statement is insufficient to cover all of the Registrable Securities, the Company shall amend the Registration Statement or file a new Registration Statement (a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so as to cover all of such Registrable Securities (subject to the limitations set forth in </w:t>
      </w:r>
      <w:r>
        <w:rPr>
          <w:rFonts w:ascii="Times New Roman" w:cs="Times New Roman" w:eastAsia="Times New Roman" w:hAnsi="Times New Roman"/>
          <w:sz w:val="18"/>
          <w:szCs w:val="18"/>
          <w:u w:val="single" w:color="auto"/>
          <w:color w:val="auto"/>
        </w:rPr>
        <w:t>Sections 2(a) and (b)</w:t>
      </w:r>
      <w:r>
        <w:rPr>
          <w:rFonts w:ascii="Times New Roman" w:cs="Times New Roman" w:eastAsia="Times New Roman" w:hAnsi="Times New Roman"/>
          <w:sz w:val="18"/>
          <w:szCs w:val="18"/>
          <w:color w:val="auto"/>
        </w:rPr>
        <w:t>) as soon as practicable, but in any event not later than ten (10) Business Days after the necessity therefor arises, subject to any limits that may be imposed by the SEC pursuant to Rule 415 under the Securities Act. The Company shall use it reasonable best efforts to cause such amendment and/or New Registration Statement to become effective as soon as practicable following the filing thereof.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4" w:name="page85"/>
    <w:bookmarkEnd w:id="8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If the staff of the SEC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xml:space="preserve">”) or the SEC seeks to characterize any offering pursuant to a Registration Statement filed pursuant to this Agreement as constituting an offering of securities that does not permit such Registration Statement to become effective and be used for resales by the Shareholders under Rule 415 at then-prevailing market prices (and not fixed prices), or if after the filing of the initial Registration Statement with the SEC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the Company is otherwise required by the Staff or the SEC to reduce the number of Registrable Securities included in such initial Registration Statement, then the Company shall reduce the number of Registrable Securities to be included in such initial Registration Statement (with the prior consent, which shall not be unreasonably withheld, of the Shareholders and their legal counsel as to the specific Registrable Securities to be removed therefrom) until such time as the Staff and the SEC shall so permit such Registration Statement to become effective and be used as aforesaid. In the event of any reduction in Registrable Securities pursuant to this paragraph, the Company shall file one or more New Registration Statements in accordance with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until such time as all Registrable Securities have been included in Registration Statements that have been declared effective and the prospectus contained therein is available for use by the Shareholders. Notwithstanding any provision herein or in the Merger Agreement to the contrary, the Company’s obligations to register Registrable Securities (and any related conditions to the Shareholders’ obligations) shall be qualified as necessary to comport with any requirement of the SEC or the Staff as addressed in this </w:t>
      </w:r>
      <w:r>
        <w:rPr>
          <w:rFonts w:ascii="Times New Roman" w:cs="Times New Roman" w:eastAsia="Times New Roman" w:hAnsi="Times New Roman"/>
          <w:sz w:val="18"/>
          <w:szCs w:val="18"/>
          <w:u w:val="single" w:color="auto"/>
          <w:color w:val="auto"/>
        </w:rPr>
        <w:t>Section 2(g)</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0" w:hanging="544"/>
        <w:spacing w:after="0"/>
        <w:tabs>
          <w:tab w:leader="none" w:pos="12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shall use its reasonable best efforts to effect the registration of the Registrable Securities in accordance with the intended method of disposition thereof and, pursuant thereto, the Company shall have the following obligations:</w:t>
      </w:r>
    </w:p>
    <w:p>
      <w:pPr>
        <w:spacing w:after="0" w:line="162" w:lineRule="exact"/>
        <w:rPr>
          <w:sz w:val="20"/>
          <w:szCs w:val="20"/>
          <w:color w:val="auto"/>
        </w:rPr>
      </w:pPr>
    </w:p>
    <w:p>
      <w:pPr>
        <w:jc w:val="both"/>
        <w:ind w:firstLine="1304"/>
        <w:spacing w:after="0" w:line="256" w:lineRule="auto"/>
        <w:tabs>
          <w:tab w:leader="none" w:pos="1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prepare and file with the SEC such amendments (including post-effective amendments) and supplements to any Registration Statement and the prospectus used in connection with such Registration Statement, which prospectus is to be filed pursuant to Rule 424 promulgated under the Securities Act, as may be necessary to keep the Registration Statement effective at all times during the Registration Period, and, during such period, comply with the provisions of the Securities Act with respect to the disposition of all Registrable Securities of the Company covered by the Registration Statement until such time as all of such Registrable Securities shall have been disposed of in accordance with the intended methods of disposition by the seller or sellers thereof as set forth in such registration statement.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9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permit the Shareholders Representative to review and comment upon any Registration Statement and all amendments and supplements thereto at least two (2) Business Days prior to their filing with the SEC, and not file any document in a form to which the Shareholders or their counsel reasonably objects. The Shareholders shall use their reasonable best efforts to comment upon such Registration Statement and any amendments or supplements thereto within two (2) Business Days from the date the Shareholders receive the final version thereof. The Company shall furnish to the Shareholders, without charge, any correspondence from the SEC or the staff of the SEC to the Company or its representatives relating to any Registration Statement.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5" w:name="page86"/>
    <w:bookmarkEnd w:id="85"/>
    <w:p>
      <w:pPr>
        <w:jc w:val="both"/>
        <w:ind w:firstLine="1304"/>
        <w:spacing w:after="0" w:line="255" w:lineRule="auto"/>
        <w:tabs>
          <w:tab w:leader="none" w:pos="183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Shareholder, the Company shall furnish to such Shareholder, (i) promptly after the same is prepared and filed with the SEC, at least one copy of such Registration Statement and any amendment(s) thereto, including financial statements and schedules, all documents incorporated therein by reference and all exhibits, (ii) upon the effectiveness of any Registration Statement, a copy of the prospectus included in such Registration Statement and all amendments and supplements thereto (or such other number of copies as such Shareholder may reasonably request) and (iii) such other documents, including copies of any preliminary or final prospectus, as such Shareholder may reasonably request from time to time in order to facilitate the disposition of the Registrable Securities owned by the requesting Shareholder. For the avoidance of doubt, any filing available to the Shareholders via the SEC’s live EDGAR system shall be deemed “furnished to the Shareholders” hereunder.</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7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reasonable best efforts to (i) register and qualify the Registrable Securities covered by a Registration Statement under such other securities or “blue sky” laws of such jurisdictions in the United States as the Shareholders reasonably request,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not be required in connection therewith or as a condition thereto to (x) qualify to do business in any jurisdiction where it would not otherwise be required to qualify but for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(y) subject itself to general taxation in any such jurisdiction, or (z) file a general consent to service of process in any such jurisdiction. The Company shall promptly notify the Shareholders who hold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7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becoming aware of such event or facts, the Company shall notify the Shareholders in writing of the happening of any event or existence of such facts as a result of which the prospectus included in any Registration Statement, as then in effect, includes an untrue statement of a material fact or omits to state a material fact required to be stated therein or necessary to make the statements therein, in light of the circumstances under which they were made, not misleading, and promptly prepare a supplement or amendment to such Registration Statement to correct such untrue statement or omission, and deliver a copy of such supplement or amendment to the Shareholders (or such other number of copies as a Shareholder may reasonably request). The Company shall also promptly notify the Shareholders in writing (i) when a prospectus or any prospectus supplement or post-effective amendment has been filed, and when a Registration Statement or any post-effective amendment has become effective (notification of such effectiveness shall be delivered to the Shareholders by email or facsimile on the same day of such effectiveness and by overnight mail), (ii) of any request by the SEC for amendments or supplements to any Registration Statement or related prospectus or related information, and (iii) of the Company’s reasonable determination that a post-effective amendment to a Registration Statement would be appropriate.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6" w:name="page87"/>
    <w:bookmarkEnd w:id="86"/>
    <w:p>
      <w:pPr>
        <w:jc w:val="both"/>
        <w:ind w:left="-20" w:firstLine="1304"/>
        <w:spacing w:after="0" w:line="261" w:lineRule="auto"/>
        <w:tabs>
          <w:tab w:leader="none" w:pos="180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prevent the issuance of any stop order or other suspension of effectiveness of any Registration Statement, or the suspension of the qualification of any Registrable Securities for sale in any jurisdiction and, if such an order or suspension is issued, to obtain the withdrawal of such order or suspension at the earliest possible moment and to notify the Shareholders of the issuance of such order and the resolution thereof or its receipt of actual notice of the initiation or threat of any proceeding for such purpose.</w:t>
      </w:r>
    </w:p>
    <w:p>
      <w:pPr>
        <w:spacing w:after="0" w:line="179" w:lineRule="exact"/>
        <w:rPr>
          <w:rFonts w:ascii="Times New Roman" w:cs="Times New Roman" w:eastAsia="Times New Roman" w:hAnsi="Times New Roman"/>
          <w:sz w:val="18"/>
          <w:szCs w:val="18"/>
          <w:color w:val="auto"/>
        </w:rPr>
      </w:pPr>
    </w:p>
    <w:p>
      <w:pPr>
        <w:jc w:val="both"/>
        <w:ind w:left="-20" w:firstLine="1304"/>
        <w:spacing w:after="0" w:line="261" w:lineRule="auto"/>
        <w:tabs>
          <w:tab w:leader="none" w:pos="182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(i) cause all the Registrable Securities to be listed on each securities exchange on which securities of the same class or series issued by the Company are then listed, if any, if the listing of such Registrable Securities is then permitted under the rules of such exchange, or (ii) secure designation and quotation of all the Registrable Securities on Nasdaq. The Company shall pay all fees and expenses in connection with satisfying its obligations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89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cooperate with the Shareholders to facilitate the timely preparation and delivery of certificates (not bearing any restrictive legend) representing the Registrable Securities to be offered pursuant to any registration statement and enable such certificates to be in such denominations or amounts as the Shareholders may reasonably request and registered in such names as the Shareholders may request.</w:t>
      </w:r>
    </w:p>
    <w:p>
      <w:pPr>
        <w:spacing w:after="0" w:line="175" w:lineRule="exact"/>
        <w:rPr>
          <w:rFonts w:ascii="Times New Roman" w:cs="Times New Roman" w:eastAsia="Times New Roman" w:hAnsi="Times New Roman"/>
          <w:sz w:val="18"/>
          <w:szCs w:val="18"/>
          <w:color w:val="auto"/>
        </w:rPr>
      </w:pPr>
    </w:p>
    <w:p>
      <w:pPr>
        <w:ind w:left="1780" w:hanging="496"/>
        <w:spacing w:after="0"/>
        <w:tabs>
          <w:tab w:leader="none" w:pos="17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all times provide a transfer agent and registrar with respect to its Common Stock.</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56" w:lineRule="auto"/>
        <w:tabs>
          <w:tab w:leader="none" w:pos="185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reasonably requested by the Shareholders, the Company shall (i) immediately incorporate in a prospectus supplement or post-effective amendment such information as the Shareholders believe should be included therein relating to the sale and distribution of Registrable Securities, including, without limitation, information with respect to the number of Registrable Securities being sold, the purchase price being paid therefor and any other terms of the offering of the Registrable Securities; (ii) make all required filings of such prospectus supplement or post-effective amendment as soon as practicable upon notification of the matters to be incorporated in such prospectus supplement or post-effective amendment; and (iii) supplement or make amendments to any Registration Statement.</w:t>
      </w:r>
    </w:p>
    <w:p>
      <w:pPr>
        <w:spacing w:after="0" w:line="187"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83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cause the Registrable Securities covered by any Registration Statement to be registered with or approved by such other governmental agencies or authorities as may be necessary to consummate the disposition of such Registrable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87" w:name="page88"/>
    <w:bookmarkEnd w:id="87"/>
    <w:p>
      <w:pPr>
        <w:ind w:left="1800" w:hanging="496"/>
        <w:spacing w:after="0"/>
        <w:tabs>
          <w:tab w:leader="none" w:pos="180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notify the Shareholders by facsimile or e-mail as promptly as practicable, and in any event, within twenty-four</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34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hours, after any Registration Statement is declared effective and shall simultaneously provide the Shareholders with copies of any related prospectus to be used in connection with the sale or other disposition of the securities covered thereby. Thereafter, if requested by the Shareholders at any time, the Company shall require its counsel to deliver to the Shareholders a written confirmation whether or not the effectiveness of such Registration Statement has lapsed at any time for any reason (including, without limitation, the issuance of a stop order) and whether or not the registration statement is current and available to the Shareholders for sale of all of the Registrable Securities.</w:t>
      </w:r>
    </w:p>
    <w:p>
      <w:pPr>
        <w:spacing w:after="0" w:line="186"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62"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one (1) Business Day after any Registration Statement which includes the Registrable Securities is ordered effective by the SEC, the Company shall deliver, and shall cause legal counsel for the Company to deliver, to the transfer agent for such Registrable Securities (with copies to the Shareholder Representative) confirmation that such registration statement has been declared effective by the SEC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Thereafter, if requested by any Shareholder at any time, the Company shall require its counsel to deliver to the Shareholder a written confirmation whether or not the effectiveness of such registration statement has lapsed at any time for any reason (including, without limitation, the issuance of a stop order) and whether or not the registration statement is current and available for sale of all of the Registrable Securities.</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2029"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all other reasonable actions necessary to expedite and facilitate disposition by the Shareholders of Registrable Securities pursuant to any registration statement.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08"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Registration Statement or prospectus will contain any untrue statement of a material fact or omit to state a material fact required to be stated therein or necessary to make the statements therein, in light of the circumstances under which they were made, not misleading.</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SHAREHOLDERS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30"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Shareholder agrees to complete and deliver to the Company the Selling Stockholder Questionnaire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In addition to the information provided by each Shareholder in the Selling Stockholder Questionnaire, the Company shall notify the Shareholders in writing of the information the Company reasonably requires from any Shareholder in connection with any registration statement hereunder. Each Shareholders shall furnish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2069"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agrees to cooperate with the Company as reasonably requested by the Company in connection with the preparation and filing of any registration statement hereunder.</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45"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Shareholder agrees that, upon receipt of any notice from the Company of the happening of any event or existence of facts of the kind described in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or the first sentence of </w:t>
      </w:r>
      <w:r>
        <w:rPr>
          <w:rFonts w:ascii="Times New Roman" w:cs="Times New Roman" w:eastAsia="Times New Roman" w:hAnsi="Times New Roman"/>
          <w:sz w:val="18"/>
          <w:szCs w:val="18"/>
          <w:u w:val="single" w:color="auto"/>
          <w:color w:val="auto"/>
        </w:rPr>
        <w:t>3(e)</w:t>
      </w:r>
      <w:r>
        <w:rPr>
          <w:rFonts w:ascii="Times New Roman" w:cs="Times New Roman" w:eastAsia="Times New Roman" w:hAnsi="Times New Roman"/>
          <w:sz w:val="18"/>
          <w:szCs w:val="18"/>
          <w:color w:val="auto"/>
        </w:rPr>
        <w:t xml:space="preserve">, such Shareholder will immediately discontinue disposition of Registrable Securities pursuant to any registration statement(s) covering such Registrable Securities until the Shareholder’s receipt of the copies of the supplemented or amended prospectus contemplated by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or the first sentence of Section </w:t>
      </w:r>
      <w:r>
        <w:rPr>
          <w:rFonts w:ascii="Times New Roman" w:cs="Times New Roman" w:eastAsia="Times New Roman" w:hAnsi="Times New Roman"/>
          <w:sz w:val="18"/>
          <w:szCs w:val="18"/>
          <w:u w:val="single" w:color="auto"/>
          <w:color w:val="auto"/>
        </w:rPr>
        <w:t>3(e)</w:t>
      </w:r>
      <w:r>
        <w:rPr>
          <w:rFonts w:ascii="Times New Roman" w:cs="Times New Roman" w:eastAsia="Times New Roman" w:hAnsi="Times New Roman"/>
          <w:sz w:val="18"/>
          <w:szCs w:val="18"/>
          <w:color w:val="auto"/>
        </w:rPr>
        <w:t xml:space="preserve">. Notwithstanding anything to the contrary, the Company shall cause its transfer agent to promptly deliver shares of Common Stock without any restrictive legend in connection with any sale of Registrable Securities with respect to which any such Shareholder has entered into a contract for sale prior to the Company's knowledge of and subsequent issuance of a notice from the Company to the Shareholder of the happening of any event of the kind described in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or the first sentence of </w:t>
      </w:r>
      <w:r>
        <w:rPr>
          <w:rFonts w:ascii="Times New Roman" w:cs="Times New Roman" w:eastAsia="Times New Roman" w:hAnsi="Times New Roman"/>
          <w:sz w:val="18"/>
          <w:szCs w:val="18"/>
          <w:u w:val="single" w:color="auto"/>
          <w:color w:val="auto"/>
        </w:rPr>
        <w:t>3(e)</w:t>
      </w:r>
      <w:r>
        <w:rPr>
          <w:rFonts w:ascii="Times New Roman" w:cs="Times New Roman" w:eastAsia="Times New Roman" w:hAnsi="Times New Roman"/>
          <w:sz w:val="18"/>
          <w:szCs w:val="18"/>
          <w:color w:val="auto"/>
        </w:rPr>
        <w:t>, and for which the Shareholder has not yet settled.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8" w:name="page89"/>
    <w:bookmarkEnd w:id="88"/>
    <w:p>
      <w:pPr>
        <w:ind w:left="1340" w:hanging="684"/>
        <w:spacing w:after="0"/>
        <w:tabs>
          <w:tab w:leader="none" w:pos="1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All reasonable expenses, other than sales or brokerage commissions, incurred in connection with registrations, filings or qualifications pursuant to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including, without limitation, all registration, listing and qualifications fees, printers and accounting fees, and fees and disbursements of counsel for the Company, shall be paid by the Company.</w:t>
      </w:r>
    </w:p>
    <w:p>
      <w:pPr>
        <w:spacing w:after="0" w:line="176" w:lineRule="exact"/>
        <w:rPr>
          <w:sz w:val="20"/>
          <w:szCs w:val="20"/>
          <w:color w:val="auto"/>
        </w:rPr>
      </w:pPr>
    </w:p>
    <w:p>
      <w:pPr>
        <w:ind w:left="1280" w:hanging="624"/>
        <w:spacing w:after="0"/>
        <w:tabs>
          <w:tab w:leader="none" w:pos="12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color w:val="auto"/>
        </w:rPr>
        <w:t>Indemnification by the Company.</w:t>
      </w:r>
    </w:p>
    <w:p>
      <w:pPr>
        <w:spacing w:after="0" w:line="225" w:lineRule="exact"/>
        <w:rPr>
          <w:rFonts w:ascii="Times New Roman" w:cs="Times New Roman" w:eastAsia="Times New Roman" w:hAnsi="Times New Roman"/>
          <w:sz w:val="18"/>
          <w:szCs w:val="18"/>
          <w:color w:val="auto"/>
        </w:rPr>
      </w:pPr>
    </w:p>
    <w:p>
      <w:pPr>
        <w:ind w:left="660" w:right="180" w:firstLine="1292"/>
        <w:spacing w:after="0" w:line="254" w:lineRule="auto"/>
        <w:tabs>
          <w:tab w:leader="none" w:pos="2228"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the Company will, and hereby does, indemnify, hold harmless and defend each Shareholder and each Person, if any, who controls such Shareholder, the members, the directors, officers, partners, employees, agents, representatives of such Shareholder and each Person, if any, who controls such Shareholder within the meaning of the Securities Act or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(each,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against any losses, claims, damages, liabilities, judgments, fines, penalties, charges, costs, attorneys' fees, amounts paid in settlement or expenses, joint or several,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party is or may be a party thereto (“</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to which any of them may become subject insofar as such Claims (or actions or proceedings, whether commenced or threatened, in respect thereof) arise out of or are based upon:</w:t>
      </w:r>
    </w:p>
    <w:p>
      <w:pPr>
        <w:spacing w:after="0" w:line="188" w:lineRule="exact"/>
        <w:rPr>
          <w:rFonts w:ascii="Times New Roman" w:cs="Times New Roman" w:eastAsia="Times New Roman" w:hAnsi="Times New Roman"/>
          <w:sz w:val="18"/>
          <w:szCs w:val="18"/>
          <w:color w:val="auto"/>
        </w:rPr>
      </w:pPr>
    </w:p>
    <w:p>
      <w:pPr>
        <w:jc w:val="both"/>
        <w:ind w:left="1300" w:firstLine="1300"/>
        <w:spacing w:after="0" w:line="261" w:lineRule="auto"/>
        <w:tabs>
          <w:tab w:leader="none" w:pos="3297" w:val="left"/>
        </w:tabs>
        <w:numPr>
          <w:ilvl w:val="3"/>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in any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 w:cs="Times New Roman" w:eastAsia="Times New Roman" w:hAnsi="Times New Roman"/>
          <w:sz w:val="18"/>
          <w:szCs w:val="18"/>
          <w:u w:val="single" w:color="auto"/>
          <w:color w:val="auto"/>
        </w:rPr>
        <w:t>Blue Sky Filing</w:t>
      </w:r>
      <w:r>
        <w:rPr>
          <w:rFonts w:ascii="Times New Roman" w:cs="Times New Roman" w:eastAsia="Times New Roman" w:hAnsi="Times New Roman"/>
          <w:sz w:val="18"/>
          <w:szCs w:val="18"/>
          <w:color w:val="auto"/>
        </w:rPr>
        <w:t>”), or the omission or alleged omission to state a material fact required to be stated therein or necessary to make the statements therein not misleading;</w:t>
      </w:r>
    </w:p>
    <w:p>
      <w:pPr>
        <w:spacing w:after="0" w:line="179" w:lineRule="exact"/>
        <w:rPr>
          <w:rFonts w:ascii="Times New Roman" w:cs="Times New Roman" w:eastAsia="Times New Roman" w:hAnsi="Times New Roman"/>
          <w:sz w:val="18"/>
          <w:szCs w:val="18"/>
          <w:color w:val="auto"/>
        </w:rPr>
      </w:pPr>
    </w:p>
    <w:p>
      <w:pPr>
        <w:jc w:val="both"/>
        <w:ind w:left="1300" w:firstLine="1300"/>
        <w:spacing w:after="0" w:line="261" w:lineRule="auto"/>
        <w:tabs>
          <w:tab w:leader="none" w:pos="3450" w:val="left"/>
        </w:tabs>
        <w:numPr>
          <w:ilvl w:val="3"/>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9" w:name="page90"/>
    <w:bookmarkEnd w:id="89"/>
    <w:p>
      <w:pPr>
        <w:jc w:val="both"/>
        <w:ind w:left="640" w:firstLine="1300"/>
        <w:spacing w:after="0" w:line="266" w:lineRule="auto"/>
        <w:tabs>
          <w:tab w:leader="none" w:pos="2712"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 or alleged violation by the Company of the Securities Act, the Exchange Act, any other law, including, without limitation, any state securities law, or any rule or regulation thereunder relating to the offer or sale of the Registrable Securities pursuant to the Registration Statement or any New Registration Statement; or</w:t>
      </w:r>
    </w:p>
    <w:p>
      <w:pPr>
        <w:spacing w:after="0" w:line="175" w:lineRule="exact"/>
        <w:rPr>
          <w:rFonts w:ascii="Times New Roman" w:cs="Times New Roman" w:eastAsia="Times New Roman" w:hAnsi="Times New Roman"/>
          <w:sz w:val="18"/>
          <w:szCs w:val="18"/>
          <w:color w:val="auto"/>
        </w:rPr>
      </w:pPr>
    </w:p>
    <w:p>
      <w:pPr>
        <w:ind w:left="2720" w:hanging="780"/>
        <w:spacing w:after="0"/>
        <w:tabs>
          <w:tab w:leader="none" w:pos="2720"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violation by the Company of this Agreement (the matters in the foregoing clauses (A) through</w:t>
      </w:r>
    </w:p>
    <w:p>
      <w:pPr>
        <w:spacing w:after="0" w:line="27" w:lineRule="exact"/>
        <w:rPr>
          <w:rFonts w:ascii="Times New Roman" w:cs="Times New Roman" w:eastAsia="Times New Roman" w:hAnsi="Times New Roman"/>
          <w:sz w:val="18"/>
          <w:szCs w:val="18"/>
          <w:color w:val="auto"/>
        </w:rPr>
      </w:pPr>
    </w:p>
    <w:p>
      <w:pPr>
        <w:ind w:left="940" w:hanging="296"/>
        <w:spacing w:after="0"/>
        <w:tabs>
          <w:tab w:leader="none" w:pos="9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collectively, “</w:t>
      </w:r>
      <w:r>
        <w:rPr>
          <w:rFonts w:ascii="Times New Roman" w:cs="Times New Roman" w:eastAsia="Times New Roman" w:hAnsi="Times New Roman"/>
          <w:sz w:val="18"/>
          <w:szCs w:val="18"/>
          <w:u w:val="single" w:color="auto"/>
          <w:color w:val="auto"/>
        </w:rPr>
        <w:t>Violations</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920" w:hanging="628"/>
        <w:spacing w:after="0"/>
        <w:tabs>
          <w:tab w:leader="none" w:pos="19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reimburse each Indemnified Person promptly as such Damagesare incurred.</w:t>
      </w:r>
    </w:p>
    <w:p>
      <w:pPr>
        <w:spacing w:after="0" w:line="225" w:lineRule="exact"/>
        <w:rPr>
          <w:rFonts w:ascii="Times New Roman" w:cs="Times New Roman" w:eastAsia="Times New Roman" w:hAnsi="Times New Roman"/>
          <w:sz w:val="18"/>
          <w:szCs w:val="18"/>
          <w:color w:val="auto"/>
        </w:rPr>
      </w:pPr>
    </w:p>
    <w:p>
      <w:pPr>
        <w:ind w:left="2080" w:hanging="788"/>
        <w:spacing w:after="0"/>
        <w:tabs>
          <w:tab w:leader="none" w:pos="20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the indemnification agreement contained in this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6(a)</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640" w:firstLine="1300"/>
        <w:spacing w:after="0" w:line="256" w:lineRule="auto"/>
        <w:tabs>
          <w:tab w:leader="none" w:pos="274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liable for any Damages to the extent that they arise out of or are based upon the actions or omissions made in reliance upon and in conformity with written information provided by or on behalf of such Indemnified Person for use in connection with such registration not apply to a Claim by an Indemnified Person arising out of or based upon a Violation which occurs in reliance upon and in conformity with information about such Shareholder furnished in writing to the Company by such Indemnified Person expressly for use in connection with the preparation of any Registration Statement or any such amendment thereof or supplement thereto, if such prospectus was timely made available by the Company pursuant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640" w:firstLine="1300"/>
        <w:spacing w:after="0" w:line="256" w:lineRule="auto"/>
        <w:tabs>
          <w:tab w:leader="none" w:pos="26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superseded prospectus, shall not inure to the benefit of any such person from whom the person asserting any such Claim purchased the Registrable Securities that are the subject thereof (or to the benefit of any person controlling such person) if the untrue statement or omission of material fact contained in the superseded prospectus was corrected in the revised prospectus, as then amended or supplemented, if such revised prospectus was timely made available by the Company pursuant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and the Indemnified Person was promptly advised in writing not to use the incorrect prospectus prior to the use giving rise to a violation and such Indemnified Person, notwithstanding such advice, used it;</w:t>
      </w:r>
    </w:p>
    <w:p>
      <w:pPr>
        <w:spacing w:after="0" w:line="187" w:lineRule="exact"/>
        <w:rPr>
          <w:rFonts w:ascii="Times New Roman" w:cs="Times New Roman" w:eastAsia="Times New Roman" w:hAnsi="Times New Roman"/>
          <w:sz w:val="18"/>
          <w:szCs w:val="18"/>
          <w:color w:val="auto"/>
        </w:rPr>
      </w:pPr>
    </w:p>
    <w:p>
      <w:pPr>
        <w:jc w:val="both"/>
        <w:ind w:left="640" w:firstLine="1300"/>
        <w:spacing w:after="0" w:line="266" w:lineRule="auto"/>
        <w:tabs>
          <w:tab w:leader="none" w:pos="258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be available to the extent such Claim is based on a failure of the Shareholders to deliver or to cause to be delivered the prospectus made available by the Company, if such prospectus was timely made available by the Company pursuant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jc w:val="both"/>
        <w:ind w:left="640" w:firstLine="1300"/>
        <w:spacing w:after="0" w:line="261" w:lineRule="auto"/>
        <w:tabs>
          <w:tab w:leader="none" w:pos="273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Shareholder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90" w:name="page91"/>
    <w:bookmarkEnd w:id="90"/>
    <w:p>
      <w:pPr>
        <w:ind w:left="1280" w:hanging="636"/>
        <w:spacing w:after="0"/>
        <w:tabs>
          <w:tab w:leader="none" w:pos="12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by Shareholders.</w:t>
      </w:r>
    </w:p>
    <w:p>
      <w:pPr>
        <w:spacing w:after="0" w:line="225" w:lineRule="exact"/>
        <w:rPr>
          <w:rFonts w:ascii="Times New Roman" w:cs="Times New Roman" w:eastAsia="Times New Roman" w:hAnsi="Times New Roman"/>
          <w:sz w:val="18"/>
          <w:szCs w:val="18"/>
          <w:color w:val="auto"/>
        </w:rPr>
      </w:pPr>
    </w:p>
    <w:p>
      <w:pPr>
        <w:jc w:val="both"/>
        <w:ind w:firstLine="1292"/>
        <w:spacing w:after="0" w:line="254" w:lineRule="auto"/>
        <w:tabs>
          <w:tab w:leader="none" w:pos="1989"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Registration Statement, each Shareholder, severally, and not jointly, agrees to indemnify, hold harmless and defend, to the same extent and in the same manner as is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the Company, each of its directors, each of its officers who signs any Registration Statement, each Person, if any, who controls the Company within the meaning of the Securities Act or the Exchange Act (collectively and together with an Indemnified Person,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against any Claim or Damages to which any of them may become subject, under the Securities Act, the Exchange Act or otherwise, insofar as such Claim or Damages arise out of or are based upon any Violation, in each case to the extent, and only to the extent, that such Violation occurs in reliance upon and in conformity with written information about such Shareholder and furnished to the Company by such Shareholder expressly for use in connection with such Registration Statement; and, subject to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such Shareholder will reimburse any legal or other expenses reasonably incurred by them in connection with investigating or defending any such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88" w:lineRule="exact"/>
        <w:rPr>
          <w:rFonts w:ascii="Times New Roman" w:cs="Times New Roman" w:eastAsia="Times New Roman" w:hAnsi="Times New Roman"/>
          <w:sz w:val="18"/>
          <w:szCs w:val="18"/>
          <w:color w:val="auto"/>
        </w:rPr>
      </w:pPr>
    </w:p>
    <w:p>
      <w:pPr>
        <w:jc w:val="both"/>
        <w:ind w:left="640" w:firstLine="1300"/>
        <w:spacing w:after="0" w:line="266" w:lineRule="auto"/>
        <w:tabs>
          <w:tab w:leader="none" w:pos="2834"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indemnity agreement contained in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and the agreement with respect to contribution contained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not apply to amounts paid in settlement of any Claim if such settlement is effected without the prior written consent of the Shareholders, which consent shall not be unreasonably withheld; and</w:t>
      </w:r>
    </w:p>
    <w:p>
      <w:pPr>
        <w:spacing w:after="0" w:line="175" w:lineRule="exact"/>
        <w:rPr>
          <w:rFonts w:ascii="Times New Roman" w:cs="Times New Roman" w:eastAsia="Times New Roman" w:hAnsi="Times New Roman"/>
          <w:sz w:val="18"/>
          <w:szCs w:val="18"/>
          <w:color w:val="auto"/>
        </w:rPr>
      </w:pPr>
    </w:p>
    <w:p>
      <w:pPr>
        <w:jc w:val="both"/>
        <w:ind w:left="640" w:firstLine="1300"/>
        <w:spacing w:after="0" w:line="266" w:lineRule="auto"/>
        <w:tabs>
          <w:tab w:leader="none" w:pos="2793"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Shareholders shall be liable under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for only that amount of a Claim or Indemnified Damages as does not exceed the net proceeds to the Shareholders as a result of the sale of Registrable Securities pursuant to such registration statement.</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Such indemnity shall remain in full force and effect regardless of any investigation made by or on behalf of such Indemnified Party and shall survive the transfer of the Registrable Securities by the Shareholders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60" w:hanging="616"/>
        <w:spacing w:after="0"/>
        <w:tabs>
          <w:tab w:leader="none" w:pos="12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Claims.</w:t>
      </w:r>
    </w:p>
    <w:p>
      <w:pPr>
        <w:spacing w:after="0" w:line="225" w:lineRule="exact"/>
        <w:rPr>
          <w:rFonts w:ascii="Times New Roman" w:cs="Times New Roman" w:eastAsia="Times New Roman" w:hAnsi="Times New Roman"/>
          <w:sz w:val="18"/>
          <w:szCs w:val="18"/>
          <w:color w:val="auto"/>
        </w:rPr>
      </w:pPr>
    </w:p>
    <w:p>
      <w:pPr>
        <w:ind w:right="20" w:firstLine="1296"/>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 Promptly after receipt by an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w:t>
      </w:r>
    </w:p>
    <w:p>
      <w:pPr>
        <w:spacing w:after="0" w:line="19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91" w:name="page92"/>
    <w:bookmarkEnd w:id="91"/>
    <w:p>
      <w:pPr>
        <w:jc w:val="both"/>
        <w:ind w:left="660" w:firstLine="1292"/>
        <w:spacing w:after="0" w:line="266" w:lineRule="auto"/>
        <w:tabs>
          <w:tab w:leader="none" w:pos="2571"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Indemnified Party or Indemnified Person shall cooperate fully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69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 shall keep the Indemnified Party or Indemnified Person fully apprised at all times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2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indemnifying party shall, without the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4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indemnification as provided for hereunder, the indemnifying party shall be subrogated to all rights of the Indemnified Party or Indemnified Person with respect to all third parties, firms or corporations relating to the matter for which indemnification has been made.</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4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except to the extent that the indemnifying party is prejudiced in its ability to defend such action.</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85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required by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made by periodic payments of the amount thereof during the course of the investigation or defense, as and when bills are received or Damages are incurred.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4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2" w:name="page93"/>
    <w:bookmarkEnd w:id="92"/>
    <w:p>
      <w:pPr>
        <w:ind w:left="1280" w:hanging="624"/>
        <w:spacing w:after="0"/>
        <w:tabs>
          <w:tab w:leader="none" w:pos="12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received by such seller from the sale of such Registrable Securities.</w:t>
      </w:r>
    </w:p>
    <w:p>
      <w:pPr>
        <w:spacing w:after="0" w:line="183" w:lineRule="exact"/>
        <w:rPr>
          <w:sz w:val="20"/>
          <w:szCs w:val="20"/>
          <w:color w:val="auto"/>
        </w:rPr>
      </w:pPr>
    </w:p>
    <w:p>
      <w:pPr>
        <w:ind w:left="1280" w:hanging="624"/>
        <w:spacing w:after="0"/>
        <w:tabs>
          <w:tab w:leader="none" w:pos="12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AND DISCLOSURE UNDER THE SECURITIES 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Notwithstanding the Company’s obligations to maintain an effective Registration Statement during the Registration Period, with a view to making available to the Shareholders the benefits of Rule 144 promulgated under the Securities Act or any other similar rule or regulation of the SEC that may at any time permit the Shareholders to sell securities of the Company to the public without registration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the Company agrees, at the Company’s sole expense, to:</w:t>
      </w:r>
    </w:p>
    <w:p>
      <w:pPr>
        <w:spacing w:after="0" w:line="180" w:lineRule="exact"/>
        <w:rPr>
          <w:sz w:val="20"/>
          <w:szCs w:val="20"/>
          <w:color w:val="auto"/>
        </w:rPr>
      </w:pPr>
    </w:p>
    <w:p>
      <w:pPr>
        <w:ind w:left="1840" w:hanging="536"/>
        <w:spacing w:after="0"/>
        <w:tabs>
          <w:tab w:leader="none" w:pos="18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available, as those terms are understood and defined in Rule 144;</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0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SEC in a timely manner all reports and other documents required of the Company under the Securities Act and the Exchange Act so long as the Company remains subject to such requirements and the filing of such reports and other documents is required for the applicable provisions of Rule 144;</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2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Shareholders so long as the Shareholders owns Registrable Securities, promptly upon request, (i) a written statement by the Company that it has complied with the reporting and or disclosure provisions of Rule 144, the Securities Act and the Exchange Act, (ii) a copy of the most recent annual or quarterly report of the Company and such other reports and documents so filed by the Company, and (iii) such other information as may be reasonably requested to permit the Shareholders to sell such securities pursuant to Rule 144 without registration;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2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additional action as is requested by the Shareholders to enable the Shareholders to sell the Registrable Securities pursuant to Rule 144, including, without limitation, promptly delivering all such legal opinions, consents, certificates, resolutions and instructions to the Company’s Transfer Agent as may be requested from time to time by the Shareholders and otherwise fully cooperate with each Shareholder and such Shareholder’s broker to effect such sale of securities pursuant to Rule 144.</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The Company agrees that damages may be an inadequate remedy for any breach of the terms and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that Shareholders shall, whether or not it is pursuing any remedies at law, be entitled to equitable relief in the form of a preliminary or permanent injunctions, without having to post any bond or other security, upon any breach or threatened breach of any such terms or provisions.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3" w:name="page94"/>
    <w:bookmarkEnd w:id="93"/>
    <w:p>
      <w:pPr>
        <w:ind w:left="1340" w:hanging="684"/>
        <w:spacing w:after="0"/>
        <w:tabs>
          <w:tab w:leader="none" w:pos="1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Company shall not assign this Agreement or any rights or obligations hereunder without the prior written consent of the Shareholders. The Shareholders may not assign their rights under this Agreement without the written consent of the Company.</w:t>
      </w:r>
    </w:p>
    <w:p>
      <w:pPr>
        <w:spacing w:after="0" w:line="162" w:lineRule="exact"/>
        <w:rPr>
          <w:sz w:val="20"/>
          <w:szCs w:val="20"/>
          <w:color w:val="auto"/>
        </w:rPr>
      </w:pPr>
    </w:p>
    <w:p>
      <w:pPr>
        <w:ind w:left="1340" w:hanging="684"/>
        <w:spacing w:after="0"/>
        <w:tabs>
          <w:tab w:leader="none" w:pos="1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 provision of this Agreement may be amended or waived by the parties from and after the date that is one Business Day immediately preceding the initial filing of the Registration Statement with the SEC. Subject to the immediately preceding sentence, no provision of this Agreement may be (i) amended other than by a written instrument signed by both parties hereto or (ii) waived other than in a written instrument signed by the party against whom enforcement of such waiver is sought. Failure of any party to exercise any right or remedy under this Agreement or otherwise, or delay by a party in exercising such right or remedy, shall not operate as a waiver thereof.</w:t>
      </w:r>
    </w:p>
    <w:p>
      <w:pPr>
        <w:spacing w:after="0" w:line="183" w:lineRule="exact"/>
        <w:rPr>
          <w:sz w:val="20"/>
          <w:szCs w:val="20"/>
          <w:color w:val="auto"/>
        </w:rPr>
      </w:pPr>
    </w:p>
    <w:p>
      <w:pPr>
        <w:ind w:left="1320" w:hanging="664"/>
        <w:spacing w:after="0"/>
        <w:tabs>
          <w:tab w:leader="none" w:pos="1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3"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the registered owner of such Registrable Securities.</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3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notices, consents, waivers or other communications required or permitted to be given under the terms of this Agreement must be in writing and will be deemed to have been delivered: (i) upon receipt, when delivered personally; (ii) upon receipt, when sent by facsimile or email (provided confirmation of transmission is mechanically or electronically generated and kept on file by the sending party); or (iii) one (1) Business Day after deposit with a nationally recognized overnight delivery service, in each case properly addressed to the party to receive the same. The addresses for such communications shall be: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343 Allerton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Shawn Singh, Chief Executive Officer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 (which shall not constitute notice or service of process):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Disclosure Law Group, a Professional Corporation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655 West Broadway, Suite 870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Diego, CA 92101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Daniel W. Rumsey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drumsey@disclosurelawgroup.com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18"/>
          <w:szCs w:val="18"/>
          <w:color w:val="auto"/>
        </w:rPr>
        <w:t>If to the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291465</wp:posOffset>
            </wp:positionV>
            <wp:extent cx="10629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437515</wp:posOffset>
            </wp:positionV>
            <wp:extent cx="10629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582930</wp:posOffset>
            </wp:positionV>
            <wp:extent cx="10629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728980</wp:posOffset>
            </wp:positionV>
            <wp:extent cx="10629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 (which shall not constitute notice or service of process):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Klinedinst PC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501 W Broadway, Suite 600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Diego, CA 92101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James D. Snyder, Esq.</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or at such other address and/or facsimile number and/or to the attention of such other person as the recipient party has specified by written notice given to each other party three (3) Business Days prior to the effectiveness of such change. Written confirmation of receipt (A) given by the recipient of such notice, consent, waiver or other communication, (B) mechanically or electronically generated by the sender's facsimile machine or email account containing the time, date, recipient facsimile number or email address, as applicable, and an image of the first page of such transmission or (C) provided by a nationally recognized overnight delivery service, shall be rebuttable evidence of personal service, receipt by facsimile or receipt from a nationally recognized overnight delivery service in accordance with clause (i), (ii) or (iii) above, respectively.</w:t>
      </w:r>
    </w:p>
    <w:p>
      <w:pPr>
        <w:spacing w:after="0" w:line="187" w:lineRule="exact"/>
        <w:rPr>
          <w:sz w:val="20"/>
          <w:szCs w:val="20"/>
          <w:color w:val="auto"/>
        </w:rPr>
      </w:pPr>
    </w:p>
    <w:p>
      <w:pPr>
        <w:jc w:val="both"/>
        <w:ind w:firstLine="1304"/>
        <w:spacing w:after="0" w:line="252" w:lineRule="auto"/>
        <w:tabs>
          <w:tab w:leader="none" w:pos="204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corporate laws of the State of Delaware shall govern all issues concerning the relative rights of the Company and its stockholders. All other questions concerning the construction, validity, enforcement and interpretation of this Agreement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Each party hereby irrevocably submits to the exclusive jurisdiction of the state and federal courts sitting the State of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w:t>
      </w:r>
      <w:r>
        <w:rPr>
          <w:rFonts w:ascii="Times New Roman" w:cs="Times New Roman" w:eastAsia="Times New Roman" w:hAnsi="Times New Roman"/>
          <w:sz w:val="18"/>
          <w:szCs w:val="18"/>
          <w:b w:val="1"/>
          <w:bCs w:val="1"/>
          <w:color w:val="auto"/>
        </w:rPr>
        <w:t>EACH PARTY HEREBY IRREVOCABLY WAIVES ANY</w:t>
      </w:r>
    </w:p>
    <w:p>
      <w:pPr>
        <w:spacing w:after="0" w:line="1"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IT MAY HAVE, AND AGREES NOT TO REQUEST, A JURY TRIAL FOR THE ADJUDICATION OF ANY DISPUTE HEREUNDER OR IN CONNECTION HEREWITH OR ARISING OUT OF THIS AGREEMENT OR ANY TRANSACTION CONTEMPLATED HEREBY.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5" w:name="page96"/>
    <w:bookmarkEnd w:id="95"/>
    <w:p>
      <w:pPr>
        <w:jc w:val="both"/>
        <w:ind w:left="-20" w:firstLine="1304"/>
        <w:spacing w:after="0" w:line="261" w:lineRule="auto"/>
        <w:tabs>
          <w:tab w:leader="none" w:pos="189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Merger Agreement constitute the entire agreement among the parties hereto with respect to the subject matter hereof and thereof. There are no restrictions, promises, warranties or undertakings, other than those set forth or referred to herein and therein Lockup Agreement. This Agreement and the Merger Agreement supersede all prior agreements and understandings among the parties hereto with respect to the subject matter hereof and thereof.</w:t>
      </w:r>
    </w:p>
    <w:p>
      <w:pPr>
        <w:spacing w:after="0" w:line="179" w:lineRule="exact"/>
        <w:rPr>
          <w:rFonts w:ascii="Times New Roman" w:cs="Times New Roman" w:eastAsia="Times New Roman" w:hAnsi="Times New Roman"/>
          <w:sz w:val="18"/>
          <w:szCs w:val="18"/>
          <w:color w:val="auto"/>
        </w:rPr>
      </w:pPr>
    </w:p>
    <w:p>
      <w:pPr>
        <w:ind w:left="-20" w:right="20" w:firstLine="1304"/>
        <w:spacing w:after="0" w:line="282" w:lineRule="auto"/>
        <w:tabs>
          <w:tab w:leader="none" w:pos="193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requirements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hereto.</w:t>
      </w:r>
    </w:p>
    <w:p>
      <w:pPr>
        <w:spacing w:after="0" w:line="161" w:lineRule="exact"/>
        <w:rPr>
          <w:rFonts w:ascii="Times New Roman" w:cs="Times New Roman" w:eastAsia="Times New Roman" w:hAnsi="Times New Roman"/>
          <w:sz w:val="18"/>
          <w:szCs w:val="18"/>
          <w:color w:val="auto"/>
        </w:rPr>
      </w:pPr>
    </w:p>
    <w:p>
      <w:pPr>
        <w:ind w:left="1800" w:hanging="516"/>
        <w:spacing w:after="0"/>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in this Agreement are for convenience of reference only and shall not limit or otherwise affect the meaning hereof.</w:t>
      </w:r>
    </w:p>
    <w:p>
      <w:pPr>
        <w:spacing w:after="0" w:line="225" w:lineRule="exact"/>
        <w:rPr>
          <w:rFonts w:ascii="Times New Roman" w:cs="Times New Roman" w:eastAsia="Times New Roman" w:hAnsi="Times New Roman"/>
          <w:sz w:val="18"/>
          <w:szCs w:val="18"/>
          <w:color w:val="auto"/>
        </w:rPr>
      </w:pPr>
    </w:p>
    <w:p>
      <w:pPr>
        <w:jc w:val="both"/>
        <w:ind w:left="-20" w:right="20" w:firstLine="1304"/>
        <w:spacing w:after="0" w:line="266" w:lineRule="auto"/>
        <w:tabs>
          <w:tab w:leader="none" w:pos="196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identical counterparts, each of which shall be deemed an original but all of which shall constitute one and the same agreement. This Agreement, once executed by a party, may be delivered to the other party hereto by facsimile transmission or by e-mail in a “.pdf” format data file of a copy of this Agreement bearing the signature of the party so delivering this Agreement.</w:t>
      </w:r>
    </w:p>
    <w:p>
      <w:pPr>
        <w:spacing w:after="0" w:line="175"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82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5" w:lineRule="exact"/>
        <w:rPr>
          <w:rFonts w:ascii="Times New Roman" w:cs="Times New Roman" w:eastAsia="Times New Roman" w:hAnsi="Times New Roman"/>
          <w:sz w:val="18"/>
          <w:szCs w:val="18"/>
          <w:color w:val="auto"/>
        </w:rPr>
      </w:pPr>
    </w:p>
    <w:p>
      <w:pPr>
        <w:ind w:left="-20" w:firstLine="1304"/>
        <w:spacing w:after="0" w:line="282" w:lineRule="auto"/>
        <w:tabs>
          <w:tab w:leader="none" w:pos="177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language used in this Agreement will be deemed to be the language chosen by the parties to express their mutual intent and no rules of strict construction will be applied against any party.</w:t>
      </w:r>
    </w:p>
    <w:p>
      <w:pPr>
        <w:spacing w:after="0" w:line="161" w:lineRule="exact"/>
        <w:rPr>
          <w:rFonts w:ascii="Times New Roman" w:cs="Times New Roman" w:eastAsia="Times New Roman" w:hAnsi="Times New Roman"/>
          <w:sz w:val="18"/>
          <w:szCs w:val="18"/>
          <w:color w:val="auto"/>
        </w:rPr>
      </w:pPr>
    </w:p>
    <w:p>
      <w:pPr>
        <w:ind w:left="-20" w:firstLine="1304"/>
        <w:spacing w:after="0" w:line="282" w:lineRule="auto"/>
        <w:tabs>
          <w:tab w:leader="none" w:pos="184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intended for the benefit of the parties hereto and their respective successors and permitted assigns, and is not for the benefit of, nor may any provision hereof be enforced by, any other Person.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 * * *</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caused this Registration Rights Agreement to be duly executed as of day and year first above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7089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Shawn Singh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&amp; CEO</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[NAME OF MANAGER/ENTITY]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[NAME OF MANAGER/ENTITY]</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7089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Regulation S Questionnaire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9019"/>
          </w:cols>
          <w:pgMar w:left="1440" w:top="576" w:right="1440"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156845</wp:posOffset>
            </wp:positionV>
            <wp:extent cx="1183005" cy="3429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8300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Vistagen to Acquire Pherin Pharmaceuticals</w:t>
      </w:r>
    </w:p>
    <w:p>
      <w:pPr>
        <w:spacing w:after="0" w:line="217" w:lineRule="exact"/>
        <w:rPr>
          <w:sz w:val="20"/>
          <w:szCs w:val="20"/>
          <w:color w:val="auto"/>
        </w:rPr>
      </w:pPr>
    </w:p>
    <w:p>
      <w:pPr>
        <w:jc w:val="center"/>
        <w:ind w:left="340" w:right="2460"/>
        <w:spacing w:after="0" w:line="267" w:lineRule="auto"/>
        <w:rPr>
          <w:sz w:val="20"/>
          <w:szCs w:val="20"/>
          <w:color w:val="auto"/>
        </w:rPr>
      </w:pPr>
      <w:r>
        <w:rPr>
          <w:rFonts w:ascii="Times New Roman" w:cs="Times New Roman" w:eastAsia="Times New Roman" w:hAnsi="Times New Roman"/>
          <w:sz w:val="18"/>
          <w:szCs w:val="18"/>
          <w:i w:val="1"/>
          <w:iCs w:val="1"/>
          <w:color w:val="auto"/>
        </w:rPr>
        <w:t>Vistagen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acquisition of Pherin will eliminate all future royalty and milestone payment obligations related to PH94B and PH10 and add three new pherine drug candidates to Vistagen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pipeline</w:t>
      </w:r>
    </w:p>
    <w:p>
      <w:pPr>
        <w:spacing w:after="0" w:line="17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December 21, 2022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Vistagen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VTGN), a late clinical-stage biopharmaceutical company aiming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transform the treatment landscape for individuals living with anxiety, depression, and other central nervous system (CNS) disorders, and Pherin Pharmaceuticals, Inc., a clinical-stage drug development company focused on the discovery and development of investigational pherine compounds for treatment of neuropsychiatric and neuroendocrine conditions (Pherin), today announced that the companies have entered into a definitive agreement under which Vistagen will acquire Pherin for approximately 12.4 million shares of Vistagen common stock and a nominal amount of cash.</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Upon closing of the acquisition, which is subject to certain customary closing conditions, Vistagen will acquire Pherin’s entire pherine pipeline, resulting in Vistagen gaining full ownership of intellectual property rights to its two most advanced drug candidates, PH94B, currently in Phase 3 development for social anxiety disorder (SAD) and Phase 2 development for adjustment disorder with anxiety (AjDA), and PH10, in clinical development for major depressive disorder (MDD). Vistagen will also expand its pipeline with three new early clinical-stage pherine product candidates: PH15 for cognition improvement; PH80 for migraine and hot flashes; and PH284 for appetite-related disorders.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confidence in the potential role of pherine compounds in fundamentally shifting the treatment paradigm for individuals living with anxiety, depression and several other disorders with unmet need has never been stronger,” said Shawn Singh, Chief Executive Officer of Vistagen. “This transaction not only allows Vistagen to secure unencumbered global rights to a multi-asset pherine product pipeline and all future value from ownership of the pipeline, but it also establishes Vistagen as the market leader in the development and commercialization of this innovative class of small molecule drug candidates across a wide range of therapeutic areas.”</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“Vistagen is distinctively positioned to progress the pherine portfolio to reach its full potential and help millions of individuals,” said Kevin McCarthy, President and Chief Executive Officer of Pherin. “Since 2018, we have observed the experienced Vistagen team working diligently to advance all aspects of development for PH94B and PH10. This transaction supports our mutual objective to provide innovative medicines to millions of people suffering from conditions that require better treatment options and represents an important milestone providing potential for significant value creation for patients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183005" cy="3429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183005" cy="342900"/>
                    </a:xfrm>
                    <a:prstGeom prst="rect">
                      <a:avLst/>
                    </a:prstGeom>
                    <a:noFill/>
                  </pic:spPr>
                </pic:pic>
              </a:graphicData>
            </a:graphic>
          </wp:anchor>
        </w:drawing>
        <w:t>Vistagen’s acquisition of Pherin is subject to customary closing conditions and approvals, including approval by Pherin’s stockholders. Additional details regarding the transaction, including a copy of the definitive merger agreement, can be found in the Company’s Current Report on Form 8-K, filed with the U.S. Securities and Exchange Commission and available in the Investors section of Vistagen’s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Vistagen (Nasdaq: VTGN) is a late clinical-stage biopharmaceutical company aiming to transform the treatment landscape for individuals living with anxiety, depression and other CNS disorders. The Company is advancing therapeutics with the potential to be faster-acting, and with fewer side effects and safety concerns, than those that are currently available. Vistagen’s clinical-stage candidates are targeting multiple types of anxiety and depression. PH94B and PH10 belong to a new class of drugs known as pherines, which are odorless and tasteless investigational neuroactive steroids designed with a novel rapid-onset mechanism of action that activates chemosensory neurons in the nasal passages and can impact the olfactory-amygdala neural circuits without systemic uptake or direct activity on CNS neurons in the brain. Vistagen is passionate about transforming mental health care and redefining what is possible in the treatment of anxiety and depression. Connect at </w:t>
      </w:r>
      <w:r>
        <w:rPr>
          <w:rFonts w:ascii="Times New Roman" w:cs="Times New Roman" w:eastAsia="Times New Roman" w:hAnsi="Times New Roman"/>
          <w:sz w:val="18"/>
          <w:szCs w:val="18"/>
          <w:u w:val="single" w:color="auto"/>
          <w:color w:val="auto"/>
        </w:rPr>
        <w:t>www.Vistagen.com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Pherin</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Pherin Pharmaceuticals is a privately held company focused on the discovery and development of pherines for acute, intermittent, and long-term treatment of a broad range of human diseases and disorders. Pherines are odorless and tasteless investigational neuroactive steroids designed to achieve pharmacological effect as a consequence of rapidly engaging specific peripheral receptors of chemosensory neurons in the nasal passages.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outlook,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strategy,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strive,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goal,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likely,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variations of these terms and similar expressions, 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drug candidates, including PH94B and/or PH10, or any other pherine drug candidate will successfully complete ongoing or future clinical trials, receive regulatory approval or be commercially successful; the parties will successfully satisfy the closing conditions set forth in the merger agreement executed by Vistagen and Pherin, including approval of the proposed acquisition by Pherin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stockholders; Vistagen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ability to realize the anticipated benefits of the proposed acquisition of Pherin, including the possibility that the expected benefits will not be realized or will not be realized within the expected time period; or unknown liabilities that may or may not be within Vistagen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control. Certain of these risks are more fully discussed in the section entitled "Risk Factors"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most recent Annual Report on Form 10-K for the fiscal year ended March 31, 2022 and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most recent Quarterly Report on Form 10-Q for the quarter ended September 30, 2022, as well as discussions of potential risks, uncertainties, and other important factors in our other filings with the U.S. Securities and Exchange Commission (SEC).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SEC filings are available on the 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website at www.sec.gov. You should not place undue reliance on these forward-looking statements, which apply only as of the date of this press release and should not be relied upon as representing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Flather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ind w:right="9500" w:firstLine="8"/>
        <w:spacing w:after="0" w:line="260" w:lineRule="auto"/>
        <w:tabs>
          <w:tab w:leader="none" w:pos="43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577-3617 mflather@vistagen.com</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Nate Hitchings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SKDK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nhitchings@skdknick.com</w:t>
      </w:r>
    </w:p>
    <w:sectPr>
      <w:pgSz w:w="11900" w:h="16838" w:orient="portrait"/>
      <w:cols w:equalWidth="0" w:num="1">
        <w:col w:w="11240"/>
      </w:cols>
      <w:pgMar w:left="320" w:top="13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lvl w:ilvl="1">
      <w:lvlJc w:val="left"/>
      <w:lvlText w:val="%2"/>
      <w:numFmt w:val="decimal"/>
      <w:start w:val="104"/>
    </w:lvl>
  </w:abstractNum>
  <w:abstractNum w:abstractNumId="2">
    <w:nsid w:val="579BE4F1"/>
    <w:multiLevelType w:val="hybridMultilevel"/>
    <w:lvl w:ilvl="0">
      <w:lvlJc w:val="left"/>
      <w:lvlText w:val="(%1)"/>
      <w:numFmt w:val="lowerLetter"/>
      <w:start w:val="2"/>
    </w:lvl>
  </w:abstractNum>
  <w:abstractNum w:abstractNumId="3">
    <w:nsid w:val="310C50B3"/>
    <w:multiLevelType w:val="hybridMultilevel"/>
    <w:lvl w:ilvl="0">
      <w:lvlJc w:val="left"/>
      <w:lvlText w:val="(%1)"/>
      <w:numFmt w:val="lowerLetter"/>
      <w:start w:val="1"/>
    </w:lvl>
    <w:lvl w:ilvl="1">
      <w:lvlJc w:val="left"/>
      <w:lvlText w:val="(%2)"/>
      <w:numFmt w:val="lowerLetter"/>
      <w:start w:val="9"/>
    </w:lvl>
  </w:abstractNum>
  <w:abstractNum w:abstractNumId="4">
    <w:nsid w:val="5FF87E05"/>
    <w:multiLevelType w:val="hybridMultilevel"/>
    <w:lvl w:ilvl="0">
      <w:lvlJc w:val="left"/>
      <w:lvlText w:val="(%1)"/>
      <w:numFmt w:val="lowerRoman"/>
      <w:start w:val="2"/>
    </w:lvl>
  </w:abstractNum>
  <w:abstractNum w:abstractNumId="5">
    <w:nsid w:val="2F305DEF"/>
    <w:multiLevelType w:val="hybridMultilevel"/>
    <w:lvl w:ilvl="0">
      <w:lvlJc w:val="left"/>
      <w:lvlText w:val="(%1)"/>
      <w:numFmt w:val="lowerLetter"/>
      <w:start w:val="2"/>
    </w:lvl>
    <w:lvl w:ilvl="1">
      <w:lvlJc w:val="left"/>
      <w:lvlText w:val="(%2)"/>
      <w:numFmt w:val="lowerRoman"/>
      <w:start w:val="1"/>
    </w:lvl>
  </w:abstractNum>
  <w:abstractNum w:abstractNumId="6">
    <w:nsid w:val="25A70BF7"/>
    <w:multiLevelType w:val="hybridMultilevel"/>
    <w:lvl w:ilvl="0">
      <w:lvlJc w:val="left"/>
      <w:lvlText w:val="(%1)"/>
      <w:numFmt w:val="lowerLetter"/>
      <w:start w:val="1"/>
    </w:lvl>
  </w:abstractNum>
  <w:abstractNum w:abstractNumId="7">
    <w:nsid w:val="1DBABF00"/>
    <w:multiLevelType w:val="hybridMultilevel"/>
    <w:lvl w:ilvl="0">
      <w:lvlJc w:val="left"/>
      <w:lvlText w:val="(%1)"/>
      <w:numFmt w:val="lowerLetter"/>
      <w:start w:val="3"/>
    </w:lvl>
  </w:abstractNum>
  <w:abstractNum w:abstractNumId="8">
    <w:nsid w:val="4AD084E9"/>
    <w:multiLevelType w:val="hybridMultilevel"/>
    <w:lvl w:ilvl="0">
      <w:lvlJc w:val="left"/>
      <w:lvlText w:val="%1"/>
      <w:numFmt w:val="lowerLetter"/>
      <w:start w:val="1"/>
    </w:lvl>
    <w:lvl w:ilvl="1">
      <w:lvlJc w:val="left"/>
      <w:lvlText w:val="(%2)"/>
      <w:numFmt w:val="lowerLetter"/>
      <w:start w:val="1"/>
    </w:lvl>
  </w:abstractNum>
  <w:abstractNum w:abstractNumId="9">
    <w:nsid w:val="1F48EAA1"/>
    <w:multiLevelType w:val="hybridMultilevel"/>
    <w:lvl w:ilvl="0">
      <w:lvlJc w:val="left"/>
      <w:lvlText w:val="(%1)"/>
      <w:numFmt w:val="lowerLetter"/>
      <w:start w:val="35"/>
    </w:lvl>
    <w:lvl w:ilvl="1">
      <w:lvlJc w:val="left"/>
      <w:lvlText w:val="%2"/>
      <w:numFmt w:val="lowerLetter"/>
      <w:start w:val="1"/>
    </w:lvl>
  </w:abstractNum>
  <w:abstractNum w:abstractNumId="10">
    <w:nsid w:val="1381823A"/>
    <w:multiLevelType w:val="hybridMultilevel"/>
    <w:lvl w:ilvl="0">
      <w:lvlJc w:val="left"/>
      <w:lvlText w:val="(%1)"/>
      <w:numFmt w:val="lowerLetter"/>
      <w:start w:val="2"/>
    </w:lvl>
  </w:abstractNum>
  <w:abstractNum w:abstractNumId="11">
    <w:nsid w:val="5DB70AE5"/>
    <w:multiLevelType w:val="hybridMultilevel"/>
    <w:lvl w:ilvl="0">
      <w:lvlJc w:val="left"/>
      <w:lvlText w:val="(%1)"/>
      <w:numFmt w:val="lowerLetter"/>
      <w:start w:val="5"/>
    </w:lvl>
  </w:abstractNum>
  <w:abstractNum w:abstractNumId="12">
    <w:nsid w:val="100F8FCA"/>
    <w:multiLevelType w:val="hybridMultilevel"/>
    <w:lvl w:ilvl="0">
      <w:lvlJc w:val="left"/>
      <w:lvlText w:val="(%1)"/>
      <w:numFmt w:val="lowerLetter"/>
      <w:start w:val="1"/>
    </w:lvl>
  </w:abstractNum>
  <w:abstractNum w:abstractNumId="13">
    <w:nsid w:val="6590700B"/>
    <w:multiLevelType w:val="hybridMultilevel"/>
    <w:lvl w:ilvl="0">
      <w:lvlJc w:val="left"/>
      <w:lvlText w:val="(%1)"/>
      <w:numFmt w:val="lowerLetter"/>
      <w:start w:val="2"/>
    </w:lvl>
    <w:lvl w:ilvl="1">
      <w:lvlJc w:val="left"/>
      <w:lvlText w:val="(%2)"/>
      <w:numFmt w:val="lowerLetter"/>
      <w:start w:val="9"/>
    </w:lvl>
  </w:abstractNum>
  <w:abstractNum w:abstractNumId="14">
    <w:nsid w:val="15014ACB"/>
    <w:multiLevelType w:val="hybridMultilevel"/>
    <w:lvl w:ilvl="0">
      <w:lvlJc w:val="left"/>
      <w:lvlText w:val="%1"/>
      <w:numFmt w:val="lowerLetter"/>
      <w:start w:val="1"/>
    </w:lvl>
    <w:lvl w:ilvl="1">
      <w:lvlJc w:val="left"/>
      <w:lvlText w:val="(%2)"/>
      <w:numFmt w:val="lowerRoman"/>
      <w:start w:val="2"/>
    </w:lvl>
  </w:abstractNum>
  <w:abstractNum w:abstractNumId="15">
    <w:nsid w:val="5F5E7FD0"/>
    <w:multiLevelType w:val="hybridMultilevel"/>
    <w:lvl w:ilvl="0">
      <w:lvlJc w:val="left"/>
      <w:lvlText w:val="(%1)"/>
      <w:numFmt w:val="lowerLetter"/>
      <w:start w:val="3"/>
    </w:lvl>
    <w:lvl w:ilvl="1">
      <w:lvlJc w:val="left"/>
      <w:lvlText w:val="%2"/>
      <w:numFmt w:val="lowerRoman"/>
      <w:start w:val="1"/>
    </w:lvl>
  </w:abstractNum>
  <w:abstractNum w:abstractNumId="16">
    <w:nsid w:val="98A3148"/>
    <w:multiLevelType w:val="hybridMultilevel"/>
    <w:lvl w:ilvl="0">
      <w:lvlJc w:val="left"/>
      <w:lvlText w:val="(%1)"/>
      <w:numFmt w:val="lowerLetter"/>
      <w:start w:val="1"/>
    </w:lvl>
  </w:abstractNum>
  <w:abstractNum w:abstractNumId="17">
    <w:nsid w:val="799D0247"/>
    <w:multiLevelType w:val="hybridMultilevel"/>
    <w:lvl w:ilvl="0">
      <w:lvlJc w:val="left"/>
      <w:lvlText w:val="(%1)"/>
      <w:numFmt w:val="lowerLetter"/>
      <w:start w:val="1"/>
    </w:lvl>
    <w:lvl w:ilvl="1">
      <w:lvlJc w:val="left"/>
      <w:lvlText w:val="(%2)"/>
      <w:numFmt w:val="lowerRoman"/>
      <w:start w:val="1"/>
    </w:lvl>
  </w:abstractNum>
  <w:abstractNum w:abstractNumId="18">
    <w:nsid w:val="6B94764"/>
    <w:multiLevelType w:val="hybridMultilevel"/>
    <w:lvl w:ilvl="0">
      <w:lvlJc w:val="left"/>
      <w:lvlText w:val="%1"/>
      <w:numFmt w:val="lowerLetter"/>
      <w:start w:val="1"/>
    </w:lvl>
    <w:lvl w:ilvl="1">
      <w:lvlJc w:val="left"/>
      <w:lvlText w:val="(%2)"/>
      <w:numFmt w:val="lowerLetter"/>
      <w:start w:val="61"/>
    </w:lvl>
  </w:abstractNum>
  <w:abstractNum w:abstractNumId="19">
    <w:nsid w:val="42C296BD"/>
    <w:multiLevelType w:val="hybridMultilevel"/>
    <w:lvl w:ilvl="0">
      <w:lvlJc w:val="left"/>
      <w:lvlText w:val="(%1)"/>
      <w:numFmt w:val="lowerLetter"/>
      <w:start w:val="2"/>
    </w:lvl>
    <w:lvl w:ilvl="1">
      <w:lvlJc w:val="left"/>
      <w:lvlText w:val="%2"/>
      <w:numFmt w:val="lowerLetter"/>
      <w:start w:val="1"/>
    </w:lvl>
  </w:abstractNum>
  <w:abstractNum w:abstractNumId="20">
    <w:nsid w:val="168E121F"/>
    <w:multiLevelType w:val="hybridMultilevel"/>
    <w:lvl w:ilvl="0">
      <w:lvlJc w:val="left"/>
      <w:lvlText w:val="(%1)"/>
      <w:numFmt w:val="lowerLetter"/>
      <w:start w:val="1"/>
    </w:lvl>
  </w:abstractNum>
  <w:abstractNum w:abstractNumId="21">
    <w:nsid w:val="1EBA5D23"/>
    <w:multiLevelType w:val="hybridMultilevel"/>
    <w:lvl w:ilvl="0">
      <w:lvlJc w:val="left"/>
      <w:lvlText w:val="(%1)"/>
      <w:numFmt w:val="lowerLetter"/>
      <w:start w:val="2"/>
    </w:lvl>
  </w:abstractNum>
  <w:abstractNum w:abstractNumId="22">
    <w:nsid w:val="661E3F1E"/>
    <w:multiLevelType w:val="hybridMultilevel"/>
    <w:lvl w:ilvl="0">
      <w:lvlJc w:val="left"/>
      <w:lvlText w:val="(%1)"/>
      <w:numFmt w:val="lowerLetter"/>
      <w:start w:val="1"/>
    </w:lvl>
  </w:abstractNum>
  <w:abstractNum w:abstractNumId="23">
    <w:nsid w:val="5DC79EA8"/>
    <w:multiLevelType w:val="hybridMultilevel"/>
    <w:lvl w:ilvl="0">
      <w:lvlJc w:val="left"/>
      <w:lvlText w:val="(%1)"/>
      <w:numFmt w:val="lowerLetter"/>
      <w:start w:val="1"/>
    </w:lvl>
  </w:abstractNum>
  <w:abstractNum w:abstractNumId="24">
    <w:nsid w:val="540A471C"/>
    <w:multiLevelType w:val="hybridMultilevel"/>
    <w:lvl w:ilvl="0">
      <w:lvlJc w:val="left"/>
      <w:lvlText w:val="(%1)"/>
      <w:numFmt w:val="lowerLetter"/>
      <w:start w:val="1"/>
    </w:lvl>
  </w:abstractNum>
  <w:abstractNum w:abstractNumId="25">
    <w:nsid w:val="7BD3EE7B"/>
    <w:multiLevelType w:val="hybridMultilevel"/>
    <w:lvl w:ilvl="0">
      <w:lvlJc w:val="left"/>
      <w:lvlText w:val="(%1)"/>
      <w:numFmt w:val="lowerLetter"/>
      <w:start w:val="2"/>
    </w:lvl>
  </w:abstractNum>
  <w:abstractNum w:abstractNumId="26">
    <w:nsid w:val="51D9C564"/>
    <w:multiLevelType w:val="hybridMultilevel"/>
    <w:lvl w:ilvl="0">
      <w:lvlJc w:val="left"/>
      <w:lvlText w:val="(%1)"/>
      <w:numFmt w:val="lowerLetter"/>
      <w:start w:val="6"/>
    </w:lvl>
  </w:abstractNum>
  <w:abstractNum w:abstractNumId="27">
    <w:nsid w:val="613EFDC5"/>
    <w:multiLevelType w:val="hybridMultilevel"/>
    <w:lvl w:ilvl="0">
      <w:lvlJc w:val="left"/>
      <w:lvlText w:val="(%1)"/>
      <w:numFmt w:val="lowerLetter"/>
      <w:start w:val="22"/>
    </w:lvl>
  </w:abstractNum>
  <w:abstractNum w:abstractNumId="28">
    <w:nsid w:val="BF72B14"/>
    <w:multiLevelType w:val="hybridMultilevel"/>
    <w:lvl w:ilvl="0">
      <w:lvlJc w:val="left"/>
      <w:lvlText w:val="(%1)"/>
      <w:numFmt w:val="lowerLetter"/>
      <w:start w:val="1"/>
    </w:lvl>
    <w:lvl w:ilvl="1">
      <w:lvlJc w:val="left"/>
      <w:lvlText w:val="(%2)"/>
      <w:numFmt w:val="lowerRoman"/>
      <w:start w:val="1"/>
    </w:lvl>
  </w:abstractNum>
  <w:abstractNum w:abstractNumId="29">
    <w:nsid w:val="11447B73"/>
    <w:multiLevelType w:val="hybridMultilevel"/>
    <w:lvl w:ilvl="0">
      <w:lvlJc w:val="left"/>
      <w:lvlText w:val="%1"/>
      <w:numFmt w:val="lowerLetter"/>
      <w:start w:val="1"/>
    </w:lvl>
    <w:lvl w:ilvl="1">
      <w:lvlJc w:val="left"/>
      <w:lvlText w:val="(%2)"/>
      <w:numFmt w:val="lowerRoman"/>
      <w:start w:val="9"/>
    </w:lvl>
  </w:abstractNum>
  <w:abstractNum w:abstractNumId="30">
    <w:nsid w:val="42963E5A"/>
    <w:multiLevelType w:val="hybridMultilevel"/>
    <w:lvl w:ilvl="0">
      <w:lvlJc w:val="left"/>
      <w:lvlText w:val="(%1)"/>
      <w:numFmt w:val="lowerLetter"/>
      <w:start w:val="2"/>
    </w:lvl>
    <w:lvl w:ilvl="1">
      <w:lvlJc w:val="left"/>
      <w:lvlText w:val="%2"/>
      <w:numFmt w:val="lowerRoman"/>
      <w:start w:val="1"/>
    </w:lvl>
  </w:abstractNum>
  <w:abstractNum w:abstractNumId="31">
    <w:nsid w:val="A0382C5"/>
    <w:multiLevelType w:val="hybridMultilevel"/>
    <w:lvl w:ilvl="0">
      <w:lvlJc w:val="left"/>
      <w:lvlText w:val="(%1)"/>
      <w:numFmt w:val="lowerLetter"/>
      <w:start w:val="1"/>
    </w:lvl>
  </w:abstractNum>
  <w:abstractNum w:abstractNumId="32">
    <w:nsid w:val="8F2B15E"/>
    <w:multiLevelType w:val="hybridMultilevel"/>
    <w:lvl w:ilvl="0">
      <w:lvlJc w:val="left"/>
      <w:lvlText w:val="(%1)"/>
      <w:numFmt w:val="lowerLetter"/>
      <w:start w:val="1"/>
    </w:lvl>
  </w:abstractNum>
  <w:abstractNum w:abstractNumId="33">
    <w:nsid w:val="1A32234B"/>
    <w:multiLevelType w:val="hybridMultilevel"/>
    <w:lvl w:ilvl="0">
      <w:lvlJc w:val="left"/>
      <w:lvlText w:val="(%1)"/>
      <w:numFmt w:val="lowerLetter"/>
      <w:start w:val="4"/>
    </w:lvl>
  </w:abstractNum>
  <w:abstractNum w:abstractNumId="34">
    <w:nsid w:val="3B0FD379"/>
    <w:multiLevelType w:val="hybridMultilevel"/>
    <w:lvl w:ilvl="0">
      <w:lvlJc w:val="left"/>
      <w:lvlText w:val="(%1)"/>
      <w:numFmt w:val="lowerLetter"/>
      <w:start w:val="1"/>
    </w:lvl>
  </w:abstractNum>
  <w:abstractNum w:abstractNumId="35">
    <w:nsid w:val="68EB2F63"/>
    <w:multiLevelType w:val="hybridMultilevel"/>
    <w:lvl w:ilvl="0">
      <w:lvlJc w:val="left"/>
      <w:lvlText w:val="(%1)"/>
      <w:numFmt w:val="lowerLetter"/>
      <w:start w:val="1"/>
    </w:lvl>
  </w:abstractNum>
  <w:abstractNum w:abstractNumId="36">
    <w:nsid w:val="4962813B"/>
    <w:multiLevelType w:val="hybridMultilevel"/>
    <w:lvl w:ilvl="0">
      <w:lvlJc w:val="left"/>
      <w:lvlText w:val="(%1)"/>
      <w:numFmt w:val="lowerLetter"/>
      <w:start w:val="1"/>
    </w:lvl>
  </w:abstractNum>
  <w:abstractNum w:abstractNumId="37">
    <w:nsid w:val="60B6DF70"/>
    <w:multiLevelType w:val="hybridMultilevel"/>
    <w:lvl w:ilvl="0">
      <w:lvlJc w:val="left"/>
      <w:lvlText w:val="(%1)"/>
      <w:numFmt w:val="lowerLetter"/>
      <w:start w:val="1"/>
    </w:lvl>
  </w:abstractNum>
  <w:abstractNum w:abstractNumId="38">
    <w:nsid w:val="6A5EE64"/>
    <w:multiLevelType w:val="hybridMultilevel"/>
    <w:lvl w:ilvl="0">
      <w:lvlJc w:val="left"/>
      <w:lvlText w:val="(%1)"/>
      <w:numFmt w:val="lowerLetter"/>
      <w:start w:val="2"/>
    </w:lvl>
  </w:abstractNum>
  <w:abstractNum w:abstractNumId="39">
    <w:nsid w:val="14330624"/>
    <w:multiLevelType w:val="hybridMultilevel"/>
    <w:lvl w:ilvl="0">
      <w:lvlJc w:val="left"/>
      <w:lvlText w:val="(%1)"/>
      <w:numFmt w:val="lowerLetter"/>
      <w:start w:val="8"/>
    </w:lvl>
  </w:abstractNum>
  <w:abstractNum w:abstractNumId="40">
    <w:nsid w:val="7FFFCA11"/>
    <w:multiLevelType w:val="hybridMultilevel"/>
    <w:lvl w:ilvl="0">
      <w:lvlJc w:val="left"/>
      <w:lvlText w:val="(%1)"/>
      <w:numFmt w:val="lowerLetter"/>
      <w:start w:val="1"/>
    </w:lvl>
  </w:abstractNum>
  <w:abstractNum w:abstractNumId="41">
    <w:nsid w:val="1A27709E"/>
    <w:multiLevelType w:val="hybridMultilevel"/>
    <w:lvl w:ilvl="0">
      <w:lvlJc w:val="left"/>
      <w:lvlText w:val="(%1)"/>
      <w:numFmt w:val="lowerLetter"/>
      <w:start w:val="4"/>
    </w:lvl>
  </w:abstractNum>
  <w:abstractNum w:abstractNumId="42">
    <w:nsid w:val="71EA1109"/>
    <w:multiLevelType w:val="hybridMultilevel"/>
    <w:lvl w:ilvl="0">
      <w:lvlJc w:val="left"/>
      <w:lvlText w:val="(%1)"/>
      <w:numFmt w:val="lowerLetter"/>
      <w:start w:val="1"/>
    </w:lvl>
    <w:lvl w:ilvl="1">
      <w:lvlJc w:val="left"/>
      <w:lvlText w:val="(%2)"/>
      <w:numFmt w:val="lowerRoman"/>
      <w:start w:val="1"/>
    </w:lvl>
  </w:abstractNum>
  <w:abstractNum w:abstractNumId="43">
    <w:nsid w:val="100F59DC"/>
    <w:multiLevelType w:val="hybridMultilevel"/>
    <w:lvl w:ilvl="0">
      <w:lvlJc w:val="left"/>
      <w:lvlText w:val="%1"/>
      <w:numFmt w:val="lowerLetter"/>
      <w:start w:val="1"/>
    </w:lvl>
    <w:lvl w:ilvl="1">
      <w:lvlJc w:val="left"/>
      <w:lvlText w:val="(%2)"/>
      <w:numFmt w:val="lowerLetter"/>
      <w:start w:val="61"/>
    </w:lvl>
  </w:abstractNum>
  <w:abstractNum w:abstractNumId="44">
    <w:nsid w:val="7FB7E0AA"/>
    <w:multiLevelType w:val="hybridMultilevel"/>
    <w:lvl w:ilvl="0">
      <w:lvlJc w:val="left"/>
      <w:lvlText w:val="(%1)"/>
      <w:numFmt w:val="lowerLetter"/>
      <w:start w:val="7"/>
    </w:lvl>
    <w:lvl w:ilvl="1">
      <w:lvlJc w:val="left"/>
      <w:lvlText w:val="%2"/>
      <w:numFmt w:val="lowerLetter"/>
      <w:start w:val="1"/>
    </w:lvl>
  </w:abstractNum>
  <w:abstractNum w:abstractNumId="45">
    <w:nsid w:val="6EB5BD4"/>
    <w:multiLevelType w:val="hybridMultilevel"/>
    <w:lvl w:ilvl="0">
      <w:lvlJc w:val="left"/>
      <w:lvlText w:val="(%1)"/>
      <w:numFmt w:val="lowerLetter"/>
      <w:start w:val="8"/>
    </w:lvl>
    <w:lvl w:ilvl="1">
      <w:lvlJc w:val="left"/>
      <w:lvlText w:val="(%2)"/>
      <w:numFmt w:val="lowerRoman"/>
      <w:start w:val="1"/>
    </w:lvl>
  </w:abstractNum>
  <w:abstractNum w:abstractNumId="46">
    <w:nsid w:val="6F6DD9AC"/>
    <w:multiLevelType w:val="hybridMultilevel"/>
    <w:lvl w:ilvl="0">
      <w:lvlJc w:val="left"/>
      <w:lvlText w:val="(%1)"/>
      <w:numFmt w:val="lowerLetter"/>
      <w:start w:val="17"/>
    </w:lvl>
  </w:abstractNum>
  <w:abstractNum w:abstractNumId="47">
    <w:nsid w:val="94211F2"/>
    <w:multiLevelType w:val="hybridMultilevel"/>
    <w:lvl w:ilvl="0">
      <w:lvlJc w:val="left"/>
      <w:lvlText w:val="(%1)"/>
      <w:numFmt w:val="lowerLetter"/>
      <w:start w:val="3"/>
    </w:lvl>
  </w:abstractNum>
  <w:abstractNum w:abstractNumId="48">
    <w:nsid w:val="885E1B"/>
    <w:multiLevelType w:val="hybridMultilevel"/>
    <w:lvl w:ilvl="0">
      <w:lvlJc w:val="left"/>
      <w:lvlText w:val="(%1)"/>
      <w:numFmt w:val="lowerLetter"/>
      <w:start w:val="1"/>
    </w:lvl>
  </w:abstractNum>
  <w:abstractNum w:abstractNumId="49">
    <w:nsid w:val="76272110"/>
    <w:multiLevelType w:val="hybridMultilevel"/>
    <w:lvl w:ilvl="0">
      <w:lvlJc w:val="left"/>
      <w:lvlText w:val="(%1)"/>
      <w:numFmt w:val="lowerLetter"/>
      <w:start w:val="1"/>
    </w:lvl>
  </w:abstractNum>
  <w:abstractNum w:abstractNumId="50">
    <w:nsid w:val="4C04A8AF"/>
    <w:multiLevelType w:val="hybridMultilevel"/>
    <w:lvl w:ilvl="0">
      <w:lvlJc w:val="left"/>
      <w:lvlText w:val="(%1)"/>
      <w:numFmt w:val="lowerLetter"/>
      <w:start w:val="1"/>
    </w:lvl>
  </w:abstractNum>
  <w:abstractNum w:abstractNumId="51">
    <w:nsid w:val="1716703B"/>
    <w:multiLevelType w:val="hybridMultilevel"/>
    <w:lvl w:ilvl="0">
      <w:lvlJc w:val="left"/>
      <w:lvlText w:val="(%1)"/>
      <w:numFmt w:val="lowerLetter"/>
      <w:start w:val="3"/>
    </w:lvl>
  </w:abstractNum>
  <w:abstractNum w:abstractNumId="52">
    <w:nsid w:val="14E17E33"/>
    <w:multiLevelType w:val="hybridMultilevel"/>
    <w:lvl w:ilvl="0">
      <w:lvlJc w:val="left"/>
      <w:lvlText w:val="(%1)"/>
      <w:numFmt w:val="lowerLetter"/>
      <w:start w:val="10"/>
    </w:lvl>
  </w:abstractNum>
  <w:abstractNum w:abstractNumId="53">
    <w:nsid w:val="3222E7CD"/>
    <w:multiLevelType w:val="hybridMultilevel"/>
    <w:lvl w:ilvl="0">
      <w:lvlJc w:val="left"/>
      <w:lvlText w:val="(%1)"/>
      <w:numFmt w:val="lowerLetter"/>
      <w:start w:val="1"/>
    </w:lvl>
  </w:abstractNum>
  <w:abstractNum w:abstractNumId="54">
    <w:nsid w:val="74DE0EE3"/>
    <w:multiLevelType w:val="hybridMultilevel"/>
    <w:lvl w:ilvl="0">
      <w:lvlJc w:val="left"/>
      <w:lvlText w:val="%1"/>
      <w:numFmt w:val="lowerLetter"/>
      <w:start w:val="1"/>
    </w:lvl>
    <w:lvl w:ilvl="1">
      <w:lvlJc w:val="left"/>
      <w:lvlText w:val="(%2)"/>
      <w:numFmt w:val="lowerLetter"/>
      <w:start w:val="1"/>
    </w:lvl>
  </w:abstractNum>
  <w:abstractNum w:abstractNumId="55">
    <w:nsid w:val="68EBC550"/>
    <w:multiLevelType w:val="hybridMultilevel"/>
    <w:lvl w:ilvl="0">
      <w:lvlJc w:val="left"/>
      <w:lvlText w:val="(%1)"/>
      <w:numFmt w:val="lowerLetter"/>
      <w:start w:val="9"/>
    </w:lvl>
    <w:lvl w:ilvl="1">
      <w:lvlJc w:val="left"/>
      <w:lvlText w:val="(%2)"/>
      <w:numFmt w:val="lowerLetter"/>
      <w:start w:val="2"/>
    </w:lvl>
  </w:abstractNum>
  <w:abstractNum w:abstractNumId="56">
    <w:nsid w:val="2DF6D648"/>
    <w:multiLevelType w:val="hybridMultilevel"/>
    <w:lvl w:ilvl="0">
      <w:lvlJc w:val="left"/>
      <w:lvlText w:val="(%1)"/>
      <w:numFmt w:val="lowerLetter"/>
      <w:start w:val="1"/>
    </w:lvl>
  </w:abstractNum>
  <w:abstractNum w:abstractNumId="57">
    <w:nsid w:val="46B7D447"/>
    <w:multiLevelType w:val="hybridMultilevel"/>
    <w:lvl w:ilvl="0">
      <w:lvlJc w:val="left"/>
      <w:lvlText w:val="(%1)"/>
      <w:numFmt w:val="lowerLetter"/>
      <w:start w:val="1"/>
    </w:lvl>
    <w:lvl w:ilvl="1">
      <w:lvlJc w:val="left"/>
      <w:lvlText w:val="(%2)"/>
      <w:numFmt w:val="lowerRoman"/>
      <w:start w:val="1"/>
    </w:lvl>
  </w:abstractNum>
  <w:abstractNum w:abstractNumId="58">
    <w:nsid w:val="4A2AC315"/>
    <w:multiLevelType w:val="hybridMultilevel"/>
    <w:lvl w:ilvl="0">
      <w:lvlJc w:val="left"/>
      <w:lvlText w:val="(%1)"/>
      <w:numFmt w:val="lowerLetter"/>
      <w:start w:val="1"/>
    </w:lvl>
  </w:abstractNum>
  <w:abstractNum w:abstractNumId="59">
    <w:nsid w:val="39EE015C"/>
    <w:multiLevelType w:val="hybridMultilevel"/>
    <w:lvl w:ilvl="0">
      <w:lvlJc w:val="left"/>
      <w:lvlText w:val="(%1)"/>
      <w:numFmt w:val="lowerLetter"/>
      <w:start w:val="2"/>
    </w:lvl>
    <w:lvl w:ilvl="1">
      <w:lvlJc w:val="left"/>
      <w:lvlText w:val="(%2)"/>
      <w:numFmt w:val="lowerRoman"/>
      <w:start w:val="1"/>
    </w:lvl>
  </w:abstractNum>
  <w:abstractNum w:abstractNumId="60">
    <w:nsid w:val="57FC4FBB"/>
    <w:multiLevelType w:val="hybridMultilevel"/>
    <w:lvl w:ilvl="0">
      <w:lvlJc w:val="left"/>
      <w:lvlText w:val="(%1)"/>
      <w:numFmt w:val="lowerLetter"/>
      <w:start w:val="1"/>
    </w:lvl>
  </w:abstractNum>
  <w:abstractNum w:abstractNumId="61">
    <w:nsid w:val="CC1016F"/>
    <w:multiLevelType w:val="hybridMultilevel"/>
    <w:lvl w:ilvl="0">
      <w:lvlJc w:val="left"/>
      <w:lvlText w:val="(%1)"/>
      <w:numFmt w:val="lowerLetter"/>
      <w:start w:val="1"/>
    </w:lvl>
  </w:abstractNum>
  <w:abstractNum w:abstractNumId="62">
    <w:nsid w:val="43F18422"/>
    <w:multiLevelType w:val="hybridMultilevel"/>
    <w:lvl w:ilvl="0">
      <w:lvlJc w:val="left"/>
      <w:lvlText w:val="(%1)"/>
      <w:numFmt w:val="lowerLetter"/>
      <w:start w:val="2"/>
    </w:lvl>
  </w:abstractNum>
  <w:abstractNum w:abstractNumId="63">
    <w:nsid w:val="60EF0119"/>
    <w:multiLevelType w:val="hybridMultilevel"/>
    <w:lvl w:ilvl="0">
      <w:lvlJc w:val="left"/>
      <w:lvlText w:val="(%1)"/>
      <w:numFmt w:val="lowerLetter"/>
      <w:start w:val="1"/>
    </w:lvl>
  </w:abstractNum>
  <w:abstractNum w:abstractNumId="64">
    <w:nsid w:val="26F324BA"/>
    <w:multiLevelType w:val="hybridMultilevel"/>
    <w:lvl w:ilvl="0">
      <w:lvlJc w:val="left"/>
      <w:lvlText w:val="(%1)"/>
      <w:numFmt w:val="lowerLetter"/>
      <w:start w:val="2"/>
    </w:lvl>
  </w:abstractNum>
  <w:abstractNum w:abstractNumId="65">
    <w:nsid w:val="7F01579B"/>
    <w:multiLevelType w:val="hybridMultilevel"/>
    <w:lvl w:ilvl="0">
      <w:lvlJc w:val="left"/>
      <w:lvlText w:val="(%1)"/>
      <w:numFmt w:val="lowerLetter"/>
      <w:start w:val="1"/>
    </w:lvl>
  </w:abstractNum>
  <w:abstractNum w:abstractNumId="66">
    <w:nsid w:val="49DA307D"/>
    <w:multiLevelType w:val="hybridMultilevel"/>
    <w:lvl w:ilvl="0">
      <w:lvlJc w:val="left"/>
      <w:lvlText w:val="(%1)"/>
      <w:numFmt w:val="lowerLetter"/>
      <w:start w:val="1"/>
    </w:lvl>
  </w:abstractNum>
  <w:abstractNum w:abstractNumId="67">
    <w:nsid w:val="7055A5F5"/>
    <w:multiLevelType w:val="hybridMultilevel"/>
    <w:lvl w:ilvl="0">
      <w:lvlJc w:val="left"/>
      <w:lvlText w:val="(%1)"/>
      <w:numFmt w:val="lowerLetter"/>
      <w:start w:val="3"/>
    </w:lvl>
  </w:abstractNum>
  <w:abstractNum w:abstractNumId="68">
    <w:nsid w:val="5FB8370B"/>
    <w:multiLevelType w:val="hybridMultilevel"/>
    <w:lvl w:ilvl="0">
      <w:lvlJc w:val="left"/>
      <w:lvlText w:val="(%1)"/>
      <w:numFmt w:val="lowerLetter"/>
      <w:start w:val="1"/>
    </w:lvl>
  </w:abstractNum>
  <w:abstractNum w:abstractNumId="69">
    <w:nsid w:val="50801EE1"/>
    <w:multiLevelType w:val="hybridMultilevel"/>
    <w:lvl w:ilvl="0">
      <w:lvlJc w:val="left"/>
      <w:lvlText w:val="(%1)"/>
      <w:numFmt w:val="lowerLetter"/>
      <w:start w:val="4"/>
    </w:lvl>
  </w:abstractNum>
  <w:abstractNum w:abstractNumId="70">
    <w:nsid w:val="488AC1A"/>
    <w:multiLevelType w:val="hybridMultilevel"/>
    <w:lvl w:ilvl="0">
      <w:lvlJc w:val="left"/>
      <w:lvlText w:val="(%1)"/>
      <w:numFmt w:val="lowerLetter"/>
      <w:start w:val="1"/>
    </w:lvl>
  </w:abstractNum>
  <w:abstractNum w:abstractNumId="71">
    <w:nsid w:val="5FB8011C"/>
    <w:multiLevelType w:val="hybridMultilevel"/>
    <w:lvl w:ilvl="0">
      <w:lvlJc w:val="left"/>
      <w:lvlText w:val="(%1)"/>
      <w:numFmt w:val="lowerLetter"/>
      <w:start w:val="2"/>
    </w:lvl>
  </w:abstractNum>
  <w:abstractNum w:abstractNumId="72">
    <w:nsid w:val="6AA78F7F"/>
    <w:multiLevelType w:val="hybridMultilevel"/>
    <w:lvl w:ilvl="0">
      <w:lvlJc w:val="left"/>
      <w:lvlText w:val="(%1)"/>
      <w:numFmt w:val="lowerLetter"/>
      <w:start w:val="1"/>
    </w:lvl>
  </w:abstractNum>
  <w:abstractNum w:abstractNumId="73">
    <w:nsid w:val="7672BD23"/>
    <w:multiLevelType w:val="hybridMultilevel"/>
    <w:lvl w:ilvl="0">
      <w:lvlJc w:val="left"/>
      <w:lvlText w:val="(%1)"/>
      <w:numFmt w:val="lowerLetter"/>
      <w:start w:val="2"/>
    </w:lvl>
  </w:abstractNum>
  <w:abstractNum w:abstractNumId="74">
    <w:nsid w:val="6FC75AF8"/>
    <w:multiLevelType w:val="hybridMultilevel"/>
    <w:lvl w:ilvl="0">
      <w:lvlJc w:val="left"/>
      <w:lvlText w:val="(%1)"/>
      <w:numFmt w:val="lowerLetter"/>
      <w:start w:val="1"/>
    </w:lvl>
  </w:abstractNum>
  <w:abstractNum w:abstractNumId="75">
    <w:nsid w:val="6A5F7029"/>
    <w:multiLevelType w:val="hybridMultilevel"/>
    <w:lvl w:ilvl="0">
      <w:lvlJc w:val="left"/>
      <w:lvlText w:val="(%1)"/>
      <w:numFmt w:val="lowerLetter"/>
      <w:start w:val="1"/>
    </w:lvl>
  </w:abstractNum>
  <w:abstractNum w:abstractNumId="76">
    <w:nsid w:val="7D5E18F8"/>
    <w:multiLevelType w:val="hybridMultilevel"/>
    <w:lvl w:ilvl="0">
      <w:lvlJc w:val="left"/>
      <w:lvlText w:val="(%1)"/>
      <w:numFmt w:val="lowerLetter"/>
      <w:start w:val="1"/>
    </w:lvl>
  </w:abstractNum>
  <w:abstractNum w:abstractNumId="77">
    <w:nsid w:val="5F3534A4"/>
    <w:multiLevelType w:val="hybridMultilevel"/>
    <w:lvl w:ilvl="0">
      <w:lvlJc w:val="left"/>
      <w:lvlText w:val="(%1)"/>
      <w:numFmt w:val="lowerLetter"/>
      <w:start w:val="2"/>
    </w:lvl>
  </w:abstractNum>
  <w:abstractNum w:abstractNumId="78">
    <w:nsid w:val="73A1821B"/>
    <w:multiLevelType w:val="hybridMultilevel"/>
    <w:lvl w:ilvl="0">
      <w:lvlJc w:val="left"/>
      <w:lvlText w:val="(%1)"/>
      <w:numFmt w:val="lowerLetter"/>
      <w:start w:val="4"/>
    </w:lvl>
  </w:abstractNum>
  <w:abstractNum w:abstractNumId="79">
    <w:nsid w:val="7DE67713"/>
    <w:multiLevelType w:val="hybridMultilevel"/>
    <w:lvl w:ilvl="0">
      <w:lvlJc w:val="left"/>
      <w:lvlText w:val="(%1)"/>
      <w:numFmt w:val="lowerLetter"/>
      <w:start w:val="1"/>
    </w:lvl>
  </w:abstractNum>
  <w:abstractNum w:abstractNumId="80">
    <w:nsid w:val="555C55B5"/>
    <w:multiLevelType w:val="hybridMultilevel"/>
    <w:lvl w:ilvl="0">
      <w:lvlJc w:val="left"/>
      <w:lvlText w:val="%1"/>
      <w:numFmt w:val="lowerLetter"/>
      <w:start w:val="1"/>
    </w:lvl>
    <w:lvl w:ilvl="1">
      <w:lvlJc w:val="left"/>
      <w:lvlText w:val="(%2)"/>
      <w:numFmt w:val="lowerRoman"/>
      <w:start w:val="1"/>
    </w:lvl>
  </w:abstractNum>
  <w:abstractNum w:abstractNumId="81">
    <w:nsid w:val="3FA62ACA"/>
    <w:multiLevelType w:val="hybridMultilevel"/>
    <w:lvl w:ilvl="0">
      <w:lvlJc w:val="left"/>
      <w:lvlText w:val="(%1)"/>
      <w:numFmt w:val="lowerLetter"/>
      <w:start w:val="3"/>
    </w:lvl>
    <w:lvl w:ilvl="1">
      <w:lvlJc w:val="left"/>
      <w:lvlText w:val="(%2)"/>
      <w:numFmt w:val="lowerRoman"/>
      <w:start w:val="1"/>
    </w:lvl>
  </w:abstractNum>
  <w:abstractNum w:abstractNumId="82">
    <w:nsid w:val="14FCE74E"/>
    <w:multiLevelType w:val="hybridMultilevel"/>
    <w:lvl w:ilvl="0">
      <w:lvlJc w:val="left"/>
      <w:lvlText w:val="(%1)"/>
      <w:numFmt w:val="lowerLetter"/>
      <w:start w:val="1"/>
    </w:lvl>
  </w:abstractNum>
  <w:abstractNum w:abstractNumId="83">
    <w:nsid w:val="6A3DD3E8"/>
    <w:multiLevelType w:val="hybridMultilevel"/>
    <w:lvl w:ilvl="0">
      <w:lvlJc w:val="left"/>
      <w:lvlText w:val="(%1)"/>
      <w:numFmt w:val="lowerLetter"/>
      <w:start w:val="1"/>
    </w:lvl>
    <w:lvl w:ilvl="1">
      <w:lvlJc w:val="left"/>
      <w:lvlText w:val="(%2)"/>
      <w:numFmt w:val="lowerRoman"/>
      <w:start w:val="1"/>
    </w:lvl>
  </w:abstractNum>
  <w:abstractNum w:abstractNumId="84">
    <w:nsid w:val="71C91298"/>
    <w:multiLevelType w:val="hybridMultilevel"/>
    <w:lvl w:ilvl="0">
      <w:lvlJc w:val="left"/>
      <w:lvlText w:val="(%1)"/>
      <w:numFmt w:val="lowerLetter"/>
      <w:start w:val="2"/>
    </w:lvl>
  </w:abstractNum>
  <w:abstractNum w:abstractNumId="85">
    <w:nsid w:val="9DAF632"/>
    <w:multiLevelType w:val="hybridMultilevel"/>
    <w:lvl w:ilvl="0">
      <w:lvlJc w:val="left"/>
      <w:lvlText w:val="(%1)"/>
      <w:numFmt w:val="lowerLetter"/>
      <w:start w:val="4"/>
    </w:lvl>
  </w:abstractNum>
  <w:abstractNum w:abstractNumId="86">
    <w:nsid w:val="53299938"/>
    <w:multiLevelType w:val="hybridMultilevel"/>
    <w:lvl w:ilvl="0">
      <w:lvlJc w:val="left"/>
      <w:lvlText w:val="(%1)"/>
      <w:numFmt w:val="lowerLetter"/>
      <w:start w:val="1"/>
    </w:lvl>
  </w:abstractNum>
  <w:abstractNum w:abstractNumId="87">
    <w:nsid w:val="1FBFE8E0"/>
    <w:multiLevelType w:val="hybridMultilevel"/>
    <w:lvl w:ilvl="0">
      <w:lvlJc w:val="left"/>
      <w:lvlText w:val="(%1)"/>
      <w:numFmt w:val="lowerLetter"/>
      <w:start w:val="3"/>
    </w:lvl>
  </w:abstractNum>
  <w:abstractNum w:abstractNumId="88">
    <w:nsid w:val="5092CA79"/>
    <w:multiLevelType w:val="hybridMultilevel"/>
    <w:lvl w:ilvl="0">
      <w:lvlJc w:val="left"/>
      <w:lvlText w:val="%1"/>
      <w:numFmt w:val="lowerRoman"/>
      <w:start w:val="1"/>
    </w:lvl>
    <w:lvl w:ilvl="1">
      <w:lvlJc w:val="left"/>
      <w:lvlText w:val="%2."/>
      <w:numFmt w:val="decimal"/>
      <w:start w:val="1"/>
    </w:lvl>
  </w:abstractNum>
  <w:abstractNum w:abstractNumId="89">
    <w:nsid w:val="1D545C4D"/>
    <w:multiLevelType w:val="hybridMultilevel"/>
    <w:lvl w:ilvl="0">
      <w:lvlJc w:val="left"/>
      <w:lvlText w:val="(%1)"/>
      <w:numFmt w:val="lowerRoman"/>
      <w:start w:val="1"/>
    </w:lvl>
    <w:lvl w:ilvl="1">
      <w:lvlJc w:val="left"/>
      <w:lvlText w:val="%2"/>
      <w:numFmt w:val="decimal"/>
      <w:start w:val="1"/>
    </w:lvl>
  </w:abstractNum>
  <w:abstractNum w:abstractNumId="90">
    <w:nsid w:val="59ADEA3D"/>
    <w:multiLevelType w:val="hybridMultilevel"/>
    <w:lvl w:ilvl="0">
      <w:lvlJc w:val="left"/>
      <w:lvlText w:val="%1"/>
      <w:numFmt w:val="lowerLetter"/>
      <w:start w:val="1"/>
    </w:lvl>
    <w:lvl w:ilvl="1">
      <w:lvlJc w:val="left"/>
      <w:lvlText w:val="%2."/>
      <w:numFmt w:val="decimal"/>
      <w:start w:val="1"/>
    </w:lvl>
  </w:abstractNum>
  <w:abstractNum w:abstractNumId="91">
    <w:nsid w:val="288F1A34"/>
    <w:multiLevelType w:val="hybridMultilevel"/>
    <w:lvl w:ilvl="0">
      <w:lvlJc w:val="left"/>
      <w:lvlText w:val="(%1)"/>
      <w:numFmt w:val="lowerLetter"/>
      <w:start w:val="1"/>
    </w:lvl>
    <w:lvl w:ilvl="1">
      <w:lvlJc w:val="left"/>
      <w:lvlText w:val="%2."/>
      <w:numFmt w:val="decimal"/>
      <w:start w:val="2"/>
    </w:lvl>
  </w:abstractNum>
  <w:abstractNum w:abstractNumId="92">
    <w:nsid w:val="2A155DBC"/>
    <w:multiLevelType w:val="hybridMultilevel"/>
    <w:lvl w:ilvl="0">
      <w:lvlJc w:val="left"/>
      <w:lvlText w:val="(%1)"/>
      <w:numFmt w:val="decimal"/>
      <w:start w:val="1"/>
    </w:lvl>
  </w:abstractNum>
  <w:abstractNum w:abstractNumId="93">
    <w:nsid w:val="1D9F6E5F"/>
    <w:multiLevelType w:val="hybridMultilevel"/>
    <w:lvl w:ilvl="0">
      <w:lvlJc w:val="left"/>
      <w:lvlText w:val="(%1)"/>
      <w:numFmt w:val="lowerRoman"/>
      <w:start w:val="1"/>
    </w:lvl>
  </w:abstractNum>
  <w:abstractNum w:abstractNumId="94">
    <w:nsid w:val="97E1B4E"/>
    <w:multiLevelType w:val="hybridMultilevel"/>
    <w:lvl w:ilvl="0">
      <w:lvlJc w:val="left"/>
      <w:lvlText w:val="%1."/>
      <w:numFmt w:val="decimal"/>
      <w:start w:val="1"/>
    </w:lvl>
    <w:lvl w:ilvl="1">
      <w:lvlJc w:val="left"/>
      <w:lvlText w:val="%2."/>
      <w:numFmt w:val="lowerLetter"/>
      <w:start w:val="1"/>
    </w:lvl>
  </w:abstractNum>
  <w:abstractNum w:abstractNumId="95">
    <w:nsid w:val="5108827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96">
    <w:nsid w:val="1CA0C5F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97">
    <w:nsid w:val="53584BCB"/>
    <w:multiLevelType w:val="hybridMultilevel"/>
    <w:lvl w:ilvl="0">
      <w:lvlJc w:val="left"/>
      <w:lvlText w:val="%1"/>
      <w:numFmt w:val="lowerLetter"/>
      <w:start w:val="1"/>
    </w:lvl>
    <w:lvl w:ilvl="1">
      <w:lvlJc w:val="left"/>
      <w:lvlText w:val="(%2)"/>
      <w:numFmt w:val="lowerRoman"/>
      <w:start w:val="2"/>
    </w:lvl>
  </w:abstractNum>
  <w:abstractNum w:abstractNumId="98">
    <w:nsid w:val="415E286C"/>
    <w:multiLevelType w:val="hybridMultilevel"/>
    <w:lvl w:ilvl="0">
      <w:lvlJc w:val="left"/>
      <w:lvlText w:val="%1."/>
      <w:numFmt w:val="lowerLetter"/>
      <w:start w:val="3"/>
    </w:lvl>
    <w:lvl w:ilvl="1">
      <w:lvlJc w:val="left"/>
      <w:lvlText w:val="%2"/>
      <w:numFmt w:val="lowerRoman"/>
      <w:start w:val="1"/>
    </w:lvl>
  </w:abstractNum>
  <w:abstractNum w:abstractNumId="99">
    <w:nsid w:val="7C58FD05"/>
    <w:multiLevelType w:val="hybridMultilevel"/>
    <w:lvl w:ilvl="0">
      <w:lvlJc w:val="left"/>
      <w:lvlText w:val="%1."/>
      <w:numFmt w:val="decimal"/>
      <w:start w:val="3"/>
    </w:lvl>
  </w:abstractNum>
  <w:abstractNum w:abstractNumId="100">
    <w:nsid w:val="23D86AAC"/>
    <w:multiLevelType w:val="hybridMultilevel"/>
    <w:lvl w:ilvl="0">
      <w:lvlJc w:val="left"/>
      <w:lvlText w:val="%1."/>
      <w:numFmt w:val="lowerLetter"/>
      <w:start w:val="1"/>
    </w:lvl>
  </w:abstractNum>
  <w:abstractNum w:abstractNumId="101">
    <w:nsid w:val="45E6D486"/>
    <w:multiLevelType w:val="hybridMultilevel"/>
    <w:lvl w:ilvl="0">
      <w:lvlJc w:val="left"/>
      <w:lvlText w:val="%1."/>
      <w:numFmt w:val="lowerLetter"/>
      <w:start w:val="3"/>
    </w:lvl>
  </w:abstractNum>
  <w:abstractNum w:abstractNumId="102">
    <w:nsid w:val="5C10FE21"/>
    <w:multiLevelType w:val="hybridMultilevel"/>
    <w:lvl w:ilvl="0">
      <w:lvlJc w:val="left"/>
      <w:lvlText w:val="%1."/>
      <w:numFmt w:val="lowerLetter"/>
      <w:start w:val="6"/>
    </w:lvl>
  </w:abstractNum>
  <w:abstractNum w:abstractNumId="103">
    <w:nsid w:val="E7FFA2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2"/>
    </w:lvl>
  </w:abstractNum>
  <w:abstractNum w:abstractNumId="104">
    <w:nsid w:val="3C5991AA"/>
    <w:multiLevelType w:val="hybridMultilevel"/>
    <w:lvl w:ilvl="0">
      <w:lvlJc w:val="left"/>
      <w:lvlText w:val="(%1)"/>
      <w:numFmt w:val="decimal"/>
      <w:start w:val="24"/>
    </w:lvl>
    <w:lvl w:ilvl="1">
      <w:lvlJc w:val="left"/>
      <w:lvlText w:val="%2."/>
      <w:numFmt w:val="decimal"/>
      <w:start w:val="3"/>
    </w:lvl>
    <w:lvl w:ilvl="2">
      <w:lvlJc w:val="left"/>
      <w:lvlText w:val="%3."/>
      <w:numFmt w:val="lowerLetter"/>
      <w:start w:val="13"/>
    </w:lvl>
  </w:abstractNum>
  <w:abstractNum w:abstractNumId="105">
    <w:nsid w:val="4BD8591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06">
    <w:nsid w:val="78DF6A55"/>
    <w:multiLevelType w:val="hybridMultilevel"/>
    <w:lvl w:ilvl="0">
      <w:lvlJc w:val="left"/>
      <w:lvlText w:val="%1."/>
      <w:numFmt w:val="decimal"/>
      <w:start w:val="5"/>
    </w:lvl>
  </w:abstractNum>
  <w:abstractNum w:abstractNumId="107">
    <w:nsid w:val="39B7AAA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08">
    <w:nsid w:val="2B0D8DBE"/>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3"/>
    </w:lvl>
  </w:abstractNum>
  <w:abstractNum w:abstractNumId="109">
    <w:nsid w:val="6C80EC70"/>
    <w:multiLevelType w:val="hybridMultilevel"/>
    <w:lvl w:ilvl="0">
      <w:lvlJc w:val="left"/>
      <w:lvlText w:val="(%1)"/>
      <w:numFmt w:val="upperLetter"/>
      <w:start w:val="4"/>
    </w:lvl>
    <w:lvl w:ilvl="1">
      <w:lvlJc w:val="left"/>
      <w:lvlText w:val="%2."/>
      <w:numFmt w:val="lowerRoman"/>
      <w:start w:val="2"/>
    </w:lvl>
    <w:lvl w:ilvl="2">
      <w:lvlJc w:val="left"/>
      <w:lvlText w:val="%3"/>
      <w:numFmt w:val="upperLetter"/>
      <w:start w:val="1"/>
    </w:lvl>
  </w:abstractNum>
  <w:abstractNum w:abstractNumId="110">
    <w:nsid w:val="379E21B5"/>
    <w:multiLevelType w:val="hybridMultilevel"/>
    <w:lvl w:ilvl="0">
      <w:lvlJc w:val="left"/>
      <w:lvlText w:val="(%1)"/>
      <w:numFmt w:val="upperLetter"/>
      <w:start w:val="1"/>
    </w:lvl>
  </w:abstractNum>
  <w:abstractNum w:abstractNumId="111">
    <w:nsid w:val="69E37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2">
    <w:nsid w:val="2C27173B"/>
    <w:multiLevelType w:val="hybridMultilevel"/>
    <w:lvl w:ilvl="0">
      <w:lvlJc w:val="left"/>
      <w:lvlText w:val="%1."/>
      <w:numFmt w:val="lowerLetter"/>
      <w:start w:val="3"/>
    </w:lvl>
    <w:lvl w:ilvl="1">
      <w:lvlJc w:val="left"/>
      <w:lvlText w:val="%2"/>
      <w:numFmt w:val="lowerLetter"/>
      <w:start w:val="1"/>
    </w:lvl>
  </w:abstractNum>
  <w:abstractNum w:abstractNumId="113">
    <w:nsid w:val="4C9B0904"/>
    <w:multiLevelType w:val="hybridMultilevel"/>
    <w:lvl w:ilvl="0">
      <w:lvlJc w:val="left"/>
      <w:lvlText w:val="%1"/>
      <w:numFmt w:val="lowerLetter"/>
      <w:start w:val="1"/>
    </w:lvl>
    <w:lvl w:ilvl="1">
      <w:lvlJc w:val="left"/>
      <w:lvlText w:val="%2."/>
      <w:numFmt w:val="lowerRoman"/>
      <w:start w:val="2"/>
    </w:lvl>
  </w:abstractNum>
  <w:abstractNum w:abstractNumId="114">
    <w:nsid w:val="6AA7B75C"/>
    <w:multiLevelType w:val="hybridMultilevel"/>
    <w:lvl w:ilvl="0">
      <w:lvlJc w:val="left"/>
      <w:lvlText w:val="%1."/>
      <w:numFmt w:val="lowerLetter"/>
      <w:start w:val="4"/>
    </w:lvl>
    <w:lvl w:ilvl="1">
      <w:lvlJc w:val="left"/>
      <w:lvlText w:val="%2"/>
      <w:numFmt w:val="lowerRoman"/>
      <w:start w:val="1"/>
    </w:lvl>
  </w:abstractNum>
  <w:abstractNum w:abstractNumId="115">
    <w:nsid w:val="1DF029D3"/>
    <w:multiLevelType w:val="hybridMultilevel"/>
    <w:lvl w:ilvl="0">
      <w:lvlJc w:val="left"/>
      <w:lvlText w:val="%1."/>
      <w:numFmt w:val="decimal"/>
      <w:start w:val="7"/>
    </w:lvl>
  </w:abstractNum>
  <w:abstractNum w:abstractNumId="116">
    <w:nsid w:val="5675FF36"/>
    <w:multiLevelType w:val="hybridMultilevel"/>
    <w:lvl w:ilvl="0">
      <w:lvlJc w:val="left"/>
      <w:lvlText w:val="%1."/>
      <w:numFmt w:val="decimal"/>
      <w:start w:val="8"/>
    </w:lvl>
  </w:abstractNum>
  <w:abstractNum w:abstractNumId="117">
    <w:nsid w:val="3DD15094"/>
    <w:multiLevelType w:val="hybridMultilevel"/>
    <w:lvl w:ilvl="0">
      <w:lvlJc w:val="left"/>
      <w:lvlText w:val="%1."/>
      <w:numFmt w:val="lowerLetter"/>
      <w:start w:val="1"/>
    </w:lvl>
  </w:abstractNum>
  <w:abstractNum w:abstractNumId="118">
    <w:nsid w:val="3DB012B3"/>
    <w:multiLevelType w:val="hybridMultilevel"/>
    <w:lvl w:ilvl="0">
      <w:lvlJc w:val="left"/>
      <w:lvlText w:val="%1."/>
      <w:numFmt w:val="decimal"/>
      <w:start w:val="9"/>
    </w:lvl>
  </w:abstractNum>
  <w:abstractNum w:abstractNumId="119">
    <w:nsid w:val="2708C9AF"/>
    <w:multiLevelType w:val="hybridMultilevel"/>
    <w:lvl w:ilvl="0">
      <w:lvlJc w:val="left"/>
      <w:lvlText w:val="%1."/>
      <w:numFmt w:val="decimal"/>
      <w:start w:val="10"/>
    </w:lvl>
  </w:abstractNum>
  <w:abstractNum w:abstractNumId="120">
    <w:nsid w:val="5B25ACE2"/>
    <w:multiLevelType w:val="hybridMultilevel"/>
    <w:lvl w:ilvl="0">
      <w:lvlJc w:val="left"/>
      <w:lvlText w:val="%1."/>
      <w:numFmt w:val="decimal"/>
      <w:start w:val="11"/>
    </w:lvl>
    <w:lvl w:ilvl="1">
      <w:lvlJc w:val="left"/>
      <w:lvlText w:val="%2."/>
      <w:numFmt w:val="lowerLetter"/>
      <w:start w:val="1"/>
    </w:lvl>
  </w:abstractNum>
  <w:abstractNum w:abstractNumId="121">
    <w:nsid w:val="175DFCF0"/>
    <w:multiLevelType w:val="hybridMultilevel"/>
    <w:lvl w:ilvl="0">
      <w:lvlJc w:val="left"/>
      <w:lvlText w:val="%1."/>
      <w:numFmt w:val="lowerLetter"/>
      <w:start w:val="3"/>
    </w:lvl>
  </w:abstractNum>
  <w:abstractNum w:abstractNumId="122">
    <w:nsid w:val="4F97E3E4"/>
    <w:multiLevelType w:val="hybridMultilevel"/>
    <w:lvl w:ilvl="0">
      <w:lvlJc w:val="left"/>
      <w:lvlText w:val="%1."/>
      <w:numFmt w:val="lowerLetter"/>
      <w:start w:val="4"/>
    </w:lvl>
  </w:abstractNum>
  <w:abstractNum w:abstractNumId="123">
    <w:nsid w:val="53B0A9E"/>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2022-12-21T07:33:20Z</dcterms:created>
  <dcterms:modified xsi:type="dcterms:W3CDTF">2022-12-21T07:33:20Z</dcterms:modified>
</cp:coreProperties>
</file>