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reported herein shall vest on Vesting Start Date May 23, 2019, and 1/36th of the remaining Shares subject to the Option shall vest on each monthly anniversary of the Vesting Start Date thereafter.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2020-02-25T20:23:09Z</dcterms:created>
  <dcterms:modified xsi:type="dcterms:W3CDTF">2020-02-25T20:23:09Z</dcterms:modified>
</cp:coreProperties>
</file>