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September 6, 2011</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September 6, 2011 A. Franklin Rice resigned as the Company's Chief Financial Officer (Principal Financial and Accounting Officer) and became the Company's Vice President of Corporate Development. Mr. Rice did not resign from his position as Chief Financial Officer due to any disagreement with the Company. In addition to his new role as the Company's Vice President of Corporate Development, Mr. Rice will continue to serve as the Company's Secretary. As of the date of this report, the Company had not appointed a new Principal Financial Officer or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September 12,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2020-01-29T05:58:01Z</dcterms:created>
  <dcterms:modified xsi:type="dcterms:W3CDTF">2020-01-29T05:58:01Z</dcterms:modified>
</cp:coreProperties>
</file>