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10, 2022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391"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391"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7"/>
          <w:szCs w:val="17"/>
          <w:i w:val="1"/>
          <w:iCs w:val="1"/>
          <w:color w:val="auto"/>
        </w:rPr>
        <w:t>(Registrant</w:t>
      </w:r>
      <w:r>
        <w:rPr>
          <w:rFonts w:ascii="Arial" w:cs="Arial" w:eastAsia="Arial" w:hAnsi="Arial"/>
          <w:sz w:val="17"/>
          <w:szCs w:val="17"/>
          <w:color w:val="auto"/>
        </w:rPr>
        <w:t>’</w:t>
      </w:r>
      <w:r>
        <w:rPr>
          <w:rFonts w:ascii="Arial" w:cs="Arial" w:eastAsia="Arial" w:hAnsi="Arial"/>
          <w:sz w:val="17"/>
          <w:szCs w:val="17"/>
          <w:i w:val="1"/>
          <w:iCs w:val="1"/>
          <w:color w:val="auto"/>
        </w:rPr>
        <w:t>s telephone number, including area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391"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170"/>
              <w:spacing w:after="0"/>
              <w:rPr>
                <w:sz w:val="20"/>
                <w:szCs w:val="20"/>
                <w:color w:val="auto"/>
              </w:rPr>
            </w:pPr>
            <w:r>
              <w:rPr>
                <w:rFonts w:ascii="Arial" w:cs="Arial" w:eastAsia="Arial" w:hAnsi="Arial"/>
                <w:sz w:val="18"/>
                <w:szCs w:val="18"/>
                <w:color w:val="auto"/>
                <w:w w:val="89"/>
              </w:rPr>
              <w:t>Common Stock, par value $0.001 per share</w:t>
            </w:r>
          </w:p>
        </w:tc>
        <w:tc>
          <w:tcPr>
            <w:tcW w:w="214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840" w:type="dxa"/>
            <w:vAlign w:val="bottom"/>
          </w:tcPr>
          <w:p>
            <w:pPr>
              <w:jc w:val="center"/>
              <w:ind w:right="19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On November 10, 2022,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the Company’s financial results for its fiscal year 2023 second quarter ended September 30, 2022. A copy of the press release is attached to this Current Report on Form 8-K as Exhibit 99.1.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Arial" w:cs="Arial" w:eastAsia="Arial" w:hAnsi="Arial"/>
                <w:sz w:val="18"/>
                <w:szCs w:val="18"/>
                <w:color w:val="auto"/>
              </w:rPr>
              <w:t>Press Release issued by Vistagen Therapeutics, Inc., dated November 10, 2022.</w:t>
            </w:r>
          </w:p>
        </w:tc>
      </w:t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900" w:type="dxa"/>
            <w:vAlign w:val="bottom"/>
            <w:gridSpan w:val="2"/>
          </w:tcPr>
          <w:p>
            <w:pPr>
              <w:ind w:left="2420"/>
              <w:spacing w:after="0"/>
              <w:rPr>
                <w:sz w:val="20"/>
                <w:szCs w:val="20"/>
                <w:color w:val="auto"/>
              </w:rPr>
            </w:pPr>
            <w:r>
              <w:rPr>
                <w:rFonts w:ascii="Arial" w:cs="Arial" w:eastAsia="Arial" w:hAnsi="Arial"/>
                <w:sz w:val="18"/>
                <w:szCs w:val="18"/>
                <w:color w:val="auto"/>
              </w:rPr>
              <w:t>Vistagen Therapeutics, Inc.</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Date: November 10, 2022</w:t>
            </w:r>
          </w:p>
        </w:tc>
        <w:tc>
          <w:tcPr>
            <w:tcW w:w="2980" w:type="dxa"/>
            <w:vAlign w:val="bottom"/>
          </w:tcPr>
          <w:p>
            <w:pPr>
              <w:ind w:left="24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r>
      <w:tr>
        <w:trPr>
          <w:trHeight w:val="195"/>
        </w:trPr>
        <w:tc>
          <w:tcPr>
            <w:tcW w:w="42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4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12268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Reports Second Quarter Financial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Provides Corporate Update</w:t>
      </w:r>
    </w:p>
    <w:p>
      <w:pPr>
        <w:spacing w:after="0" w:line="19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PALISADE-2 Phase 3 trial with PH94B in social anxiety disorder restart preparations underway after independent interim analysis recommends study continue as planned</w:t>
      </w:r>
    </w:p>
    <w:p>
      <w:pPr>
        <w:spacing w:after="0" w:line="170" w:lineRule="exact"/>
        <w:rPr>
          <w:sz w:val="20"/>
          <w:szCs w:val="20"/>
          <w:color w:val="auto"/>
        </w:rPr>
      </w:pPr>
    </w:p>
    <w:p>
      <w:pPr>
        <w:jc w:val="center"/>
        <w:ind w:left="340" w:right="260"/>
        <w:spacing w:after="0" w:line="277" w:lineRule="auto"/>
        <w:rPr>
          <w:sz w:val="20"/>
          <w:szCs w:val="20"/>
          <w:color w:val="auto"/>
        </w:rPr>
      </w:pPr>
      <w:r>
        <w:rPr>
          <w:rFonts w:ascii="Arial" w:cs="Arial" w:eastAsia="Arial" w:hAnsi="Arial"/>
          <w:sz w:val="18"/>
          <w:szCs w:val="18"/>
          <w:i w:val="1"/>
          <w:iCs w:val="1"/>
          <w:color w:val="auto"/>
        </w:rPr>
        <w:t>Preliminary analysis of nearly 400 subjects in the final data set for the PALISADE Open Label Study demonstrates robust functional improvement in anxiety-provoking social and performance situations in daily life, as measured by the Liebowitz Social Anxiety Scale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Company planning to meet with the U.S. Food and Drug Administration regarding next step in Phase 3 development of PH94B in social anxiety disorder</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SOUTH SAN FRANCISCO, Calif., November 10, 2022 </w:t>
      </w:r>
      <w:r>
        <w:rPr>
          <w:rFonts w:ascii="Arial" w:cs="Arial" w:eastAsia="Arial" w:hAnsi="Arial"/>
          <w:sz w:val="18"/>
          <w:szCs w:val="18"/>
          <w:color w:val="auto"/>
        </w:rPr>
        <w:t>– Vista</w:t>
      </w:r>
      <w:r>
        <w:rPr>
          <w:rFonts w:ascii="Arial" w:cs="Arial" w:eastAsia="Arial" w:hAnsi="Arial"/>
          <w:sz w:val="18"/>
          <w:szCs w:val="18"/>
          <w:u w:val="single" w:color="auto"/>
          <w:color w:val="auto"/>
        </w:rPr>
        <w:t>gen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 the treatment landscape for individuals living with anxiety, depression and other central nervous system (CNS) disorders, today reported financial results for its fiscal year 2023 second quarter ended September 30, 2022 and provided a corporate update.</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past quarter, Vistagen achieved several important milestones to advance our CNS pipeline. Recent independent data analysis supports our work to restart our PALISADE-2 Phase 3 study of PH94B in social anxiety disorder, and preliminary data from nearly 400 subjects in our PALISADE Open Label Study demonstrate that PH94B has potential to help millions of individuals suffering from social anxiety disorder, without the side effects and safety concerns often associated with prior FDA approvals in SAD and other off-label treatment options,” said Shawn Singh, Chief Executive Officer of Vistagen. “We are focused on optimizing clinical studies for PH94B and we will soon meet with the FDA to pursue a consensus path forward in our Phase 3 program in social anxiety disorder. We are also advancing our second pherine asset, PH10. We recently submitted our U.S. Investigational New Drug application for a small Phase 1 study to facilitate entering Phase 2B development of PH10 in major depressive disorder. Both therapies have the potential to offer novel, fast-acting treatment for millions of patients confronting the effects of debilitating mental health challenges.”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Fiscal Year 2023 &amp; Recent Business Highlights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Below is an update on recent development involving the Company’s pipeline of CNS product candidates — the pherine-based platform consisting of PH94B and PH10 nasal sprays for anxiety and depression disorders, respectively, and orally available AV-101 for CNS indications involving the NMDA (N-methyl-D-aspartate) receptor.</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Independent interim analysis of the Company</w:t>
      </w:r>
      <w:r>
        <w:rPr>
          <w:rFonts w:ascii="Arial" w:cs="Arial" w:eastAsia="Arial" w:hAnsi="Arial"/>
          <w:sz w:val="18"/>
          <w:szCs w:val="18"/>
          <w:color w:val="auto"/>
        </w:rPr>
        <w:t>’</w:t>
      </w:r>
      <w:r>
        <w:rPr>
          <w:rFonts w:ascii="Arial" w:cs="Arial" w:eastAsia="Arial" w:hAnsi="Arial"/>
          <w:sz w:val="18"/>
          <w:szCs w:val="18"/>
          <w:b w:val="1"/>
          <w:bCs w:val="1"/>
          <w:color w:val="auto"/>
        </w:rPr>
        <w:t>s PALISADE-2 Phase 3 Study in social anxiety disorder (SAD) recommends continuing the study as planned</w:t>
      </w:r>
    </w:p>
    <w:p>
      <w:pPr>
        <w:jc w:val="both"/>
        <w:spacing w:after="0" w:line="288" w:lineRule="auto"/>
        <w:rPr>
          <w:sz w:val="20"/>
          <w:szCs w:val="20"/>
          <w:color w:val="auto"/>
        </w:rPr>
      </w:pPr>
      <w:r>
        <w:rPr>
          <w:rFonts w:ascii="Arial" w:cs="Arial" w:eastAsia="Arial" w:hAnsi="Arial"/>
          <w:sz w:val="16"/>
          <w:szCs w:val="16"/>
          <w:color w:val="auto"/>
        </w:rPr>
        <w:t>In September 2022, based on their review of unblinded data from the 140 subjects who had completed our PALISADE-2 Phase 3 clinical study of PH94B for the acute treatment of anxiety in adults with SAD, independent third-party biostatisticians recommended that the Company continue PALISADE-2 as planned. Although Vistagen did not, and does not, have access to any unblinded data from PALISADE-2, based on the outcome of the interim analysis and the recommendation from the independent biostatisticians, the Company is preparing to restart PALISADE-2 as soon as practicable and then continue the study to the full targeted enrollment of 208 subjects, as originally planned. In parallel with preparing to restart PALISADE-2, the Company is planning to meet with the U.S. Food and Drug Administration (FDA) during the first quarter of calendar 2023 to discuss and reach consensus with the FDA on the next step in the Company’s Phase 3 development program for PH94B as a potential treatment for adults with 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Preliminary data from PALISADE Open Label Study</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initiated the PALISADE Open Label Study (PALISADE OLS) in October 2021 to evaluate the safety and tolerability of PH94B in adult subjects with SAD taken as needed prior to acute anxiety-provoking social and performance situations in daily life, up to four times per day, over a period of up to 12 months. In addition to assessing safety and tolerability, the Company included several exploratory objectives, including assessment of PH94B’s potential to achieve overall symptom reduction and improvement in severity of SAD, as measured by the Liebowitz Social Anxiety Scale (LSAS), the efficacy endpoint required by the FDA for prior SAD approvals. In August 2022, the Company closed recruitment and enrollment in the PALISADE OLS. Preliminary analysis of nearly 400 subjects in the final data set for the PALISADE OLS demonstrates robust functional improvement in anxiety-provoking social and performance situations in daily life, as measured by the LSAS. The Company now has two data sets supporting PH94B’s ability to improve LSAS scores – the PALISADE OLS over a period of one month and beyond and a published double-blind, placebo-controlled Phase 2 cross-over study after two weeks of use. These two studies combined demonstrate the potential for PH94B to achieve robust overall reduction in symptoms of SAD and improvement in severity over time as measured by the LSAS. The Company believes LSAS measurements over time may be well-suited for a Phase 3 trial to demonstrate efficacy and the true impact of PH94B on patients’ lives given that it measures overall improvement in disease severity by capturing the reduction in fear and anxiety, as well as the avoidance of social and performance situations. These studies reinforce the Company’s confidence in the potential of PH94B, used acutely as-needed in daily life, to provide rapid-onset, clinically meaningful, and sustained response with a favorable safety and tolerability profile. A full assessment of the PALISADE OLS is expected during the first quarter of calendar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 completed in exploratory Phase 2A trial of PH94B in adjustment disorder with anxiety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completed enrollment in its ongoing exploratory double-blind, placebo-controlled Phase 2A clinical trial of PH94B to evaluate the efficacy, safety and tolerability of PH94B as a potential treatment of adults with adjustment disorder with anxiety (AjDA). The study protocol involves multiple administration assessments of PH94B, which is administered four times per day for 28 days. Vistagen anticipates topline results from this exploratory Phase 2A AjDA trial during the first quarter of calendar 2023.</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Investigational New Drug (IND) application submitted to the FDA to facilitate U.S. Phase 2B clinical development of PH10 for major depressive disorder</w:t>
      </w:r>
    </w:p>
    <w:p>
      <w:pPr>
        <w:jc w:val="both"/>
        <w:spacing w:after="0" w:line="287" w:lineRule="auto"/>
        <w:rPr>
          <w:sz w:val="20"/>
          <w:szCs w:val="20"/>
          <w:color w:val="auto"/>
        </w:rPr>
      </w:pPr>
      <w:r>
        <w:rPr>
          <w:rFonts w:ascii="Arial" w:cs="Arial" w:eastAsia="Arial" w:hAnsi="Arial"/>
          <w:sz w:val="16"/>
          <w:szCs w:val="16"/>
          <w:color w:val="auto"/>
        </w:rPr>
        <w:t>In a small (n=30) published exploratory randomized, double-blind, placebo-controlled parallel design Phase 2A study of PH10 in major depressive disorder (MDD) conducted in Mexico, at a 6.4 microgram dose administered intranasally twice daily for 8 weeks, PH10 significantly reduced depressive symptoms as early as one week based on the 17-item Hamilton Depression Scale (HAM-D-17) scores compared to placebo (p = 0.022). PH10 was well-tolerated and did not cause psychological side effects (such as dissociation and hallucinations) or other safety concerns that may be associated with rapid-onset ketamine-based therapies. The Company recently submitted its U.S. IND application to enable initiation of a small Phase 1 clinical study of PH10 in the U.S. in healthy volunteers. Should the FDA permit the Company to proceed, the Company plans to initiate the study before the end of calendar 2022. This small and brief Phase 1 study is intended to facilitate Phase 2B development of PH10 in the U.S. as an innovative potential fast-acting stand-alone treatment of MDD. Vistagen may also have potential opportunities to develop PH10 for several other depression-related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 Probenecid Phase 1B trial progressing</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observations and findings from preclinical studies, Vistagen believes that AV-101, in combination with FDA-approved oral probenecid, has the potential to become a new oral treatment alternative for certain CNS indications involving the NMDA receptor. The Company is currently conducting an exploratory Phase 1B drug-drug interaction clinical study of AV-101 in combination with probenecid. Upon completion of the study, anticipated during the second quarter of calendar 2023, the Company plans to consider exploratory Phase 2A development of AV-101 in combination with probenecid, on its own or with a collaborator, as a potential oral treatment for CNS disorders involving the NMDA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Fiscal Year 2023 Second Quarter Financial Results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Research and development (R&amp;D) expense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expense increased by $2.9 million, from $10.0 million to $12.9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quarters ended September 30, 2021 and 2022, respectively. The increase in R&amp;D expense is primarily due to expenses related to conducting the PALISADE Phase 3 Program for PH94B in SAD, including PALISADE-1, PALISADE-2 and the PALISADE OLS, and the exploratory Phase 2A study of PH94B in AjDA, as well as nonclinical development, regulatory and outsourced manufacturing activities for both PH94B and PH10.</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General and administrative (G&amp;A)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increased to approximately $3.7 million for the quarter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2022 compared to approximately $3.2 million for the quarter ended September 30, 2021. The increase in G&amp;A expense was primarily due to costs associated with external legal, accounting and other professional services relating to corporate finance matters as well as expanded corporate initiatives surrounding corporate awareness and investor relations.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attributable to common stockholders for the fiscal quarters ended September 30, 2022 and 2021 was approximately $17.5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$13.2 million, respectively.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Cash position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September 30, 2022, the Company had cash and cash equivalents of approximately $35.3 million. As a result of the conclusion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activity and deferral of several research and development and pre-commercialization activities, the Company anticipates a decrease in spending over the next few quarters which the Company expects will extend its cash runway through a series of potential key milestones and data readouts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9, 2022, the Company had 206,836,345 shares of common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Vistagen will host a conference call and live audio webcast this afternoon at 5:00 p.m. Eastern Time to discuss its financial results for its second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2023 ended September 30, 2022 and provide a corporate update.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Dial-in (Toll-Free): 1-888-599-8686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(Toll): 1-929-477-0402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5975082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Link: https://viavid.webcasts.com/starthere.jsp?ei=1579342&amp;tp_key=aa33644740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live audio webcast of the conference call will also be available via the link provided above. Participants should access this webcast site 10 minutes before the start of the call. In addition, a telephone playback of the call will be available after approximately 8:00 p.m. Eastern Time on Thursday, November 10, 2022. To listen to the replay, call toll free 1-844-512-2921 within the United States or 1-412-317-6671 when calling internationally (toll). Please use the replay PIN number 5975082.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Vistagen (Nasdaq: VTGN) is a late clinical-stage CNS-focused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Candidates include PH94B and PH10, which belong to a new class of drugs known as pherines, which are investigational neuroactive steroids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 one mind at a time. Connect at www.Vistagen.com.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will successfully complete ongoing or future clinical trials, receive regulatory approval or be commercially successful. Other factors that may cause such a difference include, without limitation, risks and uncertainties relating to the results of the Company</w:t>
      </w:r>
      <w:r>
        <w:rPr>
          <w:rFonts w:ascii="Arial" w:cs="Arial" w:eastAsia="Arial" w:hAnsi="Arial"/>
          <w:sz w:val="16"/>
          <w:szCs w:val="16"/>
          <w:color w:val="auto"/>
        </w:rPr>
        <w:t>’</w:t>
      </w:r>
      <w:r>
        <w:rPr>
          <w:rFonts w:ascii="Arial" w:cs="Arial" w:eastAsia="Arial" w:hAnsi="Arial"/>
          <w:sz w:val="16"/>
          <w:szCs w:val="16"/>
          <w:i w:val="1"/>
          <w:iCs w:val="1"/>
          <w:color w:val="auto"/>
        </w:rPr>
        <w:t>s interim analysis of data currently available from the PALISADE-2 Phase 3 clinical trial and preliminary data from the PALISADE OLS; resuming enrollment in PALISADE-2; the completion and results of PALISADE-2, as well as the Company</w:t>
      </w:r>
      <w:r>
        <w:rPr>
          <w:rFonts w:ascii="Arial" w:cs="Arial" w:eastAsia="Arial" w:hAnsi="Arial"/>
          <w:sz w:val="16"/>
          <w:szCs w:val="16"/>
          <w:color w:val="auto"/>
        </w:rPr>
        <w:t>’</w:t>
      </w:r>
      <w:r>
        <w:rPr>
          <w:rFonts w:ascii="Arial" w:cs="Arial" w:eastAsia="Arial" w:hAnsi="Arial"/>
          <w:sz w:val="16"/>
          <w:szCs w:val="16"/>
          <w:i w:val="1"/>
          <w:iCs w:val="1"/>
          <w:color w:val="auto"/>
        </w:rPr>
        <w:t>s ongoing clinical studies of PH94B, including the Company</w:t>
      </w:r>
      <w:r>
        <w:rPr>
          <w:rFonts w:ascii="Arial" w:cs="Arial" w:eastAsia="Arial" w:hAnsi="Arial"/>
          <w:sz w:val="16"/>
          <w:szCs w:val="16"/>
          <w:color w:val="auto"/>
        </w:rPr>
        <w:t>’</w:t>
      </w:r>
      <w:r>
        <w:rPr>
          <w:rFonts w:ascii="Arial" w:cs="Arial" w:eastAsia="Arial" w:hAnsi="Arial"/>
          <w:sz w:val="16"/>
          <w:szCs w:val="16"/>
          <w:i w:val="1"/>
          <w:iCs w:val="1"/>
          <w:color w:val="auto"/>
        </w:rPr>
        <w:t>s Phase 2A clinical trial of PH94B in adults experiencing adjustment disorder with anxiety, and ongoing studies of the Company</w:t>
      </w:r>
      <w:r>
        <w:rPr>
          <w:rFonts w:ascii="Arial" w:cs="Arial" w:eastAsia="Arial" w:hAnsi="Arial"/>
          <w:sz w:val="16"/>
          <w:szCs w:val="16"/>
          <w:color w:val="auto"/>
        </w:rPr>
        <w:t>’</w:t>
      </w:r>
      <w:r>
        <w:rPr>
          <w:rFonts w:ascii="Arial" w:cs="Arial" w:eastAsia="Arial" w:hAnsi="Arial"/>
          <w:sz w:val="16"/>
          <w:szCs w:val="16"/>
          <w:i w:val="1"/>
          <w:iCs w:val="1"/>
          <w:color w:val="auto"/>
        </w:rPr>
        <w:t>s other product candidates, PH10 and AV-101; delays in launching, conducting and/or completing other ongoing and planned clinical trials, including delays or other adverse effects due to the COVID-19 pandemic; fluctuating costs of materials and other resources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CNS drug candidates. These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2022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September 30, 2022,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5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577-3617 mflather@vistagen.com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ind w:left="4200"/>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8"/>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9"/>
        </w:trPr>
        <w:tc>
          <w:tcPr>
            <w:tcW w:w="8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35,287,200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68,135,300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1,559,600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2,745,800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36,913,800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70,998,000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Right-of-use asset - operating lease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2,465,700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2,662,000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251,100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146,400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40,701,700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2,957,800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2,758,600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730,000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455,500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433,300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6,045,400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5,765,100</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1,557,600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2,371,200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2,605,400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non-current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4,163,000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11,096,700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9,928,100</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4"/>
              </w:rPr>
              <w:t>Preferred stock, $0.001 par value; 10,000,000 shares authorized at September 30, 2022 and March 31,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2022: no shares outstanding at September 30, 2022 and March 31, 2022</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325,000,000 shares authorized at September 30, 2022 and March 31,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206,972,010 and 206,676,620 shares issued at September 30, 2022 and March 31, 2022,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338,229,600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336,080,700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Treasury stock, at cost, 135,665 shares of common stock held at September 30, 2022 and March 31, 2022</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(304,863,500)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(267,604,000)</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64,715,300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40,701,700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70"/>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Sublicense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(892,500)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712,100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(892,500)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358,000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(582,500)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712,100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12,894,500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9,936,300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28,185,800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15,393,500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3,702,300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3,221,200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5,864,300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16,596,800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13,157,500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36,679,900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21,257,800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(17,489,300)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(12,799,500)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(37,262,400)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(20,545,700)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(17,483,200)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(12,794,400)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(37,254,000)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(20,535,500)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(17,483,200)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(12,794,400)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(37,259,500)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(20,538,900)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(375,200)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(737,000)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(17,483,200)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(13,169,600)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(37,259,500)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(21,275,900)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loss attributable to common stockholders per common</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(0.08)</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(0.18)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0"/>
        </w:trPr>
        <w:tc>
          <w:tcPr>
            <w:tcW w:w="5980" w:type="dxa"/>
            <w:vAlign w:val="bottom"/>
          </w:tcPr>
          <w:p>
            <w:pPr>
              <w:spacing w:after="0" w:line="190" w:lineRule="exact"/>
              <w:rPr>
                <w:sz w:val="20"/>
                <w:szCs w:val="20"/>
                <w:color w:val="auto"/>
              </w:rPr>
            </w:pPr>
            <w:r>
              <w:rPr>
                <w:rFonts w:ascii="Arial" w:cs="Arial" w:eastAsia="Arial" w:hAnsi="Arial"/>
                <w:sz w:val="18"/>
                <w:szCs w:val="18"/>
                <w:color w:val="auto"/>
              </w:rPr>
              <w:t>share</w:t>
            </w: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3"/>
              </w:rPr>
              <w:t>206,811,249</w:t>
            </w: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3"/>
              </w:rPr>
              <w:t>193,227,841</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1"/>
              </w:rPr>
              <w:t>206,704,573</w:t>
            </w: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3"/>
              </w:rPr>
              <w:t>191,585,026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attributable to common stockholders per common share</w:t>
            </w: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2022-11-10T18:07:17Z</dcterms:created>
  <dcterms:modified xsi:type="dcterms:W3CDTF">2022-11-10T18:07:17Z</dcterms:modified>
</cp:coreProperties>
</file>