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rFonts w:ascii="Arial" w:cs="Arial" w:eastAsia="Arial" w:hAnsi="Arial"/>
                <w:sz w:val="21"/>
                <w:szCs w:val="21"/>
                <w:u w:val="single" w:color="auto"/>
                <w:color w:val="0000EE"/>
                <w:w w:val="95"/>
              </w:rPr>
            </w:pPr>
            <w:hyperlink r:id="rId13">
              <w:r>
                <w:rPr>
                  <w:rFonts w:ascii="Arial" w:cs="Arial" w:eastAsia="Arial" w:hAnsi="Arial"/>
                  <w:sz w:val="21"/>
                  <w:szCs w:val="21"/>
                  <w:u w:val="single" w:color="auto"/>
                  <w:color w:val="0000EE"/>
                  <w:w w:val="95"/>
                </w:rPr>
                <w:t>SAXE JON S</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VistaGen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VTGN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VISTAGEN THERAPEUTICS, INC.</w:t>
            </w: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08/21/2020</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343 ALLERTON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2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Jon 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Saxe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4"/>
          </w:tcPr>
          <w:p>
            <w:pPr>
              <w:ind w:left="860"/>
              <w:spacing w:after="0"/>
              <w:rPr>
                <w:sz w:val="20"/>
                <w:szCs w:val="20"/>
                <w:color w:val="auto"/>
              </w:rPr>
            </w:pPr>
            <w:r>
              <w:rPr>
                <w:rFonts w:ascii="Arial" w:cs="Arial" w:eastAsia="Arial" w:hAnsi="Arial"/>
                <w:sz w:val="17"/>
                <w:szCs w:val="17"/>
                <w:color w:val="0000FF"/>
              </w:rPr>
              <w:t>08/21/2020</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30,000</w:t>
            </w:r>
          </w:p>
        </w:tc>
        <w:tc>
          <w:tcPr>
            <w:tcW w:w="440" w:type="dxa"/>
            <w:vAlign w:val="bottom"/>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18"/>
                <w:szCs w:val="18"/>
                <w:color w:val="auto"/>
              </w:rPr>
            </w:pPr>
          </w:p>
        </w:tc>
        <w:tc>
          <w:tcPr>
            <w:tcW w:w="620" w:type="dxa"/>
            <w:vAlign w:val="bottom"/>
            <w:gridSpan w:val="4"/>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0.69</w:t>
            </w:r>
            <w:r>
              <w:rPr>
                <w:rFonts w:ascii="Arial" w:cs="Arial" w:eastAsia="Arial" w:hAnsi="Arial"/>
                <w:sz w:val="22"/>
                <w:szCs w:val="22"/>
                <w:color w:val="008000"/>
                <w:w w:val="95"/>
                <w:vertAlign w:val="superscript"/>
              </w:rPr>
              <w:t>(1)</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50,000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Myrna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Marshall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1997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7"/>
                <w:szCs w:val="17"/>
                <w:color w:val="0000FF"/>
              </w:rPr>
              <w:t>3,251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-4177030</wp:posOffset>
            </wp:positionV>
            <wp:extent cx="7031355" cy="4222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221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$0.678 to $0.697, inclusive. The reporting person undertakes to provide to the Issuer, any security holder of Issuer, or the staff of the Securities and Exchange Commission, upon request, full information regarding the number of shares purchased at each separate price within the ranges set forth in this footnote to this Form</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Jerrold D. Dotson,</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08/24/2020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4914"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2020-08-24T15:32:20Z</dcterms:created>
  <dcterms:modified xsi:type="dcterms:W3CDTF">2020-08-24T15:32:20Z</dcterms:modified>
</cp:coreProperties>
</file>