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14, 2018</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1070" w:right="6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1070"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1070"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20"/>
          </w:cols>
          <w:pgMar w:left="240" w:top="1070"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September 14, 2018,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held its 2018 Annual Meeting of Stockholders (the “</w:t>
      </w:r>
      <w:r>
        <w:rPr>
          <w:rFonts w:ascii="Arial" w:cs="Arial" w:eastAsia="Arial" w:hAnsi="Arial"/>
          <w:sz w:val="18"/>
          <w:szCs w:val="18"/>
          <w:i w:val="1"/>
          <w:iCs w:val="1"/>
          <w:color w:val="auto"/>
        </w:rPr>
        <w:t>Annual Meeting</w:t>
      </w:r>
      <w:r>
        <w:rPr>
          <w:rFonts w:ascii="Arial" w:cs="Arial" w:eastAsia="Arial" w:hAnsi="Arial"/>
          <w:sz w:val="18"/>
          <w:szCs w:val="18"/>
          <w:color w:val="auto"/>
        </w:rPr>
        <w:t>”). The matters voted upon at the Annual Meeting and the results of the voting are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Proposal No. 1- Election of Directors</w:t>
            </w: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41"/>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Director Nominees</w:t>
            </w:r>
          </w:p>
        </w:tc>
        <w:tc>
          <w:tcPr>
            <w:tcW w:w="460" w:type="dxa"/>
            <w:vAlign w:val="bottom"/>
          </w:tcPr>
          <w:p>
            <w:pPr>
              <w:spacing w:after="0"/>
              <w:rPr>
                <w:sz w:val="24"/>
                <w:szCs w:val="24"/>
                <w:color w:val="auto"/>
              </w:rPr>
            </w:pPr>
          </w:p>
        </w:tc>
        <w:tc>
          <w:tcPr>
            <w:tcW w:w="2280" w:type="dxa"/>
            <w:vAlign w:val="bottom"/>
          </w:tcPr>
          <w:p>
            <w:pPr>
              <w:jc w:val="right"/>
              <w:ind w:right="932"/>
              <w:spacing w:after="0"/>
              <w:rPr>
                <w:sz w:val="20"/>
                <w:szCs w:val="20"/>
                <w:color w:val="auto"/>
              </w:rPr>
            </w:pPr>
            <w:r>
              <w:rPr>
                <w:rFonts w:ascii="Arial" w:cs="Arial" w:eastAsia="Arial" w:hAnsi="Arial"/>
                <w:sz w:val="18"/>
                <w:szCs w:val="18"/>
                <w:color w:val="auto"/>
              </w:rPr>
              <w:t>For</w:t>
            </w:r>
          </w:p>
        </w:tc>
        <w:tc>
          <w:tcPr>
            <w:tcW w:w="440" w:type="dxa"/>
            <w:vAlign w:val="bottom"/>
          </w:tcPr>
          <w:p>
            <w:pPr>
              <w:spacing w:after="0"/>
              <w:rPr>
                <w:sz w:val="24"/>
                <w:szCs w:val="24"/>
                <w:color w:val="auto"/>
              </w:rPr>
            </w:pPr>
          </w:p>
        </w:tc>
        <w:tc>
          <w:tcPr>
            <w:tcW w:w="2280" w:type="dxa"/>
            <w:vAlign w:val="bottom"/>
          </w:tcPr>
          <w:p>
            <w:pPr>
              <w:jc w:val="right"/>
              <w:ind w:right="732"/>
              <w:spacing w:after="0"/>
              <w:rPr>
                <w:sz w:val="20"/>
                <w:szCs w:val="20"/>
                <w:color w:val="auto"/>
              </w:rPr>
            </w:pPr>
            <w:r>
              <w:rPr>
                <w:rFonts w:ascii="Arial" w:cs="Arial" w:eastAsia="Arial" w:hAnsi="Arial"/>
                <w:sz w:val="18"/>
                <w:szCs w:val="18"/>
                <w:color w:val="auto"/>
              </w:rPr>
              <w:t>Withheld</w:t>
            </w:r>
          </w:p>
        </w:tc>
      </w:tr>
      <w:tr>
        <w:trPr>
          <w:trHeight w:val="216"/>
        </w:trPr>
        <w:tc>
          <w:tcPr>
            <w:tcW w:w="116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 S. Saxe</w:t>
            </w:r>
          </w:p>
        </w:tc>
        <w:tc>
          <w:tcPr>
            <w:tcW w:w="460" w:type="dxa"/>
            <w:vAlign w:val="bottom"/>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4,915,906</w:t>
            </w:r>
          </w:p>
        </w:tc>
        <w:tc>
          <w:tcPr>
            <w:tcW w:w="440" w:type="dxa"/>
            <w:vAlign w:val="bottom"/>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97,194</w:t>
            </w: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Shawn K. Singh</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4,899,517</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113,583</w:t>
            </w: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4,885,209</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127,891</w:t>
            </w: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Brian J. Underdown</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4,876,074</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137,026</w:t>
            </w: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Jerry B. Gin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4,852,173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160,927</w:t>
            </w: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Directors are elected by the affirmative vote of a plurality of the votes cast. Accordingly, the Company's stockholders elected each of the nominees named above to serve on the Company's Board of Directors until the 2019 Annual Meeting of Stockholders, or until their successors are elected and qualified.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gridSpan w:val="3"/>
          </w:tcPr>
          <w:p>
            <w:pPr>
              <w:spacing w:after="0"/>
              <w:rPr>
                <w:sz w:val="20"/>
                <w:szCs w:val="20"/>
                <w:color w:val="auto"/>
              </w:rPr>
            </w:pPr>
            <w:r>
              <w:rPr>
                <w:rFonts w:ascii="Arial" w:cs="Arial" w:eastAsia="Arial" w:hAnsi="Arial"/>
                <w:sz w:val="18"/>
                <w:szCs w:val="18"/>
                <w:i w:val="1"/>
                <w:iCs w:val="1"/>
                <w:color w:val="auto"/>
                <w:w w:val="99"/>
              </w:rPr>
              <w:t>Proposal No. 2- Ratification of Appointment of Auditors</w:t>
            </w:r>
          </w:p>
        </w:tc>
        <w:tc>
          <w:tcPr>
            <w:tcW w:w="2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41"/>
        </w:trPr>
        <w:tc>
          <w:tcPr>
            <w:tcW w:w="1160" w:type="dxa"/>
            <w:vAlign w:val="bottom"/>
          </w:tcPr>
          <w:p>
            <w:pPr>
              <w:spacing w:after="0"/>
              <w:rPr>
                <w:sz w:val="24"/>
                <w:szCs w:val="24"/>
                <w:color w:val="auto"/>
              </w:rPr>
            </w:pPr>
          </w:p>
        </w:tc>
        <w:tc>
          <w:tcPr>
            <w:tcW w:w="2680" w:type="dxa"/>
            <w:vAlign w:val="bottom"/>
            <w:tcBorders>
              <w:bottom w:val="single" w:sz="8" w:color="auto"/>
            </w:tcBorders>
          </w:tcPr>
          <w:p>
            <w:pPr>
              <w:jc w:val="right"/>
              <w:ind w:right="1132"/>
              <w:spacing w:after="0"/>
              <w:rPr>
                <w:sz w:val="20"/>
                <w:szCs w:val="20"/>
                <w:color w:val="auto"/>
              </w:rPr>
            </w:pPr>
            <w:r>
              <w:rPr>
                <w:rFonts w:ascii="Arial" w:cs="Arial" w:eastAsia="Arial" w:hAnsi="Arial"/>
                <w:sz w:val="18"/>
                <w:szCs w:val="18"/>
                <w:color w:val="auto"/>
              </w:rPr>
              <w:t>For</w:t>
            </w:r>
          </w:p>
        </w:tc>
        <w:tc>
          <w:tcPr>
            <w:tcW w:w="540" w:type="dxa"/>
            <w:vAlign w:val="bottom"/>
          </w:tcPr>
          <w:p>
            <w:pPr>
              <w:spacing w:after="0"/>
              <w:rPr>
                <w:sz w:val="24"/>
                <w:szCs w:val="24"/>
                <w:color w:val="auto"/>
              </w:rPr>
            </w:pPr>
          </w:p>
        </w:tc>
        <w:tc>
          <w:tcPr>
            <w:tcW w:w="26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rPr>
              <w:t>Against</w:t>
            </w:r>
          </w:p>
        </w:tc>
        <w:tc>
          <w:tcPr>
            <w:tcW w:w="520" w:type="dxa"/>
            <w:vAlign w:val="bottom"/>
          </w:tcPr>
          <w:p>
            <w:pPr>
              <w:spacing w:after="0"/>
              <w:rPr>
                <w:sz w:val="24"/>
                <w:szCs w:val="24"/>
                <w:color w:val="auto"/>
              </w:rPr>
            </w:pPr>
          </w:p>
        </w:tc>
        <w:tc>
          <w:tcPr>
            <w:tcW w:w="270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color w:val="auto"/>
              </w:rPr>
              <w:t>Abstain</w:t>
            </w:r>
          </w:p>
        </w:tc>
      </w:tr>
      <w:tr>
        <w:trPr>
          <w:trHeight w:val="216"/>
        </w:trPr>
        <w:tc>
          <w:tcPr>
            <w:tcW w:w="1160" w:type="dxa"/>
            <w:vAlign w:val="bottom"/>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15,901,502</w:t>
            </w:r>
          </w:p>
        </w:tc>
        <w:tc>
          <w:tcPr>
            <w:tcW w:w="540" w:type="dxa"/>
            <w:vAlign w:val="bottom"/>
            <w:shd w:val="clear" w:color="auto" w:fill="CCEEFF"/>
          </w:tcPr>
          <w:p>
            <w:pPr>
              <w:spacing w:after="0"/>
              <w:rPr>
                <w:sz w:val="18"/>
                <w:szCs w:val="18"/>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902,448</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208,892</w:t>
            </w:r>
          </w:p>
        </w:tc>
      </w:tr>
    </w:tbl>
    <w:p>
      <w:pPr>
        <w:spacing w:after="0" w:line="208"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Accordingly, stockholders ratified the appointment of OUM &amp; Co, LLP as the Company’s registered independent public accounting firm for the fiscal year ending March 31, 2019.</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more information about the foregoing proposals, please review the Company’s definitive proxy statement, filed with the Securities and Exchange Commission on July 27,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September 14, 2018, the Company utilized a new corporate presentation at the Annual Meeting (the “</w:t>
      </w:r>
      <w:r>
        <w:rPr>
          <w:rFonts w:ascii="Arial" w:cs="Arial" w:eastAsia="Arial" w:hAnsi="Arial"/>
          <w:sz w:val="18"/>
          <w:szCs w:val="18"/>
          <w:i w:val="1"/>
          <w:iCs w:val="1"/>
          <w:color w:val="auto"/>
        </w:rPr>
        <w:t>Corporate Presentation</w:t>
      </w:r>
      <w:r>
        <w:rPr>
          <w:rFonts w:ascii="Arial" w:cs="Arial" w:eastAsia="Arial" w:hAnsi="Arial"/>
          <w:sz w:val="18"/>
          <w:szCs w:val="18"/>
          <w:color w:val="auto"/>
        </w:rPr>
        <w:t>”). A copy of the Corporate Presentation is attached hereto as Exhibit 99.1.</w:t>
      </w:r>
    </w:p>
    <w:p>
      <w:pPr>
        <w:spacing w:after="0" w:line="1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this Current Report on Form 8-K and the exhibit(s) attached hereto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September 18,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Corporate Presentation, dated September 2018</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1905</wp:posOffset>
            </wp:positionV>
            <wp:extent cx="5574030" cy="3129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3249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3249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ectPr>
          <w:pgSz w:w="11900" w:h="16838" w:orient="portrait"/>
          <w:cols w:equalWidth="0" w:num="1">
            <w:col w:w="10220"/>
          </w:cols>
          <w:pgMar w:left="1440" w:top="12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6" w:right="239"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191770</wp:posOffset>
            </wp:positionV>
            <wp:extent cx="5574030" cy="3129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5740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3249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2020-01-12T23:02:48Z</dcterms:created>
  <dcterms:modified xsi:type="dcterms:W3CDTF">2020-01-12T23:02:48Z</dcterms:modified>
</cp:coreProperties>
</file>