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tgn20230331_10k.htm"/>
      <w:bookmarkStart w:id="1" w:name="ksvtgn20230331_10k"/>
      <w:bookmarkEnd w:id="0"/>
      <w:bookmarkEnd w:id="1"/>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10-K</w:t>
      </w:r>
    </w:p>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230"/>
        <w:gridCol w:w="71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Annual Report Pursuant to Section</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fiscal year ended: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230"/>
        <w:gridCol w:w="74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Transition Report Pursuant to Section</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001-37761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Vistagen Therapeutics,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2480"/>
        <w:gridCol w:w="60"/>
        <w:gridCol w:w="1520"/>
      </w:tblGrid>
      <w:tr>
        <w:trPr/>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Nevada</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20-5093315</w:t>
            </w:r>
          </w:p>
        </w:tc>
      </w:tr>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343 Allerton Avenue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South San Francisco, California 94080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(650)</w:t>
      </w:r>
      <w:r>
        <w:rPr>
          <w:rFonts w:ascii="Times New Roman" w:hAnsi="Times New Roman"/>
          <w:caps w:val="false"/>
          <w:smallCaps w:val="false"/>
          <w:sz w:val="20"/>
        </w:rPr>
        <w:t> </w:t>
      </w:r>
      <w:r>
        <w:rPr>
          <w:rFonts w:ascii="Times New Roman" w:hAnsi="Times New Roman"/>
          <w:b/>
          <w:caps w:val="false"/>
          <w:smallCaps w:val="false"/>
          <w:sz w:val="20"/>
        </w:rPr>
        <w:t>577-3600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including zip code, and telephone number, including area code, of registrant’s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Securities registered pursuant to Section</w:t>
      </w:r>
      <w:r>
        <w:rPr>
          <w:rFonts w:ascii="Times New Roman" w:hAnsi="Times New Roman"/>
          <w:caps w:val="false"/>
          <w:smallCaps w:val="false"/>
          <w:sz w:val="20"/>
          <w:u w:val="single"/>
        </w:rPr>
        <w:t> </w:t>
      </w:r>
      <w:r>
        <w:rPr>
          <w:rFonts w:ascii="Times New Roman" w:hAnsi="Times New Roman"/>
          <w:b/>
          <w:caps w:val="false"/>
          <w:smallCaps w:val="false"/>
          <w:sz w:val="20"/>
          <w:u w:val="single"/>
        </w:rPr>
        <w:t>12(b) of the Act</w:t>
      </w:r>
    </w:p>
    <w:p>
      <w:pPr>
        <w:pStyle w:val="TextBody"/>
        <w:bidi w:val="0"/>
        <w:spacing w:before="0" w:after="0"/>
        <w:ind w:left="0" w:right="0" w:hanging="0"/>
        <w:jc w:val="left"/>
        <w:rPr>
          <w:caps w:val="false"/>
          <w:smallCaps w:val="false"/>
        </w:rPr>
      </w:pPr>
      <w:r>
        <w:rPr>
          <w:caps w:val="false"/>
          <w:smallCaps w:val="false"/>
        </w:rPr>
        <w:t> </w:t>
      </w:r>
    </w:p>
    <w:tbl>
      <w:tblPr>
        <w:tblW w:w="9120" w:type="dxa"/>
        <w:jc w:val="left"/>
        <w:tblInd w:w="0" w:type="dxa"/>
        <w:tblLayout w:type="fixed"/>
        <w:tblCellMar>
          <w:top w:w="0" w:type="dxa"/>
          <w:left w:w="0" w:type="dxa"/>
          <w:bottom w:w="0" w:type="dxa"/>
          <w:right w:w="0" w:type="dxa"/>
        </w:tblCellMar>
      </w:tblPr>
      <w:tblGrid>
        <w:gridCol w:w="3500"/>
        <w:gridCol w:w="1925"/>
        <w:gridCol w:w="3695"/>
      </w:tblGrid>
      <w:tr>
        <w:trPr/>
        <w:tc>
          <w:tcPr>
            <w:tcW w:w="350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925" w:type="dxa"/>
            <w:tcBorders/>
            <w:vAlign w:val="center"/>
          </w:tcPr>
          <w:p>
            <w:pPr>
              <w:pStyle w:val="TableContents"/>
              <w:bidi w:val="0"/>
              <w:spacing w:before="0" w:after="283"/>
              <w:jc w:val="center"/>
              <w:rPr>
                <w:b/>
                <w:u w:val="single"/>
              </w:rPr>
            </w:pPr>
            <w:r>
              <w:rPr>
                <w:b/>
                <w:u w:val="single"/>
              </w:rPr>
              <w:t>Trading Symbol(s)</w:t>
            </w:r>
          </w:p>
        </w:tc>
        <w:tc>
          <w:tcPr>
            <w:tcW w:w="36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each exchange on which registered</w:t>
            </w:r>
          </w:p>
        </w:tc>
      </w:tr>
      <w:tr>
        <w:trPr/>
        <w:tc>
          <w:tcPr>
            <w:tcW w:w="3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1925" w:type="dxa"/>
            <w:tcBorders/>
            <w:vAlign w:val="center"/>
          </w:tcPr>
          <w:p>
            <w:pPr>
              <w:pStyle w:val="TableContents"/>
              <w:bidi w:val="0"/>
              <w:spacing w:before="0" w:after="283"/>
              <w:jc w:val="center"/>
              <w:rPr/>
            </w:pPr>
            <w:r>
              <w:rPr/>
              <w:t>VTGN</w:t>
            </w:r>
          </w:p>
        </w:tc>
        <w:tc>
          <w:tcPr>
            <w:tcW w:w="36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Securities registered pursuant to Section</w:t>
      </w:r>
      <w:r>
        <w:rPr>
          <w:rFonts w:ascii="Times New Roman" w:hAnsi="Times New Roman"/>
          <w:caps w:val="false"/>
          <w:smallCaps w:val="false"/>
          <w:sz w:val="20"/>
          <w:u w:val="single"/>
        </w:rPr>
        <w:t> </w:t>
      </w:r>
      <w:r>
        <w:rPr>
          <w:rFonts w:ascii="Times New Roman" w:hAnsi="Times New Roman"/>
          <w:b/>
          <w:caps w:val="false"/>
          <w:smallCaps w:val="false"/>
          <w:sz w:val="20"/>
          <w:u w:val="single"/>
        </w:rPr>
        <w:t>12(g)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5"/>
        <w:gridCol w:w="1715"/>
        <w:gridCol w:w="2030"/>
        <w:gridCol w:w="2087"/>
        <w:gridCol w:w="2238"/>
      </w:tblGrid>
      <w:tr>
        <w:trPr/>
        <w:tc>
          <w:tcPr>
            <w:tcW w:w="2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17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c>
          <w:tcPr>
            <w:tcW w:w="20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0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c>
          <w:tcPr>
            <w:tcW w:w="2238" w:type="dxa"/>
            <w:tcBorders/>
            <w:vAlign w:val="center"/>
          </w:tcPr>
          <w:p>
            <w:pPr>
              <w:pStyle w:val="TableContents"/>
              <w:bidi w:val="0"/>
              <w:spacing w:before="0" w:after="283"/>
              <w:jc w:val="left"/>
              <w:rPr/>
            </w:pPr>
            <w:r>
              <w:rPr/>
              <w:t>Emerging Growth company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aggregate market value of the common stock of the registrant held by non-affiliates of the registrant on September 30, 2022, the last business day of the registrant’s second fiscal quarter, was: $31,202,662.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27, 2023, there were 7,872,479 shares of the registrant’s common stock, $0.001 par value per share,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i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2"/>
        <w:gridCol w:w="121"/>
        <w:gridCol w:w="619"/>
        <w:gridCol w:w="60"/>
        <w:gridCol w:w="7872"/>
        <w:gridCol w:w="771"/>
      </w:tblGrid>
      <w:tr>
        <w:trPr/>
        <w:tc>
          <w:tcPr>
            <w:tcW w:w="762"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872"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Page</w:t>
            </w:r>
            <w:r>
              <w:rPr>
                <w:rFonts w:ascii="Times New Roman" w:hAnsi="Times New Roman"/>
                <w:caps w:val="false"/>
                <w:smallCaps w:val="false"/>
                <w:sz w:val="20"/>
              </w:rPr>
              <w:t> </w:t>
            </w:r>
            <w:r>
              <w:rPr>
                <w:rFonts w:ascii="Times New Roman" w:hAnsi="Times New Roman"/>
                <w:b/>
                <w:caps w:val="false"/>
                <w:smallCaps w:val="false"/>
                <w:sz w:val="20"/>
              </w:rPr>
              <w:t>No.</w:t>
            </w:r>
          </w:p>
        </w:tc>
      </w:tr>
      <w:tr>
        <w:trPr/>
        <w:tc>
          <w:tcPr>
            <w:tcW w:w="762" w:type="dxa"/>
            <w:tcBorders/>
            <w:shd w:fill="CCEE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w:t>
            </w:r>
          </w:p>
        </w:tc>
        <w:tc>
          <w:tcPr>
            <w:tcW w:w="12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7872"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62"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60" w:type="dxa"/>
            <w:tcBorders/>
            <w:shd w:fill="FFFFFF" w:val="clear"/>
            <w:vAlign w:val="center"/>
          </w:tcPr>
          <w:p>
            <w:pPr>
              <w:pStyle w:val="TableContents"/>
              <w:bidi w:val="0"/>
              <w:spacing w:before="0" w:after="283"/>
              <w:jc w:val="left"/>
              <w:rPr/>
            </w:pPr>
            <w:r>
              <w:rPr/>
              <w:t> </w:t>
            </w:r>
          </w:p>
        </w:tc>
        <w:tc>
          <w:tcPr>
            <w:tcW w:w="78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Business</w:t>
            </w:r>
          </w:p>
        </w:tc>
        <w:tc>
          <w:tcPr>
            <w:tcW w:w="77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762"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1A.</w:t>
            </w:r>
          </w:p>
        </w:tc>
        <w:tc>
          <w:tcPr>
            <w:tcW w:w="60" w:type="dxa"/>
            <w:tcBorders/>
            <w:shd w:fill="CCEEFF" w:val="clear"/>
            <w:vAlign w:val="center"/>
          </w:tcPr>
          <w:p>
            <w:pPr>
              <w:pStyle w:val="TableContents"/>
              <w:bidi w:val="0"/>
              <w:spacing w:before="0" w:after="283"/>
              <w:jc w:val="left"/>
              <w:rPr/>
            </w:pPr>
            <w:r>
              <w:rPr/>
              <w:t> </w:t>
            </w:r>
          </w:p>
        </w:tc>
        <w:tc>
          <w:tcPr>
            <w:tcW w:w="78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 Factors</w:t>
            </w:r>
          </w:p>
        </w:tc>
        <w:tc>
          <w:tcPr>
            <w:tcW w:w="77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w:t>
            </w:r>
          </w:p>
        </w:tc>
      </w:tr>
      <w:tr>
        <w:trPr/>
        <w:tc>
          <w:tcPr>
            <w:tcW w:w="76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1B.</w:t>
            </w:r>
          </w:p>
        </w:tc>
        <w:tc>
          <w:tcPr>
            <w:tcW w:w="60" w:type="dxa"/>
            <w:tcBorders/>
            <w:shd w:fill="FFFFFF" w:val="clear"/>
            <w:vAlign w:val="center"/>
          </w:tcPr>
          <w:p>
            <w:pPr>
              <w:pStyle w:val="TableContents"/>
              <w:bidi w:val="0"/>
              <w:spacing w:before="0" w:after="283"/>
              <w:jc w:val="left"/>
              <w:rPr/>
            </w:pPr>
            <w:r>
              <w:rPr/>
              <w:t> </w:t>
            </w:r>
          </w:p>
        </w:tc>
        <w:tc>
          <w:tcPr>
            <w:tcW w:w="78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Unresolved Staff Comments</w:t>
            </w:r>
          </w:p>
        </w:tc>
        <w:tc>
          <w:tcPr>
            <w:tcW w:w="77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77</w:t>
            </w:r>
          </w:p>
        </w:tc>
      </w:tr>
      <w:tr>
        <w:trPr/>
        <w:tc>
          <w:tcPr>
            <w:tcW w:w="762"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60" w:type="dxa"/>
            <w:tcBorders/>
            <w:shd w:fill="CCEEFF" w:val="clear"/>
            <w:vAlign w:val="center"/>
          </w:tcPr>
          <w:p>
            <w:pPr>
              <w:pStyle w:val="TableContents"/>
              <w:bidi w:val="0"/>
              <w:spacing w:before="0" w:after="283"/>
              <w:jc w:val="left"/>
              <w:rPr/>
            </w:pPr>
            <w:r>
              <w:rPr/>
              <w:t> </w:t>
            </w:r>
          </w:p>
        </w:tc>
        <w:tc>
          <w:tcPr>
            <w:tcW w:w="78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Properties</w:t>
            </w:r>
          </w:p>
        </w:tc>
        <w:tc>
          <w:tcPr>
            <w:tcW w:w="771" w:type="dxa"/>
            <w:tcBorders/>
            <w:shd w:fill="CCEEFF" w:val="clear"/>
            <w:vAlign w:val="center"/>
          </w:tcPr>
          <w:p>
            <w:pPr>
              <w:pStyle w:val="TableContents"/>
              <w:bidi w:val="0"/>
              <w:spacing w:before="0" w:after="283"/>
              <w:jc w:val="right"/>
              <w:rPr/>
            </w:pPr>
            <w:r>
              <w:rPr/>
              <w:t>78</w:t>
            </w:r>
          </w:p>
        </w:tc>
      </w:tr>
      <w:tr>
        <w:trPr/>
        <w:tc>
          <w:tcPr>
            <w:tcW w:w="76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60" w:type="dxa"/>
            <w:tcBorders/>
            <w:shd w:fill="FFFFFF" w:val="clear"/>
            <w:vAlign w:val="center"/>
          </w:tcPr>
          <w:p>
            <w:pPr>
              <w:pStyle w:val="TableContents"/>
              <w:bidi w:val="0"/>
              <w:spacing w:before="0" w:after="283"/>
              <w:jc w:val="left"/>
              <w:rPr/>
            </w:pPr>
            <w:r>
              <w:rPr/>
              <w:t> </w:t>
            </w:r>
          </w:p>
        </w:tc>
        <w:tc>
          <w:tcPr>
            <w:tcW w:w="78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Proceedings</w:t>
            </w:r>
          </w:p>
        </w:tc>
        <w:tc>
          <w:tcPr>
            <w:tcW w:w="771" w:type="dxa"/>
            <w:tcBorders/>
            <w:shd w:fill="FFFFFF" w:val="clear"/>
            <w:vAlign w:val="center"/>
          </w:tcPr>
          <w:p>
            <w:pPr>
              <w:pStyle w:val="TableContents"/>
              <w:bidi w:val="0"/>
              <w:spacing w:before="0" w:after="283"/>
              <w:jc w:val="right"/>
              <w:rPr/>
            </w:pPr>
            <w:r>
              <w:rPr/>
              <w:t>78</w:t>
            </w:r>
          </w:p>
        </w:tc>
      </w:tr>
      <w:tr>
        <w:trPr/>
        <w:tc>
          <w:tcPr>
            <w:tcW w:w="762"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60" w:type="dxa"/>
            <w:tcBorders/>
            <w:shd w:fill="CCEEFF" w:val="clear"/>
            <w:vAlign w:val="center"/>
          </w:tcPr>
          <w:p>
            <w:pPr>
              <w:pStyle w:val="TableContents"/>
              <w:bidi w:val="0"/>
              <w:spacing w:before="0" w:after="283"/>
              <w:jc w:val="left"/>
              <w:rPr/>
            </w:pPr>
            <w:r>
              <w:rPr/>
              <w:t> </w:t>
            </w:r>
          </w:p>
        </w:tc>
        <w:tc>
          <w:tcPr>
            <w:tcW w:w="78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Mine Safety Disclosures</w:t>
            </w:r>
          </w:p>
        </w:tc>
        <w:tc>
          <w:tcPr>
            <w:tcW w:w="771" w:type="dxa"/>
            <w:tcBorders/>
            <w:shd w:fill="CCEEFF" w:val="clear"/>
            <w:vAlign w:val="center"/>
          </w:tcPr>
          <w:p>
            <w:pPr>
              <w:pStyle w:val="TableContents"/>
              <w:bidi w:val="0"/>
              <w:spacing w:before="0" w:after="283"/>
              <w:jc w:val="right"/>
              <w:rPr/>
            </w:pPr>
            <w:r>
              <w:rPr/>
              <w:t>78</w:t>
            </w:r>
          </w:p>
        </w:tc>
      </w:tr>
      <w:tr>
        <w:trPr/>
        <w:tc>
          <w:tcPr>
            <w:tcW w:w="762" w:type="dxa"/>
            <w:tcBorders/>
            <w:shd w:fill="FFFF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w:t>
            </w:r>
          </w:p>
        </w:tc>
        <w:tc>
          <w:tcPr>
            <w:tcW w:w="12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787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pPr>
            <w:r>
              <w:rPr/>
              <w:t> </w:t>
            </w:r>
          </w:p>
        </w:tc>
      </w:tr>
      <w:tr>
        <w:trPr/>
        <w:tc>
          <w:tcPr>
            <w:tcW w:w="762"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60" w:type="dxa"/>
            <w:tcBorders/>
            <w:shd w:fill="CCEEFF" w:val="clear"/>
            <w:vAlign w:val="center"/>
          </w:tcPr>
          <w:p>
            <w:pPr>
              <w:pStyle w:val="TableContents"/>
              <w:bidi w:val="0"/>
              <w:spacing w:before="0" w:after="283"/>
              <w:jc w:val="left"/>
              <w:rPr/>
            </w:pPr>
            <w:r>
              <w:rPr/>
              <w:t> </w:t>
            </w:r>
          </w:p>
        </w:tc>
        <w:tc>
          <w:tcPr>
            <w:tcW w:w="7872" w:type="dxa"/>
            <w:tcBorders/>
            <w:shd w:fill="CCEE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Market for Registrant’s Common Equity, Related Stockholder Matters and Issuer Purchases of Equity Securities</w:t>
            </w:r>
          </w:p>
        </w:tc>
        <w:tc>
          <w:tcPr>
            <w:tcW w:w="771" w:type="dxa"/>
            <w:tcBorders/>
            <w:shd w:fill="CCEEFF" w:val="clear"/>
            <w:vAlign w:val="center"/>
          </w:tcPr>
          <w:p>
            <w:pPr>
              <w:pStyle w:val="TableContents"/>
              <w:bidi w:val="0"/>
              <w:spacing w:before="0" w:after="283"/>
              <w:jc w:val="right"/>
              <w:rPr/>
            </w:pPr>
            <w:r>
              <w:rPr/>
              <w:t>79</w:t>
            </w:r>
          </w:p>
        </w:tc>
      </w:tr>
      <w:tr>
        <w:trPr/>
        <w:tc>
          <w:tcPr>
            <w:tcW w:w="76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60" w:type="dxa"/>
            <w:tcBorders/>
            <w:shd w:fill="FFFFFF" w:val="clear"/>
            <w:vAlign w:val="center"/>
          </w:tcPr>
          <w:p>
            <w:pPr>
              <w:pStyle w:val="TableContents"/>
              <w:bidi w:val="0"/>
              <w:spacing w:before="0" w:after="283"/>
              <w:jc w:val="left"/>
              <w:rPr/>
            </w:pPr>
            <w:r>
              <w:rPr/>
              <w:t> </w:t>
            </w:r>
          </w:p>
        </w:tc>
        <w:tc>
          <w:tcPr>
            <w:tcW w:w="7872" w:type="dxa"/>
            <w:tcBorders/>
            <w:shd w:fill="FFFF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Selected Financial Data</w:t>
            </w:r>
          </w:p>
        </w:tc>
        <w:tc>
          <w:tcPr>
            <w:tcW w:w="771" w:type="dxa"/>
            <w:tcBorders/>
            <w:shd w:fill="FFFFFF" w:val="clear"/>
            <w:vAlign w:val="center"/>
          </w:tcPr>
          <w:p>
            <w:pPr>
              <w:pStyle w:val="TableContents"/>
              <w:bidi w:val="0"/>
              <w:spacing w:before="0" w:after="283"/>
              <w:jc w:val="right"/>
              <w:rPr/>
            </w:pPr>
            <w:r>
              <w:rPr/>
              <w:t>79</w:t>
            </w:r>
          </w:p>
        </w:tc>
      </w:tr>
      <w:tr>
        <w:trPr/>
        <w:tc>
          <w:tcPr>
            <w:tcW w:w="762"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60" w:type="dxa"/>
            <w:tcBorders/>
            <w:shd w:fill="CCEEFF" w:val="clear"/>
            <w:vAlign w:val="center"/>
          </w:tcPr>
          <w:p>
            <w:pPr>
              <w:pStyle w:val="TableContents"/>
              <w:bidi w:val="0"/>
              <w:spacing w:before="0" w:after="283"/>
              <w:jc w:val="left"/>
              <w:rPr/>
            </w:pPr>
            <w:r>
              <w:rPr/>
              <w:t> </w:t>
            </w:r>
          </w:p>
        </w:tc>
        <w:tc>
          <w:tcPr>
            <w:tcW w:w="7872" w:type="dxa"/>
            <w:tcBorders/>
            <w:shd w:fill="CCEE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Management’s Discussion and Analysis of Financial Condition and Results of Operations</w:t>
            </w:r>
          </w:p>
        </w:tc>
        <w:tc>
          <w:tcPr>
            <w:tcW w:w="771" w:type="dxa"/>
            <w:tcBorders/>
            <w:shd w:fill="CCEEFF" w:val="clear"/>
            <w:vAlign w:val="center"/>
          </w:tcPr>
          <w:p>
            <w:pPr>
              <w:pStyle w:val="TableContents"/>
              <w:bidi w:val="0"/>
              <w:spacing w:before="0" w:after="283"/>
              <w:jc w:val="right"/>
              <w:rPr/>
            </w:pPr>
            <w:r>
              <w:rPr/>
              <w:t>80</w:t>
            </w:r>
          </w:p>
        </w:tc>
      </w:tr>
      <w:tr>
        <w:trPr/>
        <w:tc>
          <w:tcPr>
            <w:tcW w:w="76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7A.</w:t>
            </w:r>
          </w:p>
        </w:tc>
        <w:tc>
          <w:tcPr>
            <w:tcW w:w="60" w:type="dxa"/>
            <w:tcBorders/>
            <w:shd w:fill="FFFFFF" w:val="clear"/>
            <w:vAlign w:val="center"/>
          </w:tcPr>
          <w:p>
            <w:pPr>
              <w:pStyle w:val="TableContents"/>
              <w:bidi w:val="0"/>
              <w:spacing w:before="0" w:after="283"/>
              <w:jc w:val="left"/>
              <w:rPr/>
            </w:pPr>
            <w:r>
              <w:rPr/>
              <w:t> </w:t>
            </w:r>
          </w:p>
        </w:tc>
        <w:tc>
          <w:tcPr>
            <w:tcW w:w="7872" w:type="dxa"/>
            <w:tcBorders/>
            <w:shd w:fill="FFFF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Quantitative and Qualitative Disclosures About Market Risk</w:t>
            </w:r>
          </w:p>
        </w:tc>
        <w:tc>
          <w:tcPr>
            <w:tcW w:w="771" w:type="dxa"/>
            <w:tcBorders/>
            <w:shd w:fill="FFFFFF" w:val="clear"/>
            <w:vAlign w:val="center"/>
          </w:tcPr>
          <w:p>
            <w:pPr>
              <w:pStyle w:val="TableContents"/>
              <w:bidi w:val="0"/>
              <w:spacing w:before="0" w:after="283"/>
              <w:jc w:val="right"/>
              <w:rPr/>
            </w:pPr>
            <w:r>
              <w:rPr/>
              <w:t>102</w:t>
            </w:r>
          </w:p>
        </w:tc>
      </w:tr>
      <w:tr>
        <w:trPr/>
        <w:tc>
          <w:tcPr>
            <w:tcW w:w="762"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60" w:type="dxa"/>
            <w:tcBorders/>
            <w:shd w:fill="CCEEFF" w:val="clear"/>
            <w:vAlign w:val="center"/>
          </w:tcPr>
          <w:p>
            <w:pPr>
              <w:pStyle w:val="TableContents"/>
              <w:bidi w:val="0"/>
              <w:spacing w:before="0" w:after="283"/>
              <w:jc w:val="left"/>
              <w:rPr/>
            </w:pPr>
            <w:r>
              <w:rPr/>
              <w:t> </w:t>
            </w:r>
          </w:p>
        </w:tc>
        <w:tc>
          <w:tcPr>
            <w:tcW w:w="7872" w:type="dxa"/>
            <w:tcBorders/>
            <w:shd w:fill="CCEE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Financial Statements and Supplementary Data</w:t>
            </w:r>
          </w:p>
        </w:tc>
        <w:tc>
          <w:tcPr>
            <w:tcW w:w="771" w:type="dxa"/>
            <w:tcBorders/>
            <w:shd w:fill="CCEEFF" w:val="clear"/>
            <w:vAlign w:val="center"/>
          </w:tcPr>
          <w:p>
            <w:pPr>
              <w:pStyle w:val="TableContents"/>
              <w:bidi w:val="0"/>
              <w:spacing w:before="0" w:after="283"/>
              <w:jc w:val="right"/>
              <w:rPr/>
            </w:pPr>
            <w:r>
              <w:rPr/>
              <w:t>103</w:t>
            </w:r>
          </w:p>
        </w:tc>
      </w:tr>
      <w:tr>
        <w:trPr/>
        <w:tc>
          <w:tcPr>
            <w:tcW w:w="76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60" w:type="dxa"/>
            <w:tcBorders/>
            <w:shd w:fill="FFFFFF" w:val="clear"/>
            <w:vAlign w:val="center"/>
          </w:tcPr>
          <w:p>
            <w:pPr>
              <w:pStyle w:val="TableContents"/>
              <w:bidi w:val="0"/>
              <w:spacing w:before="0" w:after="283"/>
              <w:jc w:val="left"/>
              <w:rPr/>
            </w:pPr>
            <w:r>
              <w:rPr/>
              <w:t> </w:t>
            </w:r>
          </w:p>
        </w:tc>
        <w:tc>
          <w:tcPr>
            <w:tcW w:w="7872" w:type="dxa"/>
            <w:tcBorders/>
            <w:shd w:fill="FFFF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Changes in and Disagreements with Accountants on Accounting and Financial Disclosure</w:t>
            </w:r>
          </w:p>
        </w:tc>
        <w:tc>
          <w:tcPr>
            <w:tcW w:w="771" w:type="dxa"/>
            <w:tcBorders/>
            <w:shd w:fill="FFFFFF" w:val="clear"/>
            <w:vAlign w:val="center"/>
          </w:tcPr>
          <w:p>
            <w:pPr>
              <w:pStyle w:val="TableContents"/>
              <w:bidi w:val="0"/>
              <w:spacing w:before="0" w:after="283"/>
              <w:jc w:val="right"/>
              <w:rPr/>
            </w:pPr>
            <w:r>
              <w:rPr/>
              <w:t>140</w:t>
            </w:r>
          </w:p>
        </w:tc>
      </w:tr>
      <w:tr>
        <w:trPr/>
        <w:tc>
          <w:tcPr>
            <w:tcW w:w="762"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9A.</w:t>
            </w:r>
          </w:p>
        </w:tc>
        <w:tc>
          <w:tcPr>
            <w:tcW w:w="60" w:type="dxa"/>
            <w:tcBorders/>
            <w:shd w:fill="CCEEFF" w:val="clear"/>
            <w:vAlign w:val="center"/>
          </w:tcPr>
          <w:p>
            <w:pPr>
              <w:pStyle w:val="TableContents"/>
              <w:bidi w:val="0"/>
              <w:spacing w:before="0" w:after="283"/>
              <w:jc w:val="left"/>
              <w:rPr/>
            </w:pPr>
            <w:r>
              <w:rPr/>
              <w:t> </w:t>
            </w:r>
          </w:p>
        </w:tc>
        <w:tc>
          <w:tcPr>
            <w:tcW w:w="7872" w:type="dxa"/>
            <w:tcBorders/>
            <w:shd w:fill="CCEE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Controls and Procedures</w:t>
            </w:r>
          </w:p>
        </w:tc>
        <w:tc>
          <w:tcPr>
            <w:tcW w:w="771" w:type="dxa"/>
            <w:tcBorders/>
            <w:shd w:fill="CCEEFF" w:val="clear"/>
            <w:vAlign w:val="center"/>
          </w:tcPr>
          <w:p>
            <w:pPr>
              <w:pStyle w:val="TableContents"/>
              <w:bidi w:val="0"/>
              <w:spacing w:before="0" w:after="283"/>
              <w:jc w:val="right"/>
              <w:rPr/>
            </w:pPr>
            <w:r>
              <w:rPr/>
              <w:t>140</w:t>
            </w:r>
          </w:p>
        </w:tc>
      </w:tr>
      <w:tr>
        <w:trPr/>
        <w:tc>
          <w:tcPr>
            <w:tcW w:w="76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9B.</w:t>
            </w:r>
          </w:p>
        </w:tc>
        <w:tc>
          <w:tcPr>
            <w:tcW w:w="60" w:type="dxa"/>
            <w:tcBorders/>
            <w:shd w:fill="FFFFFF" w:val="clear"/>
            <w:vAlign w:val="center"/>
          </w:tcPr>
          <w:p>
            <w:pPr>
              <w:pStyle w:val="TableContents"/>
              <w:bidi w:val="0"/>
              <w:spacing w:before="0" w:after="283"/>
              <w:jc w:val="left"/>
              <w:rPr/>
            </w:pPr>
            <w:r>
              <w:rPr/>
              <w:t> </w:t>
            </w:r>
          </w:p>
        </w:tc>
        <w:tc>
          <w:tcPr>
            <w:tcW w:w="7872" w:type="dxa"/>
            <w:tcBorders/>
            <w:shd w:fill="FFFF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Other Information</w:t>
            </w:r>
          </w:p>
        </w:tc>
        <w:tc>
          <w:tcPr>
            <w:tcW w:w="771" w:type="dxa"/>
            <w:tcBorders/>
            <w:shd w:fill="FFFFFF" w:val="clear"/>
            <w:vAlign w:val="center"/>
          </w:tcPr>
          <w:p>
            <w:pPr>
              <w:pStyle w:val="TableContents"/>
              <w:bidi w:val="0"/>
              <w:spacing w:before="0" w:after="283"/>
              <w:jc w:val="right"/>
              <w:rPr/>
            </w:pPr>
            <w:r>
              <w:rPr/>
              <w:t>140</w:t>
            </w:r>
          </w:p>
        </w:tc>
      </w:tr>
      <w:tr>
        <w:trPr/>
        <w:tc>
          <w:tcPr>
            <w:tcW w:w="762" w:type="dxa"/>
            <w:tcBorders/>
            <w:shd w:fill="CCEE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III</w:t>
            </w:r>
          </w:p>
        </w:tc>
        <w:tc>
          <w:tcPr>
            <w:tcW w:w="12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7872"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283"/>
              <w:jc w:val="right"/>
              <w:rPr/>
            </w:pPr>
            <w:r>
              <w:rPr/>
              <w:t> </w:t>
            </w:r>
          </w:p>
        </w:tc>
      </w:tr>
      <w:tr>
        <w:trPr/>
        <w:tc>
          <w:tcPr>
            <w:tcW w:w="76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60" w:type="dxa"/>
            <w:tcBorders/>
            <w:shd w:fill="FFFFFF" w:val="clear"/>
            <w:vAlign w:val="center"/>
          </w:tcPr>
          <w:p>
            <w:pPr>
              <w:pStyle w:val="TableContents"/>
              <w:bidi w:val="0"/>
              <w:spacing w:before="0" w:after="283"/>
              <w:jc w:val="left"/>
              <w:rPr/>
            </w:pPr>
            <w:r>
              <w:rPr/>
              <w:t> </w:t>
            </w:r>
          </w:p>
        </w:tc>
        <w:tc>
          <w:tcPr>
            <w:tcW w:w="7872" w:type="dxa"/>
            <w:tcBorders/>
            <w:shd w:fill="FFFF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Directors, Executive Officers and Corporate Governance</w:t>
            </w:r>
          </w:p>
        </w:tc>
        <w:tc>
          <w:tcPr>
            <w:tcW w:w="771" w:type="dxa"/>
            <w:tcBorders/>
            <w:shd w:fill="FFFFFF" w:val="clear"/>
            <w:vAlign w:val="center"/>
          </w:tcPr>
          <w:p>
            <w:pPr>
              <w:pStyle w:val="TableContents"/>
              <w:bidi w:val="0"/>
              <w:spacing w:before="0" w:after="283"/>
              <w:jc w:val="right"/>
              <w:rPr/>
            </w:pPr>
            <w:r>
              <w:rPr/>
              <w:t>141</w:t>
            </w:r>
          </w:p>
        </w:tc>
      </w:tr>
      <w:tr>
        <w:trPr/>
        <w:tc>
          <w:tcPr>
            <w:tcW w:w="762"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60" w:type="dxa"/>
            <w:tcBorders/>
            <w:shd w:fill="CCEEFF" w:val="clear"/>
            <w:vAlign w:val="center"/>
          </w:tcPr>
          <w:p>
            <w:pPr>
              <w:pStyle w:val="TableContents"/>
              <w:bidi w:val="0"/>
              <w:spacing w:before="0" w:after="283"/>
              <w:jc w:val="left"/>
              <w:rPr/>
            </w:pPr>
            <w:r>
              <w:rPr/>
              <w:t> </w:t>
            </w:r>
          </w:p>
        </w:tc>
        <w:tc>
          <w:tcPr>
            <w:tcW w:w="7872" w:type="dxa"/>
            <w:tcBorders/>
            <w:shd w:fill="CCEE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Executive Compensation</w:t>
            </w:r>
          </w:p>
        </w:tc>
        <w:tc>
          <w:tcPr>
            <w:tcW w:w="771" w:type="dxa"/>
            <w:tcBorders/>
            <w:shd w:fill="CCEEFF" w:val="clear"/>
            <w:vAlign w:val="center"/>
          </w:tcPr>
          <w:p>
            <w:pPr>
              <w:pStyle w:val="TableContents"/>
              <w:bidi w:val="0"/>
              <w:spacing w:before="0" w:after="283"/>
              <w:jc w:val="right"/>
              <w:rPr/>
            </w:pPr>
            <w:r>
              <w:rPr/>
              <w:t>141</w:t>
            </w:r>
          </w:p>
        </w:tc>
      </w:tr>
      <w:tr>
        <w:trPr/>
        <w:tc>
          <w:tcPr>
            <w:tcW w:w="76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60" w:type="dxa"/>
            <w:tcBorders/>
            <w:shd w:fill="FFFFFF" w:val="clear"/>
            <w:vAlign w:val="center"/>
          </w:tcPr>
          <w:p>
            <w:pPr>
              <w:pStyle w:val="TableContents"/>
              <w:bidi w:val="0"/>
              <w:spacing w:before="0" w:after="283"/>
              <w:jc w:val="left"/>
              <w:rPr/>
            </w:pPr>
            <w:r>
              <w:rPr/>
              <w:t> </w:t>
            </w:r>
          </w:p>
        </w:tc>
        <w:tc>
          <w:tcPr>
            <w:tcW w:w="7872" w:type="dxa"/>
            <w:tcBorders/>
            <w:shd w:fill="FFFF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Security Ownership of Certain Beneficial Owners and Management and Related Stockholder Matters</w:t>
            </w:r>
          </w:p>
        </w:tc>
        <w:tc>
          <w:tcPr>
            <w:tcW w:w="771" w:type="dxa"/>
            <w:tcBorders/>
            <w:shd w:fill="FFFFFF" w:val="clear"/>
            <w:vAlign w:val="center"/>
          </w:tcPr>
          <w:p>
            <w:pPr>
              <w:pStyle w:val="TableContents"/>
              <w:bidi w:val="0"/>
              <w:spacing w:before="0" w:after="283"/>
              <w:jc w:val="right"/>
              <w:rPr/>
            </w:pPr>
            <w:r>
              <w:rPr/>
              <w:t>141</w:t>
            </w:r>
          </w:p>
        </w:tc>
      </w:tr>
      <w:tr>
        <w:trPr/>
        <w:tc>
          <w:tcPr>
            <w:tcW w:w="762"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60" w:type="dxa"/>
            <w:tcBorders/>
            <w:shd w:fill="CCEEFF" w:val="clear"/>
            <w:vAlign w:val="center"/>
          </w:tcPr>
          <w:p>
            <w:pPr>
              <w:pStyle w:val="TableContents"/>
              <w:bidi w:val="0"/>
              <w:spacing w:before="0" w:after="283"/>
              <w:jc w:val="left"/>
              <w:rPr/>
            </w:pPr>
            <w:r>
              <w:rPr/>
              <w:t> </w:t>
            </w:r>
          </w:p>
        </w:tc>
        <w:tc>
          <w:tcPr>
            <w:tcW w:w="7872" w:type="dxa"/>
            <w:tcBorders/>
            <w:shd w:fill="CCEE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Certain Relationships and Related Transactions, and Director Independence</w:t>
            </w:r>
          </w:p>
        </w:tc>
        <w:tc>
          <w:tcPr>
            <w:tcW w:w="771" w:type="dxa"/>
            <w:tcBorders/>
            <w:shd w:fill="CCEEFF" w:val="clear"/>
            <w:vAlign w:val="center"/>
          </w:tcPr>
          <w:p>
            <w:pPr>
              <w:pStyle w:val="TableContents"/>
              <w:bidi w:val="0"/>
              <w:spacing w:before="0" w:after="283"/>
              <w:jc w:val="right"/>
              <w:rPr/>
            </w:pPr>
            <w:r>
              <w:rPr/>
              <w:t>141</w:t>
            </w:r>
          </w:p>
        </w:tc>
      </w:tr>
      <w:tr>
        <w:trPr/>
        <w:tc>
          <w:tcPr>
            <w:tcW w:w="76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c>
          <w:tcPr>
            <w:tcW w:w="60" w:type="dxa"/>
            <w:tcBorders/>
            <w:shd w:fill="FFFFFF" w:val="clear"/>
            <w:vAlign w:val="center"/>
          </w:tcPr>
          <w:p>
            <w:pPr>
              <w:pStyle w:val="TableContents"/>
              <w:bidi w:val="0"/>
              <w:spacing w:before="0" w:after="283"/>
              <w:jc w:val="left"/>
              <w:rPr/>
            </w:pPr>
            <w:r>
              <w:rPr/>
              <w:t> </w:t>
            </w:r>
          </w:p>
        </w:tc>
        <w:tc>
          <w:tcPr>
            <w:tcW w:w="7872" w:type="dxa"/>
            <w:tcBorders/>
            <w:shd w:fill="FFFF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Principal Accounting Fees and Services</w:t>
            </w:r>
          </w:p>
        </w:tc>
        <w:tc>
          <w:tcPr>
            <w:tcW w:w="771" w:type="dxa"/>
            <w:tcBorders/>
            <w:shd w:fill="FFFFFF" w:val="clear"/>
            <w:vAlign w:val="center"/>
          </w:tcPr>
          <w:p>
            <w:pPr>
              <w:pStyle w:val="TableContents"/>
              <w:bidi w:val="0"/>
              <w:spacing w:before="0" w:after="283"/>
              <w:jc w:val="right"/>
              <w:rPr/>
            </w:pPr>
            <w:r>
              <w:rPr/>
              <w:t>141</w:t>
            </w:r>
          </w:p>
        </w:tc>
      </w:tr>
      <w:tr>
        <w:trPr/>
        <w:tc>
          <w:tcPr>
            <w:tcW w:w="762" w:type="dxa"/>
            <w:tcBorders/>
            <w:shd w:fill="CCEEFF" w:val="clear"/>
            <w:vAlign w:val="center"/>
          </w:tcPr>
          <w:p>
            <w:pPr>
              <w:pStyle w:val="TableContents"/>
              <w:bidi w:val="0"/>
              <w:spacing w:before="0" w:after="0"/>
              <w:ind w:left="360" w:right="0" w:hanging="360"/>
              <w:jc w:val="left"/>
              <w:rPr>
                <w:rFonts w:ascii="Times New Roman" w:hAnsi="Times New Roman"/>
                <w:b/>
                <w:caps w:val="false"/>
                <w:smallCaps w:val="false"/>
                <w:sz w:val="20"/>
              </w:rPr>
            </w:pPr>
            <w:r>
              <w:rPr>
                <w:rFonts w:ascii="Times New Roman" w:hAnsi="Times New Roman"/>
                <w:b/>
                <w:caps w:val="false"/>
                <w:smallCaps w:val="false"/>
                <w:sz w:val="20"/>
              </w:rPr>
              <w:t>PART IV</w:t>
            </w:r>
          </w:p>
        </w:tc>
        <w:tc>
          <w:tcPr>
            <w:tcW w:w="12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7872"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283"/>
              <w:jc w:val="right"/>
              <w:rPr/>
            </w:pPr>
            <w:r>
              <w:rPr/>
              <w:t> </w:t>
            </w:r>
          </w:p>
        </w:tc>
      </w:tr>
      <w:tr>
        <w:trPr/>
        <w:tc>
          <w:tcPr>
            <w:tcW w:w="76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c>
          <w:tcPr>
            <w:tcW w:w="60" w:type="dxa"/>
            <w:tcBorders/>
            <w:shd w:fill="FFFFFF" w:val="clear"/>
            <w:vAlign w:val="center"/>
          </w:tcPr>
          <w:p>
            <w:pPr>
              <w:pStyle w:val="TableContents"/>
              <w:bidi w:val="0"/>
              <w:spacing w:before="0" w:after="283"/>
              <w:jc w:val="left"/>
              <w:rPr/>
            </w:pPr>
            <w:r>
              <w:rPr/>
              <w:t> </w:t>
            </w:r>
          </w:p>
        </w:tc>
        <w:tc>
          <w:tcPr>
            <w:tcW w:w="7872" w:type="dxa"/>
            <w:tcBorders/>
            <w:shd w:fill="FFFF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Exhibits and Financial Statement Schedules</w:t>
            </w:r>
          </w:p>
        </w:tc>
        <w:tc>
          <w:tcPr>
            <w:tcW w:w="771" w:type="dxa"/>
            <w:tcBorders/>
            <w:shd w:fill="FFFFFF" w:val="clear"/>
            <w:vAlign w:val="center"/>
          </w:tcPr>
          <w:p>
            <w:pPr>
              <w:pStyle w:val="TableContents"/>
              <w:bidi w:val="0"/>
              <w:spacing w:before="0" w:after="283"/>
              <w:jc w:val="right"/>
              <w:rPr/>
            </w:pPr>
            <w:r>
              <w:rPr/>
              <w:t>142</w:t>
            </w:r>
          </w:p>
        </w:tc>
      </w:tr>
      <w:tr>
        <w:trPr/>
        <w:tc>
          <w:tcPr>
            <w:tcW w:w="762"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72"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r>
      <w:tr>
        <w:trPr/>
        <w:tc>
          <w:tcPr>
            <w:tcW w:w="9434" w:type="dxa"/>
            <w:gridSpan w:val="5"/>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INDEX</w:t>
            </w:r>
          </w:p>
        </w:tc>
        <w:tc>
          <w:tcPr>
            <w:tcW w:w="771" w:type="dxa"/>
            <w:tcBorders/>
            <w:shd w:fill="FFFFFF" w:val="clear"/>
            <w:vAlign w:val="center"/>
          </w:tcPr>
          <w:p>
            <w:pPr>
              <w:pStyle w:val="TableContents"/>
              <w:bidi w:val="0"/>
              <w:spacing w:before="0" w:after="283"/>
              <w:jc w:val="right"/>
              <w:rPr/>
            </w:pPr>
            <w:r>
              <w:rPr/>
              <w:t>142</w:t>
            </w:r>
          </w:p>
        </w:tc>
      </w:tr>
      <w:tr>
        <w:trPr/>
        <w:tc>
          <w:tcPr>
            <w:tcW w:w="9434" w:type="dxa"/>
            <w:gridSpan w:val="5"/>
            <w:tcBorders/>
            <w:shd w:fill="CCEEFF" w:val="clear"/>
            <w:vAlign w:val="center"/>
          </w:tcPr>
          <w:p>
            <w:pPr>
              <w:pStyle w:val="TableContents"/>
              <w:bidi w:val="0"/>
              <w:spacing w:before="0" w:after="0"/>
              <w:ind w:left="360" w:right="0" w:hanging="360"/>
              <w:jc w:val="left"/>
              <w:rPr>
                <w:rFonts w:ascii="Times New Roman" w:hAnsi="Times New Roman"/>
                <w:b/>
                <w:caps w:val="false"/>
                <w:smallCaps w:val="false"/>
                <w:sz w:val="20"/>
              </w:rPr>
            </w:pPr>
            <w:r>
              <w:rPr>
                <w:rFonts w:ascii="Times New Roman" w:hAnsi="Times New Roman"/>
                <w:b/>
                <w:caps w:val="false"/>
                <w:smallCaps w:val="false"/>
                <w:sz w:val="20"/>
              </w:rPr>
              <w:t>SIGNATURES</w:t>
            </w:r>
          </w:p>
        </w:tc>
        <w:tc>
          <w:tcPr>
            <w:tcW w:w="771" w:type="dxa"/>
            <w:tcBorders/>
            <w:shd w:fill="CCEEFF" w:val="clear"/>
            <w:vAlign w:val="center"/>
          </w:tcPr>
          <w:p>
            <w:pPr>
              <w:pStyle w:val="TableContents"/>
              <w:bidi w:val="0"/>
              <w:spacing w:before="0" w:after="283"/>
              <w:jc w:val="right"/>
              <w:rPr/>
            </w:pPr>
            <w:r>
              <w:rPr/>
              <w:t>146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ii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Annual Report on Form 10-K (</w:t>
      </w:r>
      <w:r>
        <w:rPr>
          <w:rFonts w:ascii="Times New Roman" w:hAnsi="Times New Roman"/>
          <w:i/>
          <w:caps w:val="false"/>
          <w:smallCaps w:val="false"/>
          <w:sz w:val="20"/>
        </w:rPr>
        <w:t>Annual Report or Report</w:t>
      </w:r>
      <w:r>
        <w:rPr>
          <w:rFonts w:ascii="Times New Roman" w:hAnsi="Times New Roman"/>
          <w:caps w:val="false"/>
          <w:smallCaps w:val="false"/>
          <w:sz w:val="20"/>
        </w:rPr>
        <w:t>) contains forward-looking statements that involve substantial risks and uncertainties. All statements contained in this Annual Report other than statements of historical facts,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capital to satisfy our working capital requirements and development objectives for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60"/>
        <w:gridCol w:w="170"/>
        <w:gridCol w:w="84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accuracy of our estimates regarding future expenses, future revenues and future capital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plans to develop our product candidates, including, among other things, fasedienol (PH94B) as a potential acute treatment of anxiety in adults with social anxiety disorder (</w:t>
            </w:r>
            <w:r>
              <w:rPr>
                <w:rFonts w:ascii="Times New Roman;Times;serif" w:hAnsi="Times New Roman;Times;serif"/>
                <w:i/>
                <w:caps w:val="false"/>
                <w:smallCaps w:val="false"/>
                <w:sz w:val="20"/>
              </w:rPr>
              <w:t>SAD</w:t>
            </w:r>
            <w:r>
              <w:rPr>
                <w:rFonts w:ascii="Times New Roman;Times;serif" w:hAnsi="Times New Roman;Times;serif"/>
                <w:caps w:val="false"/>
                <w:smallCaps w:val="false"/>
                <w:sz w:val="20"/>
              </w:rPr>
              <w:t>) and other anxiety disorders, itruvone and (PH10) as a potential treatment for major depressive disorder (</w:t>
            </w:r>
            <w:r>
              <w:rPr>
                <w:rFonts w:ascii="Times New Roman;Times;serif" w:hAnsi="Times New Roman;Times;serif"/>
                <w:i/>
                <w:caps w:val="false"/>
                <w:smallCaps w:val="false"/>
                <w:sz w:val="20"/>
              </w:rPr>
              <w:t>MDD</w:t>
            </w:r>
            <w:r>
              <w:rPr>
                <w:rFonts w:ascii="Times New Roman;Times;serif" w:hAnsi="Times New Roman;Times;serif"/>
                <w:caps w:val="false"/>
                <w:smallCaps w:val="false"/>
                <w:sz w:val="20"/>
              </w:rPr>
              <w:t>) and other depression-related disorders, as well as development programs for our other product candidates- PH15, PH80, PH284 and AV-101;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initiate and complete necessary preclinical and clinical studies in accordance with applicable regulatory requirements to advance the development of our product candidates and for those studies to generate positive results;</w:t>
            </w:r>
          </w:p>
        </w:tc>
      </w:tr>
    </w:tbl>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60"/>
        <w:gridCol w:w="170"/>
        <w:gridCol w:w="6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economic, regulatory and political developments in the U.S. and foreign countries;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performance of our third-party contract manufacturer(s) (</w:t>
            </w:r>
            <w:r>
              <w:rPr>
                <w:rFonts w:ascii="Times New Roman;Times;serif" w:hAnsi="Times New Roman;Times;serif"/>
                <w:i/>
                <w:caps w:val="false"/>
                <w:smallCaps w:val="false"/>
                <w:sz w:val="20"/>
              </w:rPr>
              <w:t>CMOs</w:t>
            </w:r>
            <w:r>
              <w:rPr>
                <w:rFonts w:ascii="Times New Roman;Times;serif" w:hAnsi="Times New Roman;Times;serif"/>
                <w:caps w:val="false"/>
                <w:smallCaps w:val="false"/>
                <w:sz w:val="20"/>
              </w:rPr>
              <w:t>), contract research organizations (</w:t>
            </w:r>
            <w:r>
              <w:rPr>
                <w:rFonts w:ascii="Times New Roman;Times;serif" w:hAnsi="Times New Roman;Times;serif"/>
                <w:i/>
                <w:caps w:val="false"/>
                <w:smallCaps w:val="false"/>
                <w:sz w:val="20"/>
              </w:rPr>
              <w:t>CROs</w:t>
            </w:r>
            <w:r>
              <w:rPr>
                <w:rFonts w:ascii="Times New Roman;Times;serif" w:hAnsi="Times New Roman;Times;serif"/>
                <w:caps w:val="false"/>
                <w:smallCaps w:val="false"/>
                <w:sz w:val="20"/>
              </w:rPr>
              <w:t>) and other third-party preclinical and clinical drug development collaborators and regulatory service providers and other consultants on whose services we rely from time to time to support our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and maintain intellectual property (</w:t>
            </w:r>
            <w:r>
              <w:rPr>
                <w:rFonts w:ascii="Times New Roman;Times;serif" w:hAnsi="Times New Roman;Times;serif"/>
                <w:i/>
                <w:caps w:val="false"/>
                <w:smallCaps w:val="false"/>
                <w:sz w:val="20"/>
              </w:rPr>
              <w:t>IP</w:t>
            </w:r>
            <w:r>
              <w:rPr>
                <w:rFonts w:ascii="Times New Roman;Times;serif" w:hAnsi="Times New Roman;Times;serif"/>
                <w:caps w:val="false"/>
                <w:smallCaps w:val="false"/>
                <w:sz w:val="20"/>
              </w:rPr>
              <w:t>) protection for our core assets, including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60"/>
        <w:gridCol w:w="170"/>
        <w:gridCol w:w="8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size of the potential markets for our product candidates and our ability to enter and serve those markets;</w:t>
            </w:r>
          </w:p>
        </w:tc>
      </w:tr>
    </w:tbl>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60"/>
        <w:gridCol w:w="170"/>
        <w:gridCol w:w="8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rate and degree of market acceptance of our product candidates for any indication once approved;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success of competing products and product candidates in development by others that are or become available for the indications that we are pursuing in the markets we seek to enter on our own or with collaborators;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loss of key scientific, clinical or nonclinical development, regulatory, commercial, and/or other management personnel, internally or from one or more of our third-party collaborators, CMOs, CROs or other service providers; and</w:t>
            </w:r>
          </w:p>
        </w:tc>
      </w:tr>
    </w:tbl>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60"/>
        <w:gridCol w:w="170"/>
        <w:gridCol w:w="9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risks and uncertainties, including those listed under Part I, Item 1A of this Annual Report titled “</w:t>
            </w:r>
            <w:r>
              <w:rPr>
                <w:rFonts w:ascii="Times New Roman;Times;serif" w:hAnsi="Times New Roman;Times;serif"/>
                <w:i/>
                <w:caps w:val="false"/>
                <w:smallCaps w:val="false"/>
                <w:sz w:val="20"/>
              </w:rPr>
              <w:t>Risk Factors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iii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forward-looking statements are only predictions.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one or more of our forward-looking statements we make in this Annual Report.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particularly in Part I, Item 1A, titled “</w:t>
      </w:r>
      <w:r>
        <w:rPr>
          <w:rFonts w:ascii="Times New Roman" w:hAnsi="Times New Roman"/>
          <w:i/>
          <w:caps w:val="false"/>
          <w:smallCaps w:val="false"/>
          <w:sz w:val="20"/>
        </w:rPr>
        <w:t>Risk Factors,</w:t>
      </w:r>
      <w:r>
        <w:rPr>
          <w:rFonts w:ascii="Times New Roman" w:hAnsi="Times New Roman"/>
          <w:caps w:val="false"/>
          <w:smallCaps w:val="false"/>
          <w:sz w:val="20"/>
        </w:rPr>
        <w:t>” that could cause actual future results or events to differ materially from the forward-looking statements that we make. Our forward-looking statements in this Annual Report do not reflect the potential impact of any future acquisitions, mergers, dispositions, joint ventures or investments we may make.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read this Annual Report and the documents that we have filed as exhibits to this Annual Report with the understanding that our actual future results may be materially different from what we expect. We do not assume any obligation to update any forward-looking statement in this Annual Report, whether as a result of new information, future events or otherwise, except as required by applicable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iv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All brand names or trademarks appearing in this Annual Report are the property of their respective holders. Unless the context requires otherwise, references in this report to </w:t>
      </w:r>
      <w:r>
        <w:rPr>
          <w:rFonts w:ascii="Times New Roman" w:hAnsi="Times New Roman"/>
          <w:caps w:val="false"/>
          <w:smallCaps w:val="false"/>
          <w:sz w:val="20"/>
        </w:rPr>
        <w:t>“</w:t>
      </w:r>
      <w:r>
        <w:rPr>
          <w:rFonts w:ascii="Times New Roman" w:hAnsi="Times New Roman"/>
          <w:i/>
          <w:caps w:val="false"/>
          <w:smallCaps w:val="false"/>
          <w:sz w:val="20"/>
        </w:rPr>
        <w:t>Vistagen,</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the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refer to Vistagen Therapeutics, Inc., a Nevada corporation. All references to future quarters and years in this Annual Report refer to calendar quarters and calendar years, unless reference is made otherwise.</w:t>
      </w:r>
    </w:p>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605"/>
        <w:gridCol w:w="740"/>
      </w:tblGrid>
      <w:tr>
        <w:trPr/>
        <w:tc>
          <w:tcPr>
            <w:tcW w:w="6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1.</w:t>
            </w:r>
          </w:p>
        </w:tc>
        <w:tc>
          <w:tcPr>
            <w:tcW w:w="74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late clinical-stage biopharmaceutical company aiming to transform the treatment landscape for individuals living with anxiety, depression and other central nervous system (</w:t>
      </w:r>
      <w:r>
        <w:rPr>
          <w:rFonts w:ascii="Times New Roman" w:hAnsi="Times New Roman"/>
          <w:i/>
          <w:caps w:val="false"/>
          <w:smallCaps w:val="false"/>
          <w:sz w:val="20"/>
        </w:rPr>
        <w:t>CNS</w:t>
      </w:r>
      <w:r>
        <w:rPr>
          <w:rFonts w:ascii="Times New Roman" w:hAnsi="Times New Roman"/>
          <w:caps w:val="false"/>
          <w:smallCaps w:val="false"/>
          <w:sz w:val="20"/>
        </w:rPr>
        <w:t>) disorders. We are advancing therapeutics with the potential to be faster-acting, and with fewer side effects and safety concerns, than those currently available for treating anxiety, depression and multiple CNS disorders. Our pipeline includes six clinical-stage product candidates, including five investigational agents belonging to a new class of neuroactive drugs known as pherines, in addition to AV-101, an oral prodrug of an antagonist of the glycine site of the N-methyl-D-aspartate receptor (</w:t>
      </w:r>
      <w:r>
        <w:rPr>
          <w:rFonts w:ascii="Times New Roman" w:hAnsi="Times New Roman"/>
          <w:i/>
          <w:caps w:val="false"/>
          <w:smallCaps w:val="false"/>
          <w:sz w:val="20"/>
        </w:rPr>
        <w:t>NMDAR</w:t>
      </w:r>
      <w:r>
        <w:rPr>
          <w:rFonts w:ascii="Times New Roman" w:hAnsi="Times New Roman"/>
          <w:caps w:val="false"/>
          <w:smallCaps w:val="false"/>
          <w:sz w:val="20"/>
        </w:rPr>
        <w:t>). Pherines, which are administered as nasal sprays, are designed with an innovative rapid-onset mechanism of action that activates chemosensory neurons in the nasal cavity and can selectively and beneficially impact key neural circuits in the brain without requiring systemic uptake or direct activity on CNS neurons. AV-101 inhibits the activity of the ion channel of the NMDAR but does not block it, unlike some approved NMDAR antagonists having significant side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CNS product candidates are set forth below. Each has an innovative potential mechanism of action (</w:t>
      </w:r>
      <w:r>
        <w:rPr>
          <w:rFonts w:ascii="Times New Roman" w:hAnsi="Times New Roman"/>
          <w:i/>
          <w:caps w:val="false"/>
          <w:smallCaps w:val="false"/>
          <w:sz w:val="20"/>
        </w:rPr>
        <w:t>MOA</w:t>
      </w:r>
      <w:r>
        <w:rPr>
          <w:rFonts w:ascii="Times New Roman" w:hAnsi="Times New Roman"/>
          <w:caps w:val="false"/>
          <w:smallCaps w:val="false"/>
          <w:sz w:val="20"/>
        </w:rPr>
        <w:t>), has been safe and well-tolerated in all clinical studies to date, and has therapeutic potential in multiple CNS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360" w:right="0" w:hanging="0"/>
        <w:jc w:val="center"/>
        <w:rPr/>
      </w:pPr>
      <w:r>
        <w:rPr/>
        <w:drawing>
          <wp:inline distT="0" distB="0" distL="0" distR="0">
            <wp:extent cx="10160000" cy="5715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160000" cy="5715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8"/>
        <w:gridCol w:w="9907"/>
      </w:tblGrid>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Indicates U.S. Investigational New Drug (</w:t>
            </w:r>
            <w:r>
              <w:rPr>
                <w:rFonts w:ascii="Times New Roman;Times;serif" w:hAnsi="Times New Roman;Times;serif"/>
                <w:i/>
                <w:caps w:val="false"/>
                <w:smallCaps w:val="false"/>
                <w:sz w:val="20"/>
              </w:rPr>
              <w:t>IND</w:t>
            </w:r>
            <w:r>
              <w:rPr>
                <w:rFonts w:ascii="Times New Roman;Times;serif" w:hAnsi="Times New Roman;Times;serif"/>
                <w:caps w:val="false"/>
                <w:smallCaps w:val="false"/>
                <w:sz w:val="20"/>
              </w:rPr>
              <w:t>) application-enabling work necessary to facilitate further clinical development in the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Our goal is to develop and commercialize, on our own and with multiple global and regional strategic partners, innovative therapies for anxiety, depression, and other CNS indications where current treatment options are inadequate to meet the needs of millions of patients in the U.S. and worldwide. First and foremost, we are passionate about transforming mental health care and redefining what is possible in the treatment of anxiety and depression disorders – </w:t>
      </w:r>
      <w:r>
        <w:rPr>
          <w:rFonts w:ascii="Times New Roman" w:hAnsi="Times New Roman"/>
          <w:i/>
          <w:caps w:val="false"/>
          <w:smallCaps w:val="false"/>
          <w:sz w:val="20"/>
        </w:rPr>
        <w:t>One Mind at a Time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Pherine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Five of our product candidates – fasedienol (PH94B), itruvone (PH10), PH15, PH80 and PH284 – belong to a new class of synthetic neuroactive steroids referred to as pherines. Pherines, administered in ultra-low microgram level doses as odorless and tasteless nasal sprays, are designed to selectively engage chemosensory neurons in the nasal cavity and induce rapid-onset pharmacologic and behavioral benefits. Specifically, each of our pherine product candidates is a distinct chemical entity that selectively modulates particular areas of the brain, such as the limbic amygdala (the main fear and anxiety center of the brain), the hypothalamus, the hippocampus, the locus ceruleus, and the prefrontal cortex. We believe each of our pherine product candidates has the potential to be a fast-acting therapy for one or more CNS disorders, including social anxiety disorder (fasedienol), major depressive disorder (itruvone), cognitive impairment (PH15), vasomotor syndrome (hot flashes) due to menopause, as well as migraine headaches (PH80) and disorders related to appetite loss (cachexia) (PH284), all without requiring apparent systemic uptake or binding to classic abuse liability receptors or steroidal hormone receptors.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Fasedienol Nasal Spray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Fasedienol (PH94B) is a synthetic investigational pherine from the androstane family in Phase 3 clinical development in the U.S. for treatment of social anxiety disorder (</w:t>
      </w:r>
      <w:r>
        <w:rPr>
          <w:rFonts w:ascii="Times New Roman" w:hAnsi="Times New Roman"/>
          <w:i/>
          <w:caps w:val="false"/>
          <w:smallCaps w:val="false"/>
          <w:sz w:val="20"/>
        </w:rPr>
        <w:t>SAD</w:t>
      </w:r>
      <w:r>
        <w:rPr>
          <w:rFonts w:ascii="Times New Roman" w:hAnsi="Times New Roman"/>
          <w:caps w:val="false"/>
          <w:smallCaps w:val="false"/>
          <w:sz w:val="20"/>
        </w:rPr>
        <w:t>). When administered intranasally in microgram doses, fasedienol activates receptors of peripheral nasal chemosensory neurons connected to subsets of neurons in the olfactory bulbs that, in turn, connect to neurons in the limbic amygdala involved in the pathophysiology of SAD and potentially other anxiety and mood disorders. Fasedienol is pharmacologically active without requiring apparent systemic uptake and distribution of the compound to the brain to achieve its rapid-onset and short duration of anxiolytic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Social Anxiety Disorder (</w:t>
      </w:r>
      <w:r>
        <w:rPr>
          <w:rFonts w:ascii="Times New Roman" w:hAnsi="Times New Roman"/>
          <w:b/>
          <w:i/>
          <w:caps w:val="false"/>
          <w:smallCaps w:val="false"/>
          <w:sz w:val="20"/>
        </w:rPr>
        <w:t>SAD</w:t>
      </w:r>
      <w:r>
        <w:rPr>
          <w:rFonts w:ascii="Times New Roman" w:hAnsi="Times New Roman"/>
          <w:b/>
          <w:caps w:val="false"/>
          <w:smallCaps w:val="false"/>
          <w:sz w:val="20"/>
        </w:rPr>
        <w:t>).</w:t>
      </w:r>
      <w:r>
        <w:rPr>
          <w:rFonts w:ascii="Times New Roman" w:hAnsi="Times New Roman"/>
          <w:caps w:val="false"/>
          <w:smallCaps w:val="false"/>
          <w:sz w:val="20"/>
        </w:rPr>
        <w:t>   Based on the 2021 National Health and Wellness Survey, over 25 million adults or 10% of the adult population in the U.S. have experienced SAD. SAD can be viewed as a series of acute, socially stressful events in which patients exhibit excessive fear of embarrassment, humiliation, scrutiny, evaluation, or rejection by others (Liebowitz, Gorman, Fyer, &amp; Klein, 1985). The avoidance, fear, or anxious anticipation of these situations interferes significantly with the person’s daily routine, having a marked impact on occupational functioning and social life. The disorder has a lifetime prevalence estimated at up to 13%, with onset typically in the mid-teens or earlier, and is diagnosed slightly more frequently in females than males. In the absence of anxiety-provoking social or performance events, generally, patients with SAD are asymptomatic.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SAD typically does not resolve naturally, oftentimes leading to alcohol use disorder and major depressive disorder (</w:t>
      </w:r>
      <w:r>
        <w:rPr>
          <w:rFonts w:ascii="Times New Roman" w:hAnsi="Times New Roman"/>
          <w:i/>
          <w:caps w:val="false"/>
          <w:smallCaps w:val="false"/>
          <w:sz w:val="20"/>
        </w:rPr>
        <w:t>MDD</w:t>
      </w:r>
      <w:r>
        <w:rPr>
          <w:rFonts w:ascii="Times New Roman" w:hAnsi="Times New Roman"/>
          <w:caps w:val="false"/>
          <w:smallCaps w:val="false"/>
          <w:sz w:val="20"/>
        </w:rPr>
        <w:t>) as sequalae. A key psychotherapy mechanism by which individuals with SAD overcome this condition, or lessen their symptoms, is believed to be by exposing themselves to feared or avoided situations. This is the basis of cognitive-behavioral treatment (</w:t>
      </w:r>
      <w:r>
        <w:rPr>
          <w:rFonts w:ascii="Times New Roman" w:hAnsi="Times New Roman"/>
          <w:i/>
          <w:caps w:val="false"/>
          <w:smallCaps w:val="false"/>
          <w:sz w:val="20"/>
        </w:rPr>
        <w:t>CBT</w:t>
      </w:r>
      <w:r>
        <w:rPr>
          <w:rFonts w:ascii="Times New Roman" w:hAnsi="Times New Roman"/>
          <w:caps w:val="false"/>
          <w:smallCaps w:val="false"/>
          <w:sz w:val="20"/>
        </w:rPr>
        <w:t>) for SAD. However, it is difficult for most individuals with SAD to even consider entering stressful, anxiety</w:t>
        <w:noBreakHyphen/>
        <w:t>provoking social or performance situations, preventing initiation of CBT as a  psychotherapeutic approach with its gradual increase in exposure to stress, which is necessary for successful CBT.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three antidepressants currently FDA-approved for treatment of SAD exert their therapeutic effect by gradually and over time reducing the anxiety and physical symptoms that SAD patients experience when they find themselves in feared or avoided situations. Once these products begin to produce a clinical therapeutic benefit, usually at least three to six weeks following the start of daily systemic dosing, the approved treatments for SAD may work by controlling anxiety when SAD patients enter stressful, anxiety-provoking situations. However, these products require long-term daily maintenance dosing, regardless of whether the patient actually experiences social anxiety on a given day, and chronic treatment is typically associated with a range of bothersome side effects, such as gastrointestinal symptoms, agitation, sleep disturbances, weight changes, and sexual dysfunction.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Fasedienol and SAD.</w:t>
      </w:r>
      <w:r>
        <w:rPr>
          <w:rFonts w:ascii="Times New Roman" w:hAnsi="Times New Roman"/>
          <w:caps w:val="false"/>
          <w:smallCaps w:val="false"/>
          <w:sz w:val="20"/>
        </w:rPr>
        <w:t>   We believe fasedienol allows individuals affected by SAD to enter stressful or previously avoided social or performance situations with fewer or less severe symptoms when they have been pre-treated with fasedienol. A key and substantial difference between fasedienol and each of the three antidepressants approved by the FDA for the treatment of SAD is that fasedienol is used only on an as-needed basis prior to or during a socially stressful situation because of its rapid-onset pharmacological effect. Nor does fasedienol require systemic uptake and chronic daily maintenance dosing. Hence, fasedienol has the potential to reduce the wave of anxiety usually experienced by SAD patients when in a feared situation and is designed to be used on an as-needed basis prior to or during these stressful or often-avoided social or performance situations. Through more frequent exposure to socially stressful events, SAD subjects gain new insight about their social and performance situations and begin to cognitively separate the negative physiological symptoms of anxiety from specific anxiety-provoking events. By engaging in new situations previously avoided as a result of less severe and frequent waves of anxiety following treatment, subjects experience increased confidence, leading to an overall reduction in SAD illness severity, decreased burden of disease, improved workplace productivity, educational attainment, and satisfaction with social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r>
        <w:rPr/>
        <w:drawing>
          <wp:inline distT="0" distB="0" distL="0" distR="0">
            <wp:extent cx="7620000" cy="3914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3914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Fasedienol does not exert effects on certain cellular receptors that are associated with known drug abuse potential (for example, dopamine, nicotinic, and opiate receptors) when activated by some other pharmaceutical compounds. It also does not produce agonistic or antagonistic effects on GABA</w:t>
      </w:r>
      <w:r>
        <w:rPr>
          <w:rFonts w:ascii="Times New Roman" w:hAnsi="Times New Roman"/>
          <w:caps w:val="false"/>
          <w:smallCaps w:val="false"/>
          <w:position w:val="-2"/>
          <w:sz w:val="16"/>
          <w:sz w:val="20"/>
        </w:rPr>
        <w:t>A</w:t>
      </w:r>
      <w:r>
        <w:rPr>
          <w:rFonts w:ascii="Times New Roman" w:hAnsi="Times New Roman"/>
          <w:caps w:val="false"/>
          <w:smallCaps w:val="false"/>
          <w:sz w:val="20"/>
        </w:rPr>
        <w:t xml:space="preserve"> α1/β2/γ2 ion channels. Fasedienol is pharmacologically active without requiring apparent systemic uptake and distribution to achieve its rapid-onset and short duration of anxiolytic effects.  The U.S. Food and Drug Administration (</w:t>
      </w:r>
      <w:r>
        <w:rPr>
          <w:rFonts w:ascii="Times New Roman" w:hAnsi="Times New Roman"/>
          <w:i/>
          <w:caps w:val="false"/>
          <w:smallCaps w:val="false"/>
          <w:sz w:val="20"/>
        </w:rPr>
        <w:t>FDA</w:t>
      </w:r>
      <w:r>
        <w:rPr>
          <w:rFonts w:ascii="Times New Roman" w:hAnsi="Times New Roman"/>
          <w:caps w:val="false"/>
          <w:smallCaps w:val="false"/>
          <w:sz w:val="20"/>
        </w:rPr>
        <w:t>) has designated fasedienol as a Fast Track product candidate, and we are currently developing fasedienol for the treatment of anxiety symptoms in adult subjects with SAD.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Fasedienol</w:t>
      </w:r>
      <w:r>
        <w:rPr>
          <w:rFonts w:ascii="Times New Roman" w:hAnsi="Times New Roman"/>
          <w:caps w:val="false"/>
          <w:smallCaps w:val="false"/>
          <w:sz w:val="20"/>
        </w:rPr>
        <w:t>’</w:t>
      </w:r>
      <w:r>
        <w:rPr>
          <w:rFonts w:ascii="Times New Roman" w:hAnsi="Times New Roman"/>
          <w:b/>
          <w:caps w:val="false"/>
          <w:smallCaps w:val="false"/>
          <w:sz w:val="20"/>
        </w:rPr>
        <w:t xml:space="preserve">s MOA via Olfactory-Amygdala Circuit </w:t>
      </w:r>
    </w:p>
    <w:p>
      <w:pPr>
        <w:pStyle w:val="TextBody"/>
        <w:bidi w:val="0"/>
        <w:jc w:val="center"/>
        <w:rPr/>
      </w:pPr>
      <w:r>
        <w:rPr/>
        <w:drawing>
          <wp:inline distT="0" distB="0" distL="0" distR="0">
            <wp:extent cx="7620000" cy="425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4257675"/>
                    </a:xfrm>
                    <a:prstGeom prst="rect">
                      <a:avLst/>
                    </a:prstGeom>
                  </pic:spPr>
                </pic:pic>
              </a:graphicData>
            </a:graphic>
          </wp:inline>
        </w:drawing>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proposed MOA of fasedienol is fundamentally differentiated from all currently approved anti-anxiety medications, including the three antidepressants approved by the FDA for the treatment of SAD, as well as all benzodiazepines and beta blockers, which, although not FDA-approved for the treatment of SAD, are prescribed for treatment of SAD on an off-label basis. Pre-clinical and Phase 2 clinical studies completed to date suggest that fasedienol has the potential to achieve rapid-onset anti-anxiety effects without systemic uptake or transport into the brain, significantly reducing the risk of side effects and other safety concerns such as potential drug-drug interactions, abuse, misuse and addiction associated with certain other systemic pharmaceuticals that act directly on the CNS and are sometimes prescribed for anxiety disorders.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SAD Phase 1 Studies.</w:t>
      </w:r>
      <w:r>
        <w:rPr>
          <w:rFonts w:ascii="Times New Roman" w:hAnsi="Times New Roman"/>
          <w:caps w:val="false"/>
          <w:smallCaps w:val="false"/>
          <w:sz w:val="20"/>
        </w:rPr>
        <w:t>   Fasedienol’s rapid-onset and short-acting properties are supported by Phase 1 clinical trials conducted in healthy male and female subjects. In these trials, fasedienol was intranasally administered to subjects via a noninvasive nasal spray device, and changes in bioelectric transmucosal potentials of the nasal septum chemosensory epithelium were measured. These trials demonstrated that: (i) the nasal chemosensory epithelium has receptors that are selective for fasedienol, and (ii) fasedienol produces an immediate local electrogram response (i.e., EVG or EGNR), as illustrated by electrograms recorded from the surface of the sensory neuroepithelial lining of the vomeronasal organ. Additional studies evaluated the effect of fasedienol on the EVG amplitude and duration. Collectively, these studies show that fasedienol produces a short-duration electrogram response at the level of the peripheral receptor sites. Systemic exposure to fasedienol was evaluated following escalating doses of fasedienol in healthy female subjects. No measurable plasma concentrations of fasedienol were observed in the blood samples taken following the two highest single intranasal doses of 4.8 and 19.2 μg. In all samples (taken at 15 minutes, 30 minutes, and one hour after dosing), the levels were below the level of detection of 0.1 ng/mL. For exploration, a more sensitive research bioanalytical method (non-validated) was used on a selection of samples. Using this method, with a limit of quantitation of 0.025 ng/mL, no fasedienol could be detected. A study was conducted in human subjects to establish the bioavailability of fasedienol administered intranasally and repeatedly with the maximal therapeutic dose. However, it was not possible to characterize the actual bioavailability of fasedienol due to the absence of quantifiable concentrations of fasedienol in plasma.  With respect to fasedienol’s safety profile, the totality of nonclinical data and clinical data in over 800 human subjects exposed to fasedienol to date continue to demonstrate that fasedienol appears to be safe and is well-tolerated, as well as the lack of abuse potential of fasedienol.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SAD Phase 2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Positive Phase 2 Results in Public Speaking and Social Interaction-Induced Stressors in a Clinical Setting.</w:t>
      </w:r>
      <w:r>
        <w:rPr>
          <w:rFonts w:ascii="Times New Roman" w:hAnsi="Times New Roman"/>
          <w:caps w:val="false"/>
          <w:smallCaps w:val="false"/>
          <w:sz w:val="20"/>
        </w:rPr>
        <w:t>   Phase 2 development of fasedienol began with a two-part public speaking and social interaction challenge study. In this published randomized, double-blind, placebo-controlled Phase 2 clinical trial (n=91) conducted at three clinical sites, 91 adult female subjects diagnosed with SAD underwent a placebo-only baseline public speaking and social interaction challenges in a clinical setting followed a week later by a randomized placebo-controlled treatment period and intranasal administration of fasedienol. Fasedienol (1.6 μg) was administered intranasally 15 minutes prior to both the public speaking and social interaction challenge simulations. The two challenges were separated by a 30-minute rest period. The primary outcome measure was the Subjective Units of Distress Scale (</w:t>
      </w:r>
      <w:r>
        <w:rPr>
          <w:rFonts w:ascii="Times New Roman" w:hAnsi="Times New Roman"/>
          <w:i/>
          <w:caps w:val="false"/>
          <w:smallCaps w:val="false"/>
          <w:sz w:val="20"/>
        </w:rPr>
        <w:t>SUDS</w:t>
      </w:r>
      <w:r>
        <w:rPr>
          <w:rFonts w:ascii="Times New Roman" w:hAnsi="Times New Roman"/>
          <w:caps w:val="false"/>
          <w:smallCaps w:val="false"/>
          <w:sz w:val="20"/>
        </w:rPr>
        <w:t xml:space="preserve">). Peer-reviewed results published in the </w:t>
      </w:r>
      <w:r>
        <w:rPr>
          <w:rFonts w:ascii="Times New Roman" w:hAnsi="Times New Roman"/>
          <w:i/>
          <w:caps w:val="false"/>
          <w:smallCaps w:val="false"/>
          <w:sz w:val="20"/>
        </w:rPr>
        <w:t>American Journal of Psychiatry</w:t>
      </w:r>
      <w:r>
        <w:rPr>
          <w:rFonts w:ascii="Times New Roman" w:hAnsi="Times New Roman"/>
          <w:caps w:val="false"/>
          <w:smallCaps w:val="false"/>
          <w:sz w:val="20"/>
        </w:rPr>
        <w:t xml:space="preserve"> (Monti, et al., Am. J. Psychiatry (2014) 171:675-682) showed statistically significant results for reducing anxiety during a public speaking performance and during social interactions in a clinical setting. During the public speaking challenge, subjects randomized to treatment with fasedienol (n = 45) showed a 26.7-point improvement in mean SUDS scores following the treatment visit with fasedienol as compared to the SUDS scores during the baseline visit (placebo treatment). In comparison, subjects randomized to treatment with placebo (n = 46) showed an improvement of only 14.0 points in mean SUDS scores compared to baseline. The fasedienol treatment group’s improvement in the public speaking challenge significantly exceeded that of the placebo group’s improvement (t = 3.16, p = 0.002).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Mild or moderate adverse events were infrequent and did not differ significantly between the fasedienol and placebo groups. No severe or serious adverse events were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Positive Phase 2 Results in a Real-World Setting.</w:t>
      </w:r>
      <w:r>
        <w:rPr>
          <w:rFonts w:ascii="Times New Roman" w:hAnsi="Times New Roman"/>
          <w:caps w:val="false"/>
          <w:smallCaps w:val="false"/>
          <w:sz w:val="20"/>
        </w:rPr>
        <w:t xml:space="preserve">  A second peer-reviewed Phase 2 study of fasedienol in SAD was published in the </w:t>
      </w:r>
      <w:r>
        <w:rPr>
          <w:rFonts w:ascii="Times New Roman" w:hAnsi="Times New Roman"/>
          <w:i/>
          <w:caps w:val="false"/>
          <w:smallCaps w:val="false"/>
          <w:sz w:val="20"/>
        </w:rPr>
        <w:t xml:space="preserve">Journal of Depression and Anxiety </w:t>
      </w:r>
      <w:r>
        <w:rPr>
          <w:rFonts w:ascii="Times New Roman" w:hAnsi="Times New Roman"/>
          <w:caps w:val="false"/>
          <w:smallCaps w:val="false"/>
          <w:sz w:val="20"/>
        </w:rPr>
        <w:t>(Monti, et al., Depress Anxiety (2016); 33: 1081–1089). In the randomized, double-blind, placebo-controlled crossover study that included both adult males and females 18 to 65 years of age, subjects self-administered fasedienol or placebo nasal spray on an as-needed basis, just prior to stressful, anxiety-provoking encounters in their daily lives, up to four times a day. Following two weeks of treatment, the subjects were crossed over to the other nasal spray for another two weeks. The primary efficacy measure in the study was the SUDS and the secondary efficacy measure was the Liebowitz Social Anxiety Scale (</w:t>
      </w:r>
      <w:r>
        <w:rPr>
          <w:rFonts w:ascii="Times New Roman" w:hAnsi="Times New Roman"/>
          <w:i/>
          <w:caps w:val="false"/>
          <w:smallCaps w:val="false"/>
          <w:sz w:val="20"/>
        </w:rPr>
        <w:t>LSAS</w:t>
      </w:r>
      <w:r>
        <w:rPr>
          <w:rFonts w:ascii="Times New Roman" w:hAnsi="Times New Roman"/>
          <w:caps w:val="false"/>
          <w:smallCaps w:val="false"/>
          <w:sz w:val="20"/>
        </w:rPr>
        <w:t>). The LSAS was created by Dr. Michael Liebowitz and was the primary efficacy endpoint in all Phase 3 registration trials for the three antidepressants approved by the FDA for treatment of SAD. Dr. Liebowitz was the Principal Investigator of this Phase 2 study of fasedienol.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change from baseline SUDS scores was significantly greater for all subjects while taking fasedienol compared with the placebo group. The average change from baseline SUDS score was 15.6 points for all subjects while on PH94B and 8.3 points while on placebo (paired t-test = 3.09; p = 0.006; effect size 0.658). The LSAS was recorded at weekly visits. Looking between groups at just the group treated first with fasedienol for two weeks, fasedienol showed a positive trend in the LSAS scores (p = 0.07, Cohen’s d = 0.812, change from baseline 23.3 vs 8.2 points fasedienol vs placebo, respectively). Interestingly, subjects receiving fasedienol first also had a significantly greater decrease in their avoidance score on the LSAS as compared to those who received placebo first (p = 0.02, Cohen’s d = 1.078). After the crossover, fasedienol showed less of an effect as compared to placebo, likely due to a confidence carryover effect from treatment with fasedienol during the previous two weeks. Importantly, self-administration of fasedienol on an as</w:t>
        <w:noBreakHyphen/>
        <w:t>needed basis prior to anxiety-provoking encounters in a real-world setting was accompanied by a persistent change in overall SAD symptoms, reduction in fear and anxiety, and less frequent avoidance, as measured by the LSAS over the course of fasedienol usage. Notably, the amount of separation between fasedienol and placebo at the end of the first two weeks on the LSAS in this study was comparable to what was observed in the registration trials for the current FDA-approved antidepressants after 12 weeks. A large effect size (0.78) and trend to significance (p = 0.083) in favor of fasedienol also was observed when comparing overall the Clinical Global Impression (</w:t>
      </w:r>
      <w:r>
        <w:rPr>
          <w:rFonts w:ascii="Times New Roman" w:hAnsi="Times New Roman"/>
          <w:i/>
          <w:caps w:val="false"/>
          <w:smallCaps w:val="false"/>
          <w:sz w:val="20"/>
        </w:rPr>
        <w:t>CGI</w:t>
      </w:r>
      <w:r>
        <w:rPr>
          <w:rFonts w:ascii="Times New Roman" w:hAnsi="Times New Roman"/>
          <w:caps w:val="false"/>
          <w:smallCaps w:val="false"/>
          <w:sz w:val="20"/>
        </w:rPr>
        <w:t>) score means for fasedienol and placebo during the first two weeks of treatment. Patient Global Impression of Change (</w:t>
      </w:r>
      <w:r>
        <w:rPr>
          <w:rFonts w:ascii="Times New Roman" w:hAnsi="Times New Roman"/>
          <w:i/>
          <w:caps w:val="false"/>
          <w:smallCaps w:val="false"/>
          <w:sz w:val="20"/>
        </w:rPr>
        <w:t>PGI-C</w:t>
      </w:r>
      <w:r>
        <w:rPr>
          <w:rFonts w:ascii="Times New Roman" w:hAnsi="Times New Roman"/>
          <w:caps w:val="false"/>
          <w:smallCaps w:val="false"/>
          <w:sz w:val="20"/>
        </w:rPr>
        <w:t>) ratings also showed improvement for fasedienol after two weeks of treatment (p = 0.024).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drug-related serious adverse events (</w:t>
      </w:r>
      <w:r>
        <w:rPr>
          <w:rFonts w:ascii="Times New Roman" w:hAnsi="Times New Roman"/>
          <w:i/>
          <w:caps w:val="false"/>
          <w:smallCaps w:val="false"/>
          <w:sz w:val="20"/>
        </w:rPr>
        <w:t>SAEs</w:t>
      </w:r>
      <w:r>
        <w:rPr>
          <w:rFonts w:ascii="Times New Roman" w:hAnsi="Times New Roman"/>
          <w:caps w:val="false"/>
          <w:smallCaps w:val="false"/>
          <w:sz w:val="20"/>
        </w:rPr>
        <w:t>) were reported during the study. All adverse events (</w:t>
      </w:r>
      <w:r>
        <w:rPr>
          <w:rFonts w:ascii="Times New Roman" w:hAnsi="Times New Roman"/>
          <w:i/>
          <w:caps w:val="false"/>
          <w:smallCaps w:val="false"/>
          <w:sz w:val="20"/>
        </w:rPr>
        <w:t>AEs</w:t>
      </w:r>
      <w:r>
        <w:rPr>
          <w:rFonts w:ascii="Times New Roman" w:hAnsi="Times New Roman"/>
          <w:caps w:val="false"/>
          <w:smallCaps w:val="false"/>
          <w:sz w:val="20"/>
        </w:rPr>
        <w:t>) were mild or moderate and the frequencies of their occurrence did not differ meaningfully between active and placebo treatments.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this multiple-administration, placebo-controlled assessment Phase 2 study conducted in a real-world setting outside a clinical environment indicates the potential for cumulative functional improvement with longer use of fasedienol, while still being used on an as-needed basis, as subjects are increasingly able to engage in previously difficult social and performance situations in their daily lives more frequently and with less fear and anxiety.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SAD Phase 3 Studies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PALISADE-1.</w:t>
      </w:r>
      <w:r>
        <w:rPr>
          <w:rFonts w:ascii="Times New Roman" w:hAnsi="Times New Roman"/>
          <w:caps w:val="false"/>
          <w:smallCaps w:val="false"/>
          <w:sz w:val="20"/>
        </w:rPr>
        <w:t xml:space="preserve">  In May 2021, we initiated our PALISADE Phase 3 Program for fasedienol in SAD with PALISADE-1, a single-administration assessment Phase 3 public speaking challenge clinical study of fasedienol for the acute treatment of anxiety in adults with SAD. Following discussions with the FDA in mid-2020 during the acute phase of the COVID-19 pandemic, we agreed to design PALISADE-1 in a manner substantially similar to the single-administration assessment Phase 2 public speaking challenge study of fasedienol, which involved self-administration of only a single dose of fasedienol by subjects randomized to the treatment arm. All subjects were given an anxiety-provoking public speaking challenge, conducted only in a clinical setting, and their change in a Subjective Units of Distress Scale (</w:t>
      </w:r>
      <w:r>
        <w:rPr>
          <w:rFonts w:ascii="Times New Roman" w:hAnsi="Times New Roman"/>
          <w:i/>
          <w:caps w:val="false"/>
          <w:smallCaps w:val="false"/>
          <w:sz w:val="20"/>
        </w:rPr>
        <w:t>SUDS</w:t>
      </w:r>
      <w:r>
        <w:rPr>
          <w:rFonts w:ascii="Times New Roman" w:hAnsi="Times New Roman"/>
          <w:caps w:val="false"/>
          <w:smallCaps w:val="false"/>
          <w:sz w:val="20"/>
        </w:rPr>
        <w:t>) score was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2022, we announced top line results from PALISADE-1. Although the safety and tolerability of fasedienol in PALISADE-1 were favorable and consistent with previously reported results from previous clinical trials, PALISADE-1 did not achieve its primary efficacy endpoint, as measured by change from baseline using the SUDS as compared to placebo. We believe the following hypotheses are potential explanations for the unexpected outcome in PALISADE-1: (i) the study was conducted during the acute phase of the COVID-19 pandemic, introducing significant systemic variability in terms of changing social dynamics, subject stress, study site and contract research organization (</w:t>
      </w:r>
      <w:r>
        <w:rPr>
          <w:rFonts w:ascii="Times New Roman" w:hAnsi="Times New Roman"/>
          <w:i/>
          <w:caps w:val="false"/>
          <w:smallCaps w:val="false"/>
          <w:sz w:val="20"/>
        </w:rPr>
        <w:t>CRO</w:t>
      </w:r>
      <w:r>
        <w:rPr>
          <w:rFonts w:ascii="Times New Roman" w:hAnsi="Times New Roman"/>
          <w:caps w:val="false"/>
          <w:smallCaps w:val="false"/>
          <w:sz w:val="20"/>
        </w:rPr>
        <w:t>) personnel turnover and mask wearing regulations; (ii) given the foregoing, the public speaking challenge study design may not have been scalable to a large Phase 3 study, particularly during the acute phase of the COVID-19 pandemic; and (iii) some subjects in the study may have had reduced potential to respond to fasedienol due to impaired olfactory cell function potentially caused by the COVID-19 virus, nasal swab testing for COVID-19, respiratory syncytial virus (</w:t>
      </w:r>
      <w:r>
        <w:rPr>
          <w:rFonts w:ascii="Times New Roman" w:hAnsi="Times New Roman"/>
          <w:i/>
          <w:caps w:val="false"/>
          <w:smallCaps w:val="false"/>
          <w:sz w:val="20"/>
        </w:rPr>
        <w:t>RSV</w:t>
      </w:r>
      <w:r>
        <w:rPr>
          <w:rFonts w:ascii="Times New Roman" w:hAnsi="Times New Roman"/>
          <w:caps w:val="false"/>
          <w:smallCaps w:val="false"/>
          <w:sz w:val="20"/>
        </w:rPr>
        <w:t>) or influenza, and/or heavy cannabis use, smoking or vaping.</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PALISADE-2.</w:t>
      </w:r>
      <w:r>
        <w:rPr>
          <w:rFonts w:ascii="Times New Roman" w:hAnsi="Times New Roman"/>
          <w:caps w:val="false"/>
          <w:smallCaps w:val="false"/>
          <w:sz w:val="20"/>
        </w:rPr>
        <w:t>   In October 2021, near the end of the acute phase of the COVID-19 pandemic, we initiated PALISADE-2, which involved the same clinic-based, single-administration assessment public speaking challenge study design and use of the SUDS as the primary efficacy endpoint as PALISADE-1. In July 2022, after receiving top line results from PALISADE-1, we paused recruitment and enrollment in PALISADE-2 to allow independent third-party biostatisticians to conduct an interim analysis of available data from subjects randomized in PALISADE-2 up to the date we paused the study. In September 2022, based on their review of unblinded data from the 140 subjects who had completed PALISADE-2, the independent third-party biostatisticians recommended that we continue PALISADE-2 as planned, without revealing the underlying data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the results of the interim analysis of PALISADE-2 indicated that continuation of the study would not be futile, after considering the expense, time, and challenges associated with PALISADE-1, as well as the potential methodological complexities involved in resuming PALISADE-2, we closed the PALISADE-2 study. Topline results from the 140 subjects who completed PALISADE-2 are expected in the second half of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PALISADE Open Label Study.</w:t>
      </w:r>
      <w:r>
        <w:rPr>
          <w:rFonts w:ascii="Times New Roman" w:hAnsi="Times New Roman"/>
          <w:caps w:val="false"/>
          <w:smallCaps w:val="false"/>
          <w:sz w:val="20"/>
        </w:rPr>
        <w:t>   The PALISADE Open Label Study (</w:t>
      </w:r>
      <w:r>
        <w:rPr>
          <w:rFonts w:ascii="Times New Roman" w:hAnsi="Times New Roman"/>
          <w:i/>
          <w:caps w:val="false"/>
          <w:smallCaps w:val="false"/>
          <w:sz w:val="20"/>
        </w:rPr>
        <w:t>OLS</w:t>
      </w:r>
      <w:r>
        <w:rPr>
          <w:rFonts w:ascii="Times New Roman" w:hAnsi="Times New Roman"/>
          <w:caps w:val="false"/>
          <w:smallCaps w:val="false"/>
          <w:sz w:val="20"/>
        </w:rPr>
        <w:t>) was a Phase 3, open-label safety trial designed to evaluate the safety and tolerability of multiple, as-needed administrations (up to four times a day) of fasedienol in adults with SAD. The PALISADE OLS also evaluated the change from baseline in monthly standard clinical measurements and behavioral assessment scales (LSAS, Clinician Global Impression of Improvement scale (</w:t>
      </w:r>
      <w:r>
        <w:rPr>
          <w:rFonts w:ascii="Times New Roman" w:hAnsi="Times New Roman"/>
          <w:i/>
          <w:caps w:val="false"/>
          <w:smallCaps w:val="false"/>
          <w:sz w:val="20"/>
        </w:rPr>
        <w:t>CGI-I</w:t>
      </w:r>
      <w:r>
        <w:rPr>
          <w:rFonts w:ascii="Times New Roman" w:hAnsi="Times New Roman"/>
          <w:caps w:val="false"/>
          <w:smallCaps w:val="false"/>
          <w:sz w:val="20"/>
        </w:rPr>
        <w:t>) and Patient Global Impression of Change scale (</w:t>
      </w:r>
      <w:r>
        <w:rPr>
          <w:rFonts w:ascii="Times New Roman" w:hAnsi="Times New Roman"/>
          <w:i/>
          <w:caps w:val="false"/>
          <w:smallCaps w:val="false"/>
          <w:sz w:val="20"/>
        </w:rPr>
        <w:t>PGI-C</w:t>
      </w:r>
      <w:r>
        <w:rPr>
          <w:rFonts w:ascii="Times New Roman" w:hAnsi="Times New Roman"/>
          <w:caps w:val="false"/>
          <w:smallCaps w:val="false"/>
          <w:sz w:val="20"/>
        </w:rPr>
        <w:t>)) in response to anxiety-provoking social situations in daily</w:t>
        <w:noBreakHyphen/>
        <w:t>life after the administration of fasedienol. The key exploratory efficacy endpoint in the study included evaluation of the change from baseline on the LSAS, which measures SAD patients’ response to anxiety-provoking social and performance situations experienced in their daily lives. Following the completion of PALISADE-1, we terminated the PALISADE OLS early, solely for strategic business reasons, and not due to any safety concerns with fasedienol.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Safety and tolerability of fasedienol were assessed and summarized during monthly visits from baseline to end of treatment in AEs, laboratory values, 12</w:t>
        <w:noBreakHyphen/>
        <w:t>lead electrocardiograms (</w:t>
      </w:r>
      <w:r>
        <w:rPr>
          <w:rFonts w:ascii="Times New Roman" w:hAnsi="Times New Roman"/>
          <w:i/>
          <w:caps w:val="false"/>
          <w:smallCaps w:val="false"/>
          <w:sz w:val="20"/>
        </w:rPr>
        <w:t>ECGs</w:t>
      </w:r>
      <w:r>
        <w:rPr>
          <w:rFonts w:ascii="Times New Roman" w:hAnsi="Times New Roman"/>
          <w:caps w:val="false"/>
          <w:smallCaps w:val="false"/>
          <w:sz w:val="20"/>
        </w:rPr>
        <w:t>), physical examinations, and vital sign assessments following exposure to fasedienol. Long-term administration of 3.2 µg of fasedienol, as-needed up to four times per day, was safe and well-tolerated, with no new safety findings or trends identified, regardless of the number of doses administered by each subject (safety population: n=481). Headache was the most common treatment-emergent adverse event (</w:t>
      </w:r>
      <w:r>
        <w:rPr>
          <w:rFonts w:ascii="Times New Roman" w:hAnsi="Times New Roman"/>
          <w:i/>
          <w:caps w:val="false"/>
          <w:smallCaps w:val="false"/>
          <w:sz w:val="20"/>
        </w:rPr>
        <w:t>TEAE</w:t>
      </w:r>
      <w:r>
        <w:rPr>
          <w:rFonts w:ascii="Times New Roman" w:hAnsi="Times New Roman"/>
          <w:caps w:val="false"/>
          <w:smallCaps w:val="false"/>
          <w:sz w:val="20"/>
        </w:rPr>
        <w:t>) (17.0%), and, except for COVID-19 TEAEs (11.4%) which were not considered related to fasedienol, no other TEAE occurred in more than 5.0% of subjects. Over 30,000 doses of fasedienol were administered by patients during the study, with a mean duration of four months and a maximum study duration of over ten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final data set from PALISADE OLS demonstrates clinically meaningful functional improvement, as measured by the LSAS, and total LSAS scores, in both men and women, continued to decline in consecutive months during the study, as follows:</w:t>
      </w:r>
    </w:p>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 1 month, the mean reduction on the LSAS was 16 points (n=385);</w:t>
            </w:r>
          </w:p>
        </w:tc>
      </w:tr>
    </w:tbl>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60"/>
        <w:gridCol w:w="170"/>
        <w:gridCol w:w="6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 2 months, the mean reduction on the LSAS was 20 points (n=324); and</w:t>
            </w:r>
          </w:p>
        </w:tc>
      </w:tr>
    </w:tbl>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60"/>
        <w:gridCol w:w="170"/>
        <w:gridCol w:w="58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 3 months, the mean reduction on the LSAS was 24 points (n=218).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subjects who continued in the study, total LSAS scores continued to decline from baseline, with improvements observed each month on the LSAS through nine months. The continued improvement in LSAS scores is indicative of the therapeutic potential of multiple, patient-tailored, as-needed administrations of fasedienol over time to help patients build confidence to engage in anxiety-provoking social and performance situations in their daily lives more frequently and with less fear and anxiety.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CGI-I results indicated 43% of the 218 patients assessed after three months were “much” or “very much” improved, and PGI-C results indicated 44% of the 218 patients assessed after three months considered themselves “much” or “very much” improved.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FDA Feedback on Path Forward; FEARLESS-1.</w:t>
      </w:r>
      <w:r>
        <w:rPr>
          <w:rFonts w:ascii="Times New Roman" w:hAnsi="Times New Roman"/>
          <w:caps w:val="false"/>
          <w:smallCaps w:val="false"/>
          <w:sz w:val="20"/>
        </w:rPr>
        <w:t>   We believe data from approximately 400 subjects in the PALISADE OLS over a period of one month and beyond, combined with the data from the previous Phase 2 randomized, double-blind, placebo-controlled, crossover study of fasedienol after two weeks of use, as discussed above, demonstrate the potential for fasedienol to achieve robust overall reduction in symptoms of SAD and improvement in severity of the disorder over time, as measured by the LSAS. These data also appear to suggest that studies involving multiple administrations of fasedienol over time on an as-needed basis, up to four times per day, when subjects experience daily, real-life, socially stressful situations may most accurately reflect the true efficacy of fasedienol in patients with SAD and represent the actual way in which they would use fasedienol, if approved. Utilizing the LSAS as the primary efficacy outcome measure in our next Phase 3 study is consistent with the pivotal registration trials for all three currently approved treatments for SAD. As those studies indicate, the LSAS is capable of measuring a drug’s efficacy in patients with SAD due to its ability to capture patient feedback on fear and anxiety regarding various social situations, as well avoidance of such situations. Hence, we believe using the LSAS as the primary efficacy endpoint for our further Phase 3 development of fasedienol has the potential to demonstrate its efficacy and true impact on patients’ lives.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first quarter of calendar 2023, we met with the FDA to discuss next steps in our Phase 3 development plan for fasedienol in SAD, which plan includes, among other things, conducting, on our own or  with collaborators, a multiple-assessment, randomized, double-blind, placebo-controlled Phase 3 study of fasedienol in adults in a real-world setting, using the LSAS as the primary efficacy outcome measure to evaluate the efficacy of fasedienol over time in patients with SAD to support a potential fasedienol New Drug Application (</w:t>
      </w:r>
      <w:r>
        <w:rPr>
          <w:rFonts w:ascii="Times New Roman" w:hAnsi="Times New Roman"/>
          <w:i/>
          <w:caps w:val="false"/>
          <w:smallCaps w:val="false"/>
          <w:sz w:val="20"/>
        </w:rPr>
        <w:t>NDA</w:t>
      </w:r>
      <w:r>
        <w:rPr>
          <w:rFonts w:ascii="Times New Roman" w:hAnsi="Times New Roman"/>
          <w:caps w:val="false"/>
          <w:smallCaps w:val="false"/>
          <w:sz w:val="20"/>
        </w:rPr>
        <w:t>). Positive feedback from the FDA at this meeting confirmed the acceptable use of the LSAS as a primary efficacy endpoint. Accordingly, we are positioned to finalize key components of FEARLESS, our potential NDA-enabling Phase 3 development program for fasedienol for treatment of SAD.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Unlike the PALISADE Phase 3 studies, which involved assessment of only a single, self- administered dose of fasedienol in a clinic-based public speaking challenge using the SUDS as the primary outcome measure, our FEARLESS program will assess multiple administrations of fasedienol, on a patient-tailored as-needed basis, up to six times per day, in a real-world setting over a multiple week period, with the LSAS as the primary efficacy endpoint, consistent with the FDA’s three precedent-setting approvals of antidepressants for treatment of SAD. Dr. Michael R. Liebowitz, a Columbia University psychiatrist, former director and founder of the Anxiety Disorders Clinic at the New York State Psychiatric Institute and current Managing Director of The Medical Research Network LLC in New York City, is the innovator of the LSAS and will be the Principal Investigator for our FEARLESS program in SAD.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Exploratory Phase 2A Study in AjDA and Future Development Opportunities.</w:t>
      </w:r>
      <w:r>
        <w:rPr>
          <w:rFonts w:ascii="Times New Roman" w:hAnsi="Times New Roman"/>
          <w:caps w:val="false"/>
          <w:smallCaps w:val="false"/>
          <w:sz w:val="20"/>
        </w:rPr>
        <w:t>    During the acute phase of the COVID-19 pandemic, we conducted a small exploratory Phase 2A clinical study of fasedienol designed to assess its therapeutic potential in adults experiencing adjustment disorder with anxiety (</w:t>
      </w:r>
      <w:r>
        <w:rPr>
          <w:rFonts w:ascii="Times New Roman" w:hAnsi="Times New Roman"/>
          <w:i/>
          <w:caps w:val="false"/>
          <w:smallCaps w:val="false"/>
          <w:sz w:val="20"/>
        </w:rPr>
        <w:t>AjDA</w:t>
      </w:r>
      <w:r>
        <w:rPr>
          <w:rFonts w:ascii="Times New Roman" w:hAnsi="Times New Roman"/>
          <w:caps w:val="false"/>
          <w:smallCaps w:val="false"/>
          <w:sz w:val="20"/>
        </w:rPr>
        <w:t>). Adjustment disorder (</w:t>
      </w:r>
      <w:r>
        <w:rPr>
          <w:rFonts w:ascii="Times New Roman" w:hAnsi="Times New Roman"/>
          <w:i/>
          <w:caps w:val="false"/>
          <w:smallCaps w:val="false"/>
          <w:sz w:val="20"/>
        </w:rPr>
        <w:t>AjD</w:t>
      </w:r>
      <w:r>
        <w:rPr>
          <w:rFonts w:ascii="Times New Roman" w:hAnsi="Times New Roman"/>
          <w:caps w:val="false"/>
          <w:smallCaps w:val="false"/>
          <w:sz w:val="20"/>
        </w:rPr>
        <w:t>) occurs within three months of exposure to a stressor as evidenced by marked distress that is out of proportion to the socially or culturally expected reactions to the stressor, or that represents significant impairment in social, occupational or other important areas of daily functioning. Our small exploratory study in AjDA is believed to be the first ever randomized, double-blind, placebo-controlled Phase 2A study in the U.S. aimed at exploring the pharmacological treatment of AjDA, and the first clinical trial that evaluated the effects of a fixed dosing regimen of fasedienol, involving intranasal administration of 3.2 µg of fasedienol four times per day over four weeks. A total of 71 subjects were screened for the study, 41 were randomized, 7 discontinued, and 34 completed four weeks of treatment. The study, which was not designed to achieve statistical significance, did not demonstrate a clinically significant difference between fasedienol and placebo as measured on the clinician-rated Hamilton Anxiety Scale (</w:t>
      </w:r>
      <w:r>
        <w:rPr>
          <w:rFonts w:ascii="Times New Roman" w:hAnsi="Times New Roman"/>
          <w:i/>
          <w:caps w:val="false"/>
          <w:smallCaps w:val="false"/>
          <w:sz w:val="20"/>
        </w:rPr>
        <w:t>HAM</w:t>
      </w:r>
      <w:r>
        <w:rPr>
          <w:rFonts w:ascii="Times New Roman" w:hAnsi="Times New Roman"/>
          <w:caps w:val="false"/>
          <w:smallCaps w:val="false"/>
          <w:sz w:val="20"/>
        </w:rPr>
        <w:t>-</w:t>
      </w:r>
      <w:r>
        <w:rPr>
          <w:rFonts w:ascii="Times New Roman" w:hAnsi="Times New Roman"/>
          <w:i/>
          <w:caps w:val="false"/>
          <w:smallCaps w:val="false"/>
          <w:sz w:val="20"/>
        </w:rPr>
        <w:t>A</w:t>
      </w:r>
      <w:r>
        <w:rPr>
          <w:rFonts w:ascii="Times New Roman" w:hAnsi="Times New Roman"/>
          <w:caps w:val="false"/>
          <w:smallCaps w:val="false"/>
          <w:sz w:val="20"/>
        </w:rPr>
        <w:t>). Site variances and both a high drug response rate and high placebo response rate were observed, likely related to the various aspects of AjDA that make it a challenging indication to study. The study of AjDA is complicated because the disorder is, by definition, temporary and self-resolving, making it difficult to identify the cause of clinical improvement or whether placebo played a role in any improvement observed. AjDA is a temporary stress reaction. The stress reaction typically starts within three months of an identifiable stressful situation, but because the disorder is directly linked to a stressor, once the stressor ends, the anxiety reaction may also end, with or without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Fixed dosing of fasedienol four times per day, over four weeks, was well tolerated, with no appreciable differences in TEAEs between fasedienol and placebo. All reported TEAEs were of mild or moderate severity, with no severe or serious TEAEs reported during the study. Headache was the most commonly reported TEAE, reported by 3 subjects (15.8%) on fasedienol and 2 subjects (9.1%) on placebo.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Despite the methodological challenges inherent in the exploratory Phase 2A study in AjDA, we believe fasedienol builds resilience against anxiety and reduces the cognitive and physical paralysis that occurs during moments of heightened anxiety and stressful situations. Results of the AjDA study may provide support for an as-needed fasedienol dosing approach over time as the preferred mode of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also have potential opportunities to explore the development of fasedienol for other anxiety-related disorders, including postpartum anxiety, post-traumatic stress disorder, panic disorder, and procedural anxiety.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Itruvone Nasal Spray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Itruvone (PH10) is an odorless, tasteless synthetic investigational pherine from the pregnane family with a novel, rapid-onset potential MOA that is fundamentally differentiated from the MOA of all currently approved treatments for depression disorders. Itruvone, which is administered as a nasal spray at microgram-level doses, is designed to engage and activate chemosensory neurons in the nasal cavity, which are connected to neural circuits in the brain that produce antidepressant effects. Specifically, in a manner similar to fasedienol, itruvone’s proposed MOA involves the regulation of the olfactory-amygdala neural circuits believed to increase activity of the limbic-hypothalamic sympathetic nervous system and increase the release of catecholamines. Importantly, unlike all currently approved oral antidepressants (</w:t>
      </w:r>
      <w:r>
        <w:rPr>
          <w:rFonts w:ascii="Times New Roman" w:hAnsi="Times New Roman"/>
          <w:i/>
          <w:caps w:val="false"/>
          <w:smallCaps w:val="false"/>
          <w:sz w:val="20"/>
        </w:rPr>
        <w:t>ADs</w:t>
      </w:r>
      <w:r>
        <w:rPr>
          <w:rFonts w:ascii="Times New Roman" w:hAnsi="Times New Roman"/>
          <w:caps w:val="false"/>
          <w:smallCaps w:val="false"/>
          <w:sz w:val="20"/>
        </w:rPr>
        <w:t>) and rapid-onset ketamine-based therapy, including both intravenous ketamine and intranasal ketamine (esketamine), we believe itruvone does not require systemic uptake and distribution of the compound to the brain to produce rapid-onset of antidepressant effects. In all clinical studies completed to date, itruvone has been well-tolerated and has not caused psychological side effects (such as dissociation and hallucinations) or other safety concerns that may be associated with ketamine-based therapy.</w:t>
      </w:r>
    </w:p>
    <w:p>
      <w:pPr>
        <w:pStyle w:val="TextBody"/>
        <w:bidi w:val="0"/>
        <w:spacing w:before="0" w:after="0"/>
        <w:ind w:left="0" w:right="0" w:hanging="0"/>
        <w:jc w:val="center"/>
        <w:rPr/>
      </w:pPr>
      <w:r>
        <w:rPr/>
        <w:drawing>
          <wp:inline distT="0" distB="0" distL="0" distR="0">
            <wp:extent cx="7620000" cy="4133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4133850"/>
                    </a:xfrm>
                    <a:prstGeom prst="rect">
                      <a:avLst/>
                    </a:prstGeom>
                  </pic:spPr>
                </pic:pic>
              </a:graphicData>
            </a:graphic>
          </wp:inline>
        </w:drawing>
      </w:r>
    </w:p>
    <w:p>
      <w:pPr>
        <w:pStyle w:val="TextBody"/>
        <w:bidi w:val="0"/>
        <w:ind w:left="0" w:right="0" w:hanging="0"/>
        <w:jc w:val="center"/>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Major Depressive Disorder.</w:t>
      </w:r>
      <w:r>
        <w:rPr>
          <w:rFonts w:ascii="Times New Roman" w:hAnsi="Times New Roman"/>
          <w:caps w:val="false"/>
          <w:smallCaps w:val="false"/>
          <w:sz w:val="20"/>
        </w:rPr>
        <w:t>    Depression is a serious medical illness and a global public health concern that can occur at any time over a person's life. According to the World Health Organization (</w:t>
      </w:r>
      <w:r>
        <w:rPr>
          <w:rFonts w:ascii="Times New Roman" w:hAnsi="Times New Roman"/>
          <w:i/>
          <w:caps w:val="false"/>
          <w:smallCaps w:val="false"/>
          <w:sz w:val="20"/>
        </w:rPr>
        <w:t>WHO</w:t>
      </w:r>
      <w:r>
        <w:rPr>
          <w:rFonts w:ascii="Times New Roman" w:hAnsi="Times New Roman"/>
          <w:caps w:val="false"/>
          <w:smallCaps w:val="false"/>
          <w:sz w:val="20"/>
        </w:rPr>
        <w:t>), depression is the leading cause of disability worldwide, affecting over 250 million people. Statistics reported by the U.S. National Institute of Health (</w:t>
      </w:r>
      <w:r>
        <w:rPr>
          <w:rFonts w:ascii="Times New Roman" w:hAnsi="Times New Roman"/>
          <w:i/>
          <w:caps w:val="false"/>
          <w:smallCaps w:val="false"/>
          <w:sz w:val="20"/>
        </w:rPr>
        <w:t>NIMH</w:t>
      </w:r>
      <w:r>
        <w:rPr>
          <w:rFonts w:ascii="Times New Roman" w:hAnsi="Times New Roman"/>
          <w:caps w:val="false"/>
          <w:smallCaps w:val="false"/>
          <w:sz w:val="20"/>
        </w:rPr>
        <w:t>) indicate that approximately 21 million adults in the U.S., or approximately 8.4% of all adults in the U.S., had at least one major depressive episode in 2020. While most people will experience a depressed mood at some point during their lifetime, MDD is different. MDD is the chronic, pervasive feeling of utter unhappiness and suffering, which impairs daily functioning. In typical depressive episodes, an individual experiences depressed mood, loss of interest and enjoyment, and reduced energy leading to diminished activity and impaired daily functioning for at least two weeks and often much longer. Symptoms of MDD also may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MDD is the psychiatric diagnosis most commonly associated with suicide.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many people, depression cannot be controlled for any length of time without treatment. Current oral antidepressants have modest efficacy, substantial lag of onset of action, and considerable side effects. Approximately two out of every three depression sufferers do not receive adequate therapeutic benefits from their initial treatment with a standard antidepressant, and the likelihood of achieving remission of depressive symptoms declines with each successive treatment attempt. Even after multiple treatment attempts with current antidepressants, approximately one-third of depression sufferers still fail to find an adequately effective therapy. In addition, this trial and error process and the systemic effects of the various antidepressants involved may increase the risk of patient tolerability issues and serious side effects, including suicidal thoughts and behaviors in certain groups. Inadequate response to current treatments is among the key reasons MDD is one of the leading public health concerns in the United States, creating a significant unmet medical need for new agents with fundamentally different mechanisms of action and safety profiles.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MDD Clinical Studies.</w:t>
      </w:r>
      <w:r>
        <w:rPr>
          <w:rFonts w:ascii="Times New Roman" w:hAnsi="Times New Roman"/>
          <w:caps w:val="false"/>
          <w:smallCaps w:val="false"/>
          <w:sz w:val="20"/>
        </w:rPr>
        <w:t>   In a peer-reviewed, published exploratory Phase 2A clinical study (n=30), itruvone, self-administered at a daily dose of 6.4 micrograms, was well-tolerated and demonstrated significant (p=0.022) rapid-onset antidepressant effects, which were sustained over an 8-week period, as measured by the Hamilton Depression Rating Scale-17 (</w:t>
      </w:r>
      <w:r>
        <w:rPr>
          <w:rFonts w:ascii="Times New Roman" w:hAnsi="Times New Roman"/>
          <w:i/>
          <w:caps w:val="false"/>
          <w:smallCaps w:val="false"/>
          <w:sz w:val="20"/>
        </w:rPr>
        <w:t>HAM-D-17</w:t>
      </w:r>
      <w:r>
        <w:rPr>
          <w:rFonts w:ascii="Times New Roman" w:hAnsi="Times New Roman"/>
          <w:caps w:val="false"/>
          <w:smallCaps w:val="false"/>
          <w:sz w:val="20"/>
        </w:rPr>
        <w:t>), without side effects or safety concerns that may be caused by certain oral antidepressants or intravenous or intranasal ketamine-based therapy. With its potential for rapid-onset activity at a 6.4 microgram-level dose that we believe does not require systemic uptake to achieve sustained antidepressant effects, as well as a safety profile in studies completed to date that is differentiated from current therapeutics, we believe itruvone has transformative potential an innovative stand-alone treatment for MDD and potential opportunities for development in multiple additional depression disorders, including postpartum depression, treatment-resistant depression, and suicidal ideation.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2023, we launched a small U.S. single center, randomized, double-blinded, placebo-controlled Phase 1 study to investigate the safety and tolerability of itruvone in healthy adult subjects (n=12). The study was designed to confirm the favorable safety profile of itruvone established in three previous clinical studies conducted in Mexico, including the Phase 2 study noted above, as well as facilitate our plans for Phase 2B development of itruvone in the U.S. as a fast-acting stand-alone treatment for MDD. In June 2023, we announced positive data from this study. There were no reported SAEs or discontinuations due to adverse events in the trial. Two AEs were reported during the treatment period, fatigue and headache, which occurred in the same subject. Both AEs resolved without sequelae and were mild in severity. Following itruvone administration, there were no clinically significant findings in ECGs, vital signs, and laboratory parameters. Overall, itruvone was well-tolerated and continued to demonstrate a favorable safety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has granted Fast Track designation for development of itruvone as a potential adjunctive treatment for MDD.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PH80 Nasal Spray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PH80 is an odorless, tasteless synthetic investigational pherine with a novel, rapid-onset potential MOA that is fundamentally differentiated from the MOA of all currently approved treatments for both vasomotor symptoms (hot flashes) due to menopause and migraine headaches. PH80, which is administered as a nasal spray at microgram-level doses, engages and activates chemosensory neurons in the nasal cavity, which are connected to neural circuits in the brain that modulate neural circuits in the basal forebrain associated with the control of body temperature, as well as premonitory and aura symptoms of migraines.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PH80 for Acute Management of Vasomotor Symptoms (Hot Flashes) due to Menopause.</w:t>
      </w:r>
      <w:r>
        <w:rPr>
          <w:rFonts w:ascii="Times New Roman" w:hAnsi="Times New Roman"/>
          <w:caps w:val="false"/>
          <w:smallCaps w:val="false"/>
          <w:sz w:val="20"/>
        </w:rPr>
        <w:t>    Approximately 60% to 80% of women entering menopause suffer from hot flashes and associated symptoms lasting up to ten years, according to the Massachusetts General Hospital Center for Women’s Mental Health. Menopausal symptoms are triggered by hormonal fluctuations that develop at the onset of menopause and affect areas of the brain involved in the control of core body temperature. Sudden changes in core body temperature result in hot flashes, sweating, reddening of the face and upper thorax, rapid heartbeat and general feelings of discomfort that can have an impact on the quality of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 small exploratory Phase 2A clinical study (n=36), PH80 showed a profile compatible with the acute management of menopausal hot flashes. The randomized, double-blind, placebo-controlled exploratory Phase 2A study was designed to explore the efficacy, safety, and tolerability of intranasal administration of PH80 for the acute management of vasomotor symptoms hot flashes due to menopause. In the study, PH80 nasal spray containing PH80 in a dose of 0.8 micrograms/50 microliters (0.8 µg/50 µL) was self-administered by subjects intranasally, two sprays in each nostril (total dose = 3.2µg) up to four times daily, as-needed for four consecutive weeks. One additional dose was allowed at night if subjects were awakened by hot flashes. Through the course of the study, subjects recorded the number, severity, disruption in function, and sweating related to hot flashes. PH80 was well-tolerated with no serious adverse events, and the adverse event profiles were comparable between PH80 and placebo. All 36 subjects completed four weeks of treatment and no subject discontinued participation in the study as a result of TEAEs.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PH80 induced significant reduction in the daily number of hot flashes compared to placebo at the end of the first week of treatment, and the improvement was maintained through each treatment week until the end of the four-week treatment period. At baseline, subjects reported a mean daily number of hot flashes of 7.7 (PH80, n=18) and 8.0 (placebo, n=18). After one week of treatment, the number of hot flashes dropped to 2.8 (PH80) and 6.4 (placebo) (p&lt;.001), and after four weeks of treatment the number of hot flashes dropped to 1.5 (PH80) and 5.1 (placebo) (p&lt;.001). PH80 treatment also significantly reduced the severity, disruption in function, and sweating related to hot flashes during the treatment period as compared with placebo.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currently preparing, on our own or with collaborators, to submit an U.S. IND for a Phase 2B clinical study of PH80 as a treatment for hot flashes due to menopause.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PH80 for Acute Treatment of Migraine Headaches.</w:t>
      </w:r>
      <w:r>
        <w:rPr>
          <w:rFonts w:ascii="Times New Roman" w:hAnsi="Times New Roman"/>
          <w:caps w:val="false"/>
          <w:smallCaps w:val="false"/>
          <w:sz w:val="20"/>
        </w:rPr>
        <w:t>     Migraine headaches are a common and debilitating neurological disorder experienced by approximately 4% to 9% of men and 11% to 25% of women, according to the American Headache Society. A migraine is characterized by unilateral, pulsating headaches of moderate to severe intensity lasting four to 72 hours. Symptoms are aggravated by routine physical activity and are associated with nausea, photophobia and phonophobia. Usually, migraine headaches are preceded by premonitory symptoms (fatigue neck discomfort, gastrointestinal symptoms and mood changes, and these are followed by an aura of sensory and language disturbance (Headache, 58: 4-16, 2018. American Headache Society).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PH80 initiates neural impulses in the olfactory bulb transmitted by pathways that rapidly affect the function of multiple structures in the brain, including the amygdala and hypothalamus that have been linked to the pathology of migraine. Due to its MOA and a small proof of concept study, we believe PH80 may have therapeutic potential to relieve premonitory and aura symptoms of migraines.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PH15 Nasal Spray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Cognitive impairment has many potential causes, including mental fatigue, and is often associated with hypersomnia or excessive daytime sleepiness (</w:t>
      </w:r>
      <w:r>
        <w:rPr>
          <w:rFonts w:ascii="Times New Roman" w:hAnsi="Times New Roman"/>
          <w:i/>
          <w:caps w:val="false"/>
          <w:smallCaps w:val="false"/>
          <w:sz w:val="20"/>
        </w:rPr>
        <w:t>EDS</w:t>
      </w:r>
      <w:r>
        <w:rPr>
          <w:rFonts w:ascii="Times New Roman" w:hAnsi="Times New Roman"/>
          <w:caps w:val="false"/>
          <w:smallCaps w:val="false"/>
          <w:sz w:val="20"/>
        </w:rPr>
        <w:t>).  EDS is commonly caused by sleep-related disorders such as sleep apnea, circadian rhythm disorder, or narcolepsy but may also be caused by psychiatric disorders, neurological conditions, or medications.  In the U.S., it is estimated that 12.7% of adults, or approximately 30 million people suffer from EDS (Ford et al, 2015).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PH15 is an odorless, tasteless synthetic investigational pherine with a novel, rapid-onset potential MOA that is fundamentally differentiated from the MOA of all currently approved treatments to improve cognitive impairment caused by mental fatigue and potentially other disorders. Early functional MRI studies in human volunteers at Stanford University revealed that intranasal administration of PH15 induced rapid activation of brain areas related to cognition (Sobel et al, Brain, 1999). In a small double blind, placebo-controlled study Phase 2 study of human subjects who were sleep deprived to induce mental fatigue, intranasal PH15 showed rapid and significant improvement in cognitive and psychomotor performance and improvement of reaction time that was better than the effect of a placebo and 400 mg of oral caffeine. We are currently evaluating the path forward to submitting an U.S. IND for a Phase 2 clinical study, on our own or with collaborators, and the appropriate indication for demonstrating improvement of cognitive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PH284 Nasal Spray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PH284 is an odorless, tasteless synthetic investigational pherine with a novel, rapid-onset potential MOA that is fundamentally differentiated from the MOA of all currently approved treatments for the loss of appetite associated with chronic disorders such as cancer. Cachexia is a serious but under recognized consequence of many chronic diseases with body mass loss of &gt;10% and a prevalence of 5 to 15 %. We believe PH284 may have therapeutic potential for improving subjective feelings of hunger in patients with cachexia.  We are currently evaluating the path forward to submitting an U.S. IND for cachexia, on our own or with collaborators, and the appropriate patient populations for demonstrating increase in appetite and weight gain in a second Phase 2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 xml:space="preserve">AV-101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AV-101 (4-Cl-KYN) is a novel, oral prodrug that targets the NMDAR (N-methyl-D-aspartate receptor), an ionotropic glutamate receptor in the brain. Abnormal NMDAR function is associated with numerous CNS diseases and disorders. The active metabolite of AV-101, 7-chloro-kynurenic acid (7-Cl-KYNA), is a potent and selective full antagonist of the glycine binding site of the NMDAR that inhibits the function of the NMDAR. Unlike ketamine and many other NMDAR antagonists, 7-Cl-KYNA is not an ion channel blocker. In clinical and nonclinical testing completed to date, AV-101 has demonstrated good oral bioavailability and an excellent pharmacokinetic (</w:t>
      </w:r>
      <w:r>
        <w:rPr>
          <w:rFonts w:ascii="Times New Roman" w:hAnsi="Times New Roman"/>
          <w:i/>
          <w:caps w:val="false"/>
          <w:smallCaps w:val="false"/>
          <w:sz w:val="20"/>
        </w:rPr>
        <w:t>PK</w:t>
      </w:r>
      <w:r>
        <w:rPr>
          <w:rFonts w:ascii="Times New Roman" w:hAnsi="Times New Roman"/>
          <w:caps w:val="false"/>
          <w:smallCaps w:val="false"/>
          <w:sz w:val="20"/>
        </w:rPr>
        <w:t>) profile. No binding of AV-101 or 7-Cl-KYNA to off-site targets was identified by an extensive receptor screening study. Moreover, in all clinical trials completed to date, AV-101 has been safe and very well-tolerated with no psychological side effects or safety concerns and no treatment-related serious adverse events that are often observed with classic channel-blocking NMDAR antagonists such as ketamine and amantadine. Nonclinical results also indicate that chronic administration of 4-Cl-KYN induces hippocampal neurogenesis, a hallmark of drugs that have antidepressive effects, and increases endogenous levels of KYNA, which also is a functional NMDAR glycine site antagonist.</w:t>
      </w:r>
    </w:p>
    <w:p>
      <w:pPr>
        <w:pStyle w:val="TextBody"/>
        <w:bidi w:val="0"/>
        <w:jc w:val="center"/>
        <w:rPr/>
      </w:pPr>
      <w:r>
        <w:rPr/>
        <w:drawing>
          <wp:inline distT="0" distB="0" distL="0" distR="0">
            <wp:extent cx="7620000" cy="4105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41052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observations and findings from preclinical studies, we believe AV-101 has the potential to become a new oral treatment alternative for multiple CNS disorders. We are currently preparing for Phase 2A development of AV-101, on our own or with collaborators,  as a treatment for one or more neurological disorders involving the NMDAR receptor.  Multiple studies have shown AV-101 to be safe and well-tolerated, and a range of preclinical studies indicate potential in multiple indications, including levodopa-induced dyskinesia, neuropathic pain, seizures, MDD, and suicidal ideation.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has granted Fast Track designation for development of AV-101 as a potential adjunctive treatment for MDD and as a non-opioid treatment for neuropathic 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Intellectual Property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strive to protect the proprietary know-how and technology that we believe is important to our business, including seeking and maintaining patents intended to cover our product candidates and related pharmaceutical compositions, their therapeutic methods of use, including treatment and prognostic methods, as well as processes for their manufacture, and any other aspects of our discoveries and inventions that are commercially important to the development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also rely on trade secrets to protect aspects of our business that are not amenable to, or that we do not consider appropriate for, patent protection. We also utilize know-how, continuing technological innovation and in-licensing opportunities to develop and maintain our proprietary position. We seek to obtain domestic and international patent protection in appropriate markets, and endeavor to timely file patent applications for new commercially valuable inventions.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protect our rights to our proprietary technology, we require all employees, as well as our external collaborators, consultants and CROs when feasible, to enter into agreements that require disclosure and assignment to us of ideas, developments, discoveries and inventions made by these employees, consultants, and CROs in the course of their service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plan to continue to expand our intellectual property estate by filing patent applications directed to pharmaceutical compositions, methods of use, including treatment and patient selection, formulations, nasal administration devices, and manufacturing processes created or identified from the ongoing development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own and have licensed granted patents and pending patent applications in the U.S. and in certain foreign countries. These patent properties include, but are not limited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Fasedienol (PH94B) for the treatment of social anxiety disorder: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Granted U.S. patents and corresponding foreign patents related to the treatment of anticipatory anxiety or social phobic response.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granted U.S. patents related to fasedienol to treat social anxiety disorder will nominally expire either in 2025 or 2028, respectively, and foreign patents will nominally expire in 2026, subject to patent term extensions that may be available on a country-by-country basis, including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Fasedienol (PH94B) for the treatment of adjustment disorder:</w:t>
      </w:r>
    </w:p>
    <w:p>
      <w:pPr>
        <w:pStyle w:val="TextBody"/>
        <w:bidi w:val="0"/>
        <w:spacing w:before="0" w:after="0"/>
        <w:ind w:left="72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60"/>
        <w:gridCol w:w="170"/>
        <w:gridCol w:w="9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7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Pending U.S. and corresponding foreign patent applications related to the treatment of adjustment disorder with anxiety.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Patents that may be granted on these applications related to fasedienol to treat adjustment disorder will nominally expire in 2041, subject to patent term extensions that may be available on a country-by-country basis, including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Itruvone (PH10) for the treatment of depression:</w:t>
      </w:r>
    </w:p>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60"/>
        <w:gridCol w:w="170"/>
        <w:gridCol w:w="82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82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Granted U.S. patent and corresponding foreign patents related to the treatment of depressive disorders.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U.S. and foreign patents related to itruvone to treat depression nominally expire in 2033, subject to extensions that may be available on a country-by-country basis, including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PH80 for the treatment of menopausal hot flashes: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Granted U.S. patent and corresponding foreign patents related to the treatment of menopausal hot flashes. The U.S. and foreign patents related to PH80 to treat menopausal hot flashes nominally expire in 2029, subject to extensions that may be available on a country-by-country basis, including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PH80 for the treatment of migraine:</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60"/>
        <w:gridCol w:w="170"/>
        <w:gridCol w:w="9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Granted U.S. patent and corresponding pending foreign patent applications related to the treatment of migraine.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U.S. and foreign patents that may be granted on these patent applications related to PH80 to treat migraine nominally expire in 2040, subject to extensions that may be available on a country-by-country basis, including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PH15 for the improvement of psychomotor and cognitive performance:</w:t>
      </w:r>
    </w:p>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0"/>
        <w:gridCol w:w="170"/>
        <w:gridCol w:w="8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84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Pending U.S. patent applications related to the improvement of psychomotor and cognitive performance.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and foreign patents that may be granted on these applications related to PH15 to improve psychomotor and cognitive performance will nominally expire in 2044, subject to extensions that may be available on a country-by-country basis, including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AV-101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Five granted U.S. patents related to the treatment of depression with AV-101, certain unit dose formulations of AV-101 effective to treat depression, and treatment of dyskinesia induced by the administration of L-DOPA (</w:t>
            </w:r>
            <w:r>
              <w:rPr>
                <w:rFonts w:ascii="Times New Roman;Times;serif" w:hAnsi="Times New Roman;Times;serif"/>
                <w:i/>
                <w:sz w:val="20"/>
              </w:rPr>
              <w:t>LID</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Pending U.S. patent applications and foreign granted patents and pending foreign patent applications related to treatment of various disorders, including depression, LID, neuropathic pain (</w:t>
            </w:r>
            <w:r>
              <w:rPr>
                <w:rFonts w:ascii="Times New Roman;Times;serif" w:hAnsi="Times New Roman;Times;serif"/>
                <w:i/>
                <w:sz w:val="20"/>
              </w:rPr>
              <w:t>NP</w:t>
            </w:r>
            <w:r>
              <w:rPr>
                <w:rFonts w:ascii="Times New Roman;Times;serif" w:hAnsi="Times New Roman;Times;serif"/>
                <w:sz w:val="20"/>
              </w:rPr>
              <w:t>), tinnitus and obsessive-compulsive disorder;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Pending PCT patent application related to the prognostic identification of high and low responders to treatment of various CNS disorders with AV-101;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Two granted U.S. patents, and foreign granted patents and pending foreign patent applications related to the manufacture of AV-101.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U.S. and foreign patents related to AV-101 nominally expire between 2034 and 2040, depending on the particular subject matter claimed in each patent, subject to extensions that may be available on a country-by-country basis, including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Patent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base term of a U.S. patent is 20 years from the filing date of the earliest-filed non-provisional patent application from which the patent claims priority. The term of a U.S. patent can be lengthened by patent term adjustment, which compensates the owner of the patent for administrative delays at the U.S. Patent and Trademark Office (</w:t>
      </w:r>
      <w:r>
        <w:rPr>
          <w:rFonts w:ascii="Times New Roman" w:hAnsi="Times New Roman"/>
          <w:i/>
          <w:caps w:val="false"/>
          <w:smallCaps w:val="false"/>
          <w:sz w:val="20"/>
        </w:rPr>
        <w:t>PTO</w:t>
      </w:r>
      <w:r>
        <w:rPr>
          <w:rFonts w:ascii="Times New Roman" w:hAnsi="Times New Roman"/>
          <w:caps w:val="false"/>
          <w:smallCaps w:val="false"/>
          <w:sz w:val="20"/>
        </w:rPr>
        <w:t>). In some cases, the term of a U.S. patent is shortened by a terminal disclaimer that reduces its term to align with that of a related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Depending upon the timing, duration and specifics of the FDA approval of our drug candidates, if any,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w:t>
      </w:r>
      <w:r>
        <w:rPr>
          <w:rFonts w:ascii="Times New Roman" w:hAnsi="Times New Roman"/>
          <w:i/>
          <w:caps w:val="false"/>
          <w:smallCaps w:val="false"/>
          <w:sz w:val="20"/>
        </w:rPr>
        <w:t>testing phase</w:t>
      </w:r>
      <w:r>
        <w:rPr>
          <w:rFonts w:ascii="Times New Roman" w:hAnsi="Times New Roman"/>
          <w:caps w:val="false"/>
          <w:smallCaps w:val="false"/>
          <w:sz w:val="20"/>
        </w:rPr>
        <w:t>), plus the time between the submission date of an NDA and the approval of that application (</w:t>
      </w:r>
      <w:r>
        <w:rPr>
          <w:rFonts w:ascii="Times New Roman" w:hAnsi="Times New Roman"/>
          <w:i/>
          <w:caps w:val="false"/>
          <w:smallCaps w:val="false"/>
          <w:sz w:val="20"/>
        </w:rPr>
        <w:t>approval phase</w:t>
      </w:r>
      <w:r>
        <w:rPr>
          <w:rFonts w:ascii="Times New Roman" w:hAnsi="Times New Roman"/>
          <w:caps w:val="false"/>
          <w:smallCaps w:val="false"/>
          <w:sz w:val="20"/>
        </w:rPr>
        <w:t>). The FDA may reduce this patent term restoration period if it finds that an applicant did not act with due diligence during the testing phase or the approval phase. Only one patent related to an approved drug is eligible for the extension, and an application for the extension must be submitted prior to the expiration of the patent. The U.S. PTO, in consultation with the FDA, reviews and approves the application for any patent term extension or restoration. In the future, if circumstances permit, we intend to apply for extension or restoration of patent term for our applicable patents, if any, to extend patent life beyond their base expiration dates depending on the length of the clinical trials and other factors involved in the filing of the relevant NDA.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Some foreign jurisdictions, including Europe and Japan, also have patent term extension provisions, which allow for extension of the term of a patent that covers a drug approved by the applicable foreign regulatory agency. In the future, if and when our pharmaceutical products receive FDA approval, we expect to apply for patent term extension on patents covering those products, their methods of use, and/or methods of manufacture.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Data 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Some of our products may also be entitled to certain data exclusivity (that is not patent-related) under the Federal Food, Drug and Cosmetic Act (</w:t>
      </w:r>
      <w:r>
        <w:rPr>
          <w:rFonts w:ascii="Times New Roman" w:hAnsi="Times New Roman"/>
          <w:i/>
          <w:caps w:val="false"/>
          <w:smallCaps w:val="false"/>
          <w:sz w:val="20"/>
        </w:rPr>
        <w:t>FDCA</w:t>
      </w:r>
      <w:r>
        <w:rPr>
          <w:rFonts w:ascii="Times New Roman" w:hAnsi="Times New Roman"/>
          <w:caps w:val="false"/>
          <w:smallCaps w:val="false"/>
          <w:sz w:val="20"/>
        </w:rPr>
        <w:t>) and its related regulations. The FDCA provides a five-year period of non-patent data exclusivity within the U.S. to the first applicant to obtain approval for an NDA for a new chemical entity (</w:t>
      </w:r>
      <w:r>
        <w:rPr>
          <w:rFonts w:ascii="Times New Roman" w:hAnsi="Times New Roman"/>
          <w:i/>
          <w:caps w:val="false"/>
          <w:smallCaps w:val="false"/>
          <w:sz w:val="20"/>
        </w:rPr>
        <w:t>NCE</w:t>
      </w:r>
      <w:r>
        <w:rPr>
          <w:rFonts w:ascii="Times New Roman" w:hAnsi="Times New Roman"/>
          <w:caps w:val="false"/>
          <w:smallCaps w:val="false"/>
          <w:sz w:val="20"/>
        </w:rPr>
        <w:t>). An NCE is a new chemical entity if the FDA has not previously approved any other new drug containing the same active moiety, which is the molecule responsible for the pharmacological action of the drug substance. During the data exclusivity period, an abbreviated new drug application (</w:t>
      </w:r>
      <w:r>
        <w:rPr>
          <w:rFonts w:ascii="Times New Roman" w:hAnsi="Times New Roman"/>
          <w:i/>
          <w:caps w:val="false"/>
          <w:smallCaps w:val="false"/>
          <w:sz w:val="20"/>
        </w:rPr>
        <w:t>ANDA</w:t>
      </w:r>
      <w:r>
        <w:rPr>
          <w:rFonts w:ascii="Times New Roman" w:hAnsi="Times New Roman"/>
          <w:caps w:val="false"/>
          <w:smallCaps w:val="false"/>
          <w:sz w:val="20"/>
        </w:rPr>
        <w:t>), or a 505(b)(2) NDA submitted by another company may not be approved by the FDA for another drug containing the same active moiety, regardless of whether the drug is intended for the same indication as the original innovator drug or for another indication, where the applicant does not own or have a legal right of reference to all the data that served as the basis of granting the original NDA.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However, an ANDA or a 505(b)(2) NDA application may be submitted to the FDA for evaluation after four years from the original NDA approval if the innovator NDA holder does not have a patent covering the product listed with the FDA Orange Book or if the application contains a certification of patent invalidity or non-infringement to one of the patents listed with the FDA Orange Book. The FDCA also provides three years of data exclusivity for a full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Three-year exclusivity prevents the FDA from approving ANDAs and 505(b)(2) applications that rely on the information that served as the basis of granting the new full or supplemental NDA. This three-year exclusivity covers only the modification for which the drug received approval on the basis of the new clinical investigations and does not prohibit the FDA from approving ANDAs for drugs containing the active moiety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Trade Secrets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patents, we may rely on trade secrets to develop and maintain our competitive position. We protect trade secrets, if any, and also know-how, by establishing confidentiality agreements and invention assignment agreements with our employees, consultants, scientific advisors, contractors and partners. These agreements provide that all confidential information developed or made known during the course of an individual’s or entity’s employment or other contractual relationship with us must be kept confidential during and after the relationship. These agreements also generally provide that all relevant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also owns a registered trademark in the U.S. for “VISTAGEN,” for “biotechnology services” in international class 42, which was renewed in 2021. We have a U.S. registration application pending for VISTAGEN in international class 10 for “human and veterinary preparations for medical 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Strategic Transactions and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Given the depth of clinical development across our CNS pipeline, as well as new potential to elevate additional preclinical candidates from our pherine platform, we are pursuing multiple strategic development and commercialization partnerships, both global and regional, across our clinical-stage pipeline to efficiently unlock the full value of our product candidate portfolio. We believe regional and global partnerships designed to amplify our internal activities can efficiently accelerate key development timelines and regulatory milestones for our product candidates.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believe that our highly selective outsourcing of certain research, development, legal, manufacturing and regulatory activities gives us flexible access to a broad range of capabilities and expertise at a lower overall cost than developing and maintaining such capabilities and expertise internally on a full-time basis. In particular, we retain third parties for certain legal, accounting, manufacturing, nonclinical development, clinical development and regulatory affairs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entered into, and plan to seek multiple additional global and regional strategic collaborations and relationships focused on development and/or commercialization of our product candidates in key pharmaceutical markets worldwide, including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Commercial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customary clinical supply agreements with multiple contract development and manufacturing organizations (</w:t>
      </w:r>
      <w:r>
        <w:rPr>
          <w:rFonts w:ascii="Times New Roman" w:hAnsi="Times New Roman"/>
          <w:i/>
          <w:caps w:val="false"/>
          <w:smallCaps w:val="false"/>
          <w:sz w:val="20"/>
        </w:rPr>
        <w:t>CDMOs</w:t>
      </w:r>
      <w:r>
        <w:rPr>
          <w:rFonts w:ascii="Times New Roman" w:hAnsi="Times New Roman"/>
          <w:caps w:val="false"/>
          <w:smallCaps w:val="false"/>
          <w:sz w:val="20"/>
        </w:rPr>
        <w:t>) and customary agreements with multiple CROs to assist us with advancement and management of our nonclinical, including manufacturing, and clinical development programs. Each of our commercial agreements is non</w:t>
        <w:noBreakHyphen/>
        <w:t>exclusive, and we have no material contractual obligations under such agreements, except to the extent we order supplies or request services to be performed under specific work orders that we generate with such third-parties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Material 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Exclusive License and Collaboration Agreement with AffaMed Therapeutics, Inc. (formerly EverInsight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2020, we entered into a license and collaboration agreement (the </w:t>
      </w:r>
      <w:r>
        <w:rPr>
          <w:rFonts w:ascii="Times New Roman" w:hAnsi="Times New Roman"/>
          <w:i/>
          <w:caps w:val="false"/>
          <w:smallCaps w:val="false"/>
          <w:sz w:val="20"/>
        </w:rPr>
        <w:t>EverInsight License Agreement</w:t>
      </w:r>
      <w:r>
        <w:rPr>
          <w:rFonts w:ascii="Times New Roman" w:hAnsi="Times New Roman"/>
          <w:caps w:val="false"/>
          <w:smallCaps w:val="false"/>
          <w:sz w:val="20"/>
        </w:rPr>
        <w:t>) with EverInsight Therapeutics Inc., a company incorporated under the laws of the British Virgin Islands (</w:t>
      </w:r>
      <w:r>
        <w:rPr>
          <w:rFonts w:ascii="Times New Roman" w:hAnsi="Times New Roman"/>
          <w:i/>
          <w:caps w:val="false"/>
          <w:smallCaps w:val="false"/>
          <w:sz w:val="20"/>
        </w:rPr>
        <w:t>EverInsight</w:t>
      </w:r>
      <w:r>
        <w:rPr>
          <w:rFonts w:ascii="Times New Roman" w:hAnsi="Times New Roman"/>
          <w:caps w:val="false"/>
          <w:smallCaps w:val="false"/>
          <w:sz w:val="20"/>
        </w:rPr>
        <w:t>), pursuant to which we granted EverInsight an exclusive license to develop, manufacture and commercialize PH94B for multiple anxiety-related disorders in Greater China (Mainland China, Hong Kong, Macau and Taiwan), South Korea and Southeast Asia (Indonesia, Malaysia, Philippines, Thailand and Vietnam) (collectively, the </w:t>
      </w:r>
      <w:r>
        <w:rPr>
          <w:rFonts w:ascii="Times New Roman" w:hAnsi="Times New Roman"/>
          <w:i/>
          <w:caps w:val="false"/>
          <w:smallCaps w:val="false"/>
          <w:sz w:val="20"/>
        </w:rPr>
        <w:t>Territory</w:t>
      </w:r>
      <w:r>
        <w:rPr>
          <w:rFonts w:ascii="Times New Roman" w:hAnsi="Times New Roman"/>
          <w:caps w:val="false"/>
          <w:smallCaps w:val="false"/>
          <w:sz w:val="20"/>
        </w:rPr>
        <w:t>). Subsequent to entering into the EverInsight License Agreement, in October 2020, EverInsight merged with AffaMed Therapeutics, Inc., which as a combined, complementary entity is focusing on developing and commercializing therapeutics to address ophthalmologic and CNS disorders in Greater China and beyond. Accordingly, we refer to EverInsight and the EverInsight License Agreement as AffaMed and the AffaMed Agreement, respectively. We retained development, manufacturing and commercialization rights for fasedienol in the rest of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terms of the AffaMed Agreement, we received an upfront payment of $5.0 million in August 2020. We may also receive up to an additional $172 million in milestone payments upon AffaMed’s achievement of certain developmental, regulatory and sales milestone events related to PH94B. In addition, we are entitled to receive certain royalties on net sales, if any, of fasedienol in the Territory following receipt of any required regulatory approval. However, AffaMed’s, achievement of any of such developmental, regulatory and sales milestone events, or commercial sales of fasedienol in the Territory, cannot be guaranteed. AffaMed has the right to sublicense to affiliates and third parties in the Territory. AffaMed is responsible for all costs related to developing, obtaining regulatory approval of and commercializing fasedienol in the Territory. A joint development committee has been established between the Company and AffaMed to coordinate and review the development, manufacturing and commercialization plans with respect to PH94B in the Territory. Unless earlier terminated due to certain material breaches of the contract, or otherwise, the AffaMed Agreement will expire on a jurisdiction-by-jurisdiction basis until the latest to occur of expiration of the last valid claim under a licensed patent of fasedienol in such jurisdiction, the expiration of regulatory exclusivity in such jurisdiction or ten years after the first commercial sale of fasedienol in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Manufacturing and Supply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Manufacturing of the drug substance and drug product for our product candidates is performed by CMOs who must comply with current good manufacturing practice (</w:t>
      </w:r>
      <w:r>
        <w:rPr>
          <w:rFonts w:ascii="Times New Roman" w:hAnsi="Times New Roman"/>
          <w:i/>
          <w:caps w:val="false"/>
          <w:smallCaps w:val="false"/>
          <w:sz w:val="20"/>
        </w:rPr>
        <w:t>cGMP</w:t>
      </w:r>
      <w:r>
        <w:rPr>
          <w:rFonts w:ascii="Times New Roman" w:hAnsi="Times New Roman"/>
          <w:caps w:val="false"/>
          <w:smallCaps w:val="false"/>
          <w:sz w:val="20"/>
        </w:rPr>
        <w:t>) regulations. Our product candidates are comprised of synthetic small molecules that are manufactured through a series of organic chemistry steps starting with commercially available organic chemical raw materials. We do not currently own or operate, nor do we plan to own or operate, manufacturing facilities for the production of our drug substance and drug product candidates for nonclinical, clinical or commercial use. We conduct manufacturing and analytical testing activities under individual project work orders with independent CMOs to supply all of our nonclinical and clinical trial needs. We conduct periodic quality audits of each of the CMO’s facilities to ensure that they are fully compliant with cGMPs. We believe that all of our existing CMOs are, or will be, capable of providing sufficient quantities of both drug substance and drug product to meet our nonclinical and clinical development needs. New CMOs may be added to our supply chain strategy in the future to ensure that our nonclinical, clinical and, subject to NDA approval, commercial manufacturing and testing needs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design, we do not currently have any fixed contractual arrangements in place with any CMOs, for either long-term supply or redundant supply, of drug substance or drug product for our drug product candidates. If our product candidates are approved for commercial distribution, we intend to execute long-term commercial supply agreement(s) with our CMOs to produce our future commercial supplies on our behalf. We plan to mitigate potential commercial supply risks for any products that are approved in the future through inventory management and through exploring additional back-up manufacturers, both in the U.S. and outside the U.S., to provide drug substance and/or drug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industry is highly competitive and subject to rapid and significant technological change. The large size and expanding scope of the CNS markets, especially the high unmet need in large and growing global markets for anxiety and depression disorders, make them attractive therapeutic areas for biopharmaceutical businesses. While we believe that our employees and consultants, scientific knowledge, technology, and development experience provide us with competitive advantages, we face potential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large and established research and development and commercial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 or early-stage companies may also prove to be significant competitors, particularly through collaborative arrangements with large and established companies. The key competitive factors affecting the success of all of our product candidates, if approved, are likely to be their efficacy, safety, tolerability, convenience, price, the level of branded and generic competition, and the availability of reimbursement from government and other third</w:t>
        <w:noBreakHyphen/>
        <w:t>party payers.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Currently there is no FDA-approved acute treatment of anxiety for adults with SAD with the proposed mechanism of action of fasedienol, and we are aware of no company developing a potential treatment of anxiety for adults with SAD that is a nasal spray and involves the same mechanism of pharmacological action as fasedienol. We are aware of several companies that are developing therapies targeting acute treatment in the SAD market, including, among others, Bionomics, Vanda Pharmaceuticals, and Receptor Life Sciences, Ananda Scientific, EmpowerPharm and PureTech. In addition, we may face competition to fasedienol for treatment of anxiety in adult and adolescent patients with SAD from generic antidepressants as well as off-label use of generic benzodiazepines and generic beta blockers even though no drug in either of such generic drug classes has been systematically developed for treatment of SAD and thus no drug in either of such generic drug classes has been FDA-approved for the treatment of anxiety in adults with SAD. Although there are three oral antidepressants approved by the FDA for the treatment of SAD, such drugs do not achieve rapid-onset therapeutic effects and are associated with undesirable side effects. Cognitive behavioral therapy is also an important treatment approach to SAD that may be used along with or instead of pharmacological treatments, including antidepressants, benzodiazepines, beta blockers, fasedienol and other drug candidates in clinical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Patients with MDD are typically treated with a variety of oral antidepressant medications or oral atypical antipsychotics. These treatments often include generic antidepressants such as: fluoxetine (Prozac), previously marketed by Eli Lilly and Company; sertraline (Zoloft) and venlaxafine (Effexor), both previously marketed by Pfizer, Inc.; and paroxetine (Paxil) and bupropion (Wellbutrin), both previously marketed by GlaxoSmithKline (now GSK). Treatments may also include currently marketed proprietary branded medications indicated for MDD such as: Trintellix, which is marketed by Takeda Pharmaceuticals America, Inc and H. Lundbeck A/S; Viibryd and Vraylar, which are marketed by Abbvie; and Rexulti which is marketed by Otsuka America. Although currently there are no FDA-approved therapies for MDD with the mechanism of pharmacological action of itruvone, we are aware of numerous companies that are developing and commercializing therapies targeting the MDD market, including, among others, Axsome Therapeutics, Sage Therapeutics, Relmada Therapeutics, Xenon, Intra-Cellular Therapies, Johnson &amp; Johnson, Usona Institute, Boehringer Ingelheim, and Sirtsei Pharmaceuticals. Additionally, with respect to MDD, we expect that PH10 and AV-101 will have to compete with a variety of non-pharmacological alternatives for treatment of MDD, such as psychotherapy and electroconvulsive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still assessing our competition for PH80 for the treatment of hot flashes due to menopause and for migraine headaches, PH15 to improve cognitive impairment and PH284 for the loss of appetite.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Government Regulation and Product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Government authorities in the U.S., at the federal, state, and local level, and in other countries and supranational regions, extensively regulate, among other things, the research, development, testing, manufacture, packaging, storage, recordkeeping, labeling, advertising, promotion, distribution, marketing, import, and export of pharmaceutical products such as those we are developing. In addition, healthcare regulatory bodies in the United States and around the world impose a range of requirements related to the payment for pharmaceutical products, including laws intended to prevent fraud, waste, and abuse of healthcare dollars. This includes, for example, requirements that manufacturers of pharmaceutical products participating in Medicaid and Medicare comply with mandatory price reporting, discount, rebate requirements, and other cost control measures, as well as anti-kickback laws and laws prohibiting false claims. Some states also have enacted fraud, waste, and abuse laws that parallel (and in some cases apply more broadly than) federal laws, and in some cases price transparency requirements. The processes for obtaining regulatory approvals in the United States and in foreign countries, along with subsequent compliance with applicable statutes and regulations, require the expenditure of substantial time and financial resources. Further, healthcare is an active area of governmental scrutiny, and it is reasonable to expect that the requirements may become more stringent within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FDA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U.S., the FDA regulates drugs under the FDCA and its implementing regulations. The process required by the FDA before product candidates may be marketed in the U.S. generally involves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completion of preclinical laboratory tests, animal studies, and formulation studies in compliance with the FDA’s Good Laboratory Practice (</w:t>
            </w:r>
            <w:r>
              <w:rPr>
                <w:rFonts w:ascii="Times New Roman;Times;serif" w:hAnsi="Times New Roman;Times;serif"/>
                <w:i/>
                <w:caps w:val="false"/>
                <w:smallCaps w:val="false"/>
                <w:sz w:val="20"/>
              </w:rPr>
              <w:t>GLP</w:t>
            </w:r>
            <w:r>
              <w:rPr>
                <w:rFonts w:ascii="Times New Roman;Times;serif" w:hAnsi="Times New Roman;Times;serif"/>
                <w:caps w:val="false"/>
                <w:smallCaps w:val="false"/>
                <w:sz w:val="20"/>
              </w:rPr>
              <w:t>) regulations;</w:t>
            </w:r>
          </w:p>
        </w:tc>
      </w:tr>
    </w:tbl>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60"/>
        <w:gridCol w:w="170"/>
        <w:gridCol w:w="92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submission to the FDA of an IND application which must become effective before human clinical trials may begin;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approval by an independent Institutional Review Board (</w:t>
            </w:r>
            <w:r>
              <w:rPr>
                <w:rFonts w:ascii="Times New Roman;Times;serif" w:hAnsi="Times New Roman;Times;serif"/>
                <w:i/>
                <w:caps w:val="false"/>
                <w:smallCaps w:val="false"/>
                <w:sz w:val="20"/>
              </w:rPr>
              <w:t>IRB</w:t>
            </w:r>
            <w:r>
              <w:rPr>
                <w:rFonts w:ascii="Times New Roman;Times;serif" w:hAnsi="Times New Roman;Times;serif"/>
                <w:caps w:val="false"/>
                <w:smallCaps w:val="false"/>
                <w:sz w:val="20"/>
              </w:rPr>
              <w:t>) for each clinical site or centrally, before each trial may be initiated;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adequate and well</w:t>
              <w:noBreakHyphen/>
              <w:t>controlled human clinical trials to establish the safety and efficacy of the proposed drug candidates for its intended use, performed in accordance with current Good Clinical Practices (</w:t>
            </w:r>
            <w:r>
              <w:rPr>
                <w:rFonts w:ascii="Times New Roman;Times;serif" w:hAnsi="Times New Roman;Times;serif"/>
                <w:i/>
                <w:caps w:val="false"/>
                <w:smallCaps w:val="false"/>
                <w:sz w:val="20"/>
              </w:rPr>
              <w:t>cGCP</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 of manufacturing processes in compliance with current Good Manufacturing Practices (</w:t>
            </w:r>
            <w:r>
              <w:rPr>
                <w:rFonts w:ascii="Times New Roman;Times;serif" w:hAnsi="Times New Roman;Times;serif"/>
                <w:i/>
                <w:caps w:val="false"/>
                <w:smallCaps w:val="false"/>
                <w:sz w:val="20"/>
              </w:rPr>
              <w:t>cGMPs</w:t>
            </w:r>
            <w:r>
              <w:rPr>
                <w:rFonts w:ascii="Times New Roman;Times;serif" w:hAnsi="Times New Roman;Times;serif"/>
                <w:caps w:val="false"/>
                <w:smallCaps w:val="false"/>
                <w:sz w:val="20"/>
              </w:rPr>
              <w:t>) to ensure the drug’s identity, strength, quality, and purity;</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60"/>
        <w:gridCol w:w="170"/>
        <w:gridCol w:w="6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compilation of required information and submission to the FDA of an NDA;</w:t>
            </w:r>
          </w:p>
        </w:tc>
      </w:tr>
    </w:tbl>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60"/>
        <w:gridCol w:w="170"/>
        <w:gridCol w:w="6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satisfactory completion of an FDA advisory committee review,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satisfactory completion of an FDA inspection of the manufacturing facility or facilities at which the product is produced to assess compliance with cGMPs, and to assure that the facilities, methods, and controls are adequate to preserve the drug’s identity, strength, quality, and purity, as well as satisfactory completion of an FDA inspection of selected clinical sites and selected clinical investigators to determine GCP compliance; and</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0"/>
        <w:gridCol w:w="170"/>
        <w:gridCol w:w="83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FDA review and approval of the NDA to permit commercial marketing for particular indications for use.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Preclinical Studies and IND Submission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testing and approval process of product candidates requires substantial time, effort, and financial resources. Preclinical studies include laboratory evaluation of drug substance chemistry, pharmacology, toxicity, and drug product formulation, as well as animal studies to assess potential safety and efficacy. Such studies must generally be conducted in accordance with the FDA’s GLP regulations. Prior to commencing the first clinical trial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IND becomes effective 30 days after receipt by the FDA, unless the FDA, within the 30</w:t>
        <w:noBreakHyphen/>
        <w:t>day time period, notifies the applicant of safety and/or product quality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Clinical trials involve the administration of the investigational new drug to human subjects under the supervision of qualified investigators in accordance with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Once an IND is in effect, each new clinical protocol and any amendments to the protocol must be submitted for FDA review, and to the IRB for approval. Progress reports detailing the results of the clinical trials must also be submitted at least annually to the FDA and the IRB and more frequently if serious adverse events or other significant safety information is found.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Information about certain clinical trials, including a description of the study and study results, must be submitted within specific timeframes to the NIH for public dissemination on their clinicaltrials.gov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enrollment of potential trial subjects, and the continuing validity and scientific merit of the clinical trial. The data safety monitoring board receives special access to unblinded data during the clinical trial and may advise the sponsor to halt the clinical trial if it determines there is an unacceptable safety risk for subjects or on other grounds, such as no demonstration of efficacy.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manufacture of investigational drugs for the conduct of human clinical trials (and their active pharmaceutical ingredients) is subject to cGMP requirements. Investigational drugs and active pharmaceutical ingredients imported into the U.S.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general, for purposes of NDA approval, human clinical trials are typically conducted in three sequential phases, which may overlap or be combined.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Phase 1</w:t>
            </w:r>
            <w:r>
              <w:rPr>
                <w:rFonts w:ascii="Times New Roman;Times;serif" w:hAnsi="Times New Roman;Times;serif"/>
                <w:caps w:val="false"/>
                <w:smallCaps w:val="false"/>
                <w:sz w:val="20"/>
              </w:rPr>
              <w:t>—Studies are initially conducted in healthy human volunteers or subjects with the target disease or condition and test the product candidate for safety, dosage tolerance, structure</w:t>
              <w:noBreakHyphen/>
              <w:t>activity relationships, mechanism of action, absorption, metabolism, distribution, and excretion. If possible, Phase 1 trials may also be used to gain an initial indication of product effectiveness.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Phase 2</w:t>
            </w:r>
            <w:r>
              <w:rPr>
                <w:rFonts w:ascii="Times New Roman;Times;serif" w:hAnsi="Times New Roman;Times;serif"/>
                <w:caps w:val="false"/>
                <w:smallCaps w:val="false"/>
                <w:sz w:val="20"/>
              </w:rPr>
              <w:t>—Controlled studies are conducted in limited subject populations with a specified disease or condition to evaluate preliminary efficacy, identify optimal dosages, dosage tolerance and schedule, possible adverse effects and safety risks, and expanded evidence of safety.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Phase 3</w:t>
            </w:r>
            <w:r>
              <w:rPr>
                <w:rFonts w:ascii="Times New Roman;Times;serif" w:hAnsi="Times New Roman;Times;serif"/>
                <w:caps w:val="false"/>
                <w:smallCaps w:val="false"/>
                <w:sz w:val="20"/>
              </w:rPr>
              <w:t>—These adequate and well</w:t>
              <w:noBreakHyphen/>
              <w:t>controlled clinical trials are undertaken in expanded subject populations, generally at geographically dispersed clinical trial sites, to generate enough data to provide statistically significant evidence of clinical efficacy and safety of the product for approval, to establish the overall risk</w:t>
              <w:noBreakHyphen/>
              <w:t>benefit profile of the product, and to provide adequate information for the labeling of the product. Typically, two successful Phase 3 trials are required by the FDA for product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may also require, or companies may conduct, additional clinical trials for the same indication after a product is approved. These so-called Phase 4 studies may be required by the FDA as a condition of approval of the NDA, to be satisfied after approval. The results of Phase 4 studies can confirm the effectiveness of a product candidate and can provide important safety information. In addition to the above traditional kinds of clinical trial data required for the approval of an NDA, the 21st Century Cures Act provides for potential FDA use of different types and sources of data in regulatory decision-making, such as patient experience data, real-world evidence for already approved products, and, for appropriate indications sought through supplemental marketing applications. Implementation of this law and related initiatives is still in progress and we do not know the extent to which we may in the future be able to utilize these types and sources of data. 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 described studies and preclinical studies may not be required or may be abbreviated. Bridging studies may be needed, however, to demonstrate the applicability of the studies that were previously conducted by other sponsors to the drug that is the subject of the marketing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Clinical trials at any phase may not be completed successfully within any specified period, or at all.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the subjects, or based on evolving business objectives or competitive climate.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development of a new drug, a sponsor may be able to request a Special Protocol Assessment (</w:t>
      </w:r>
      <w:r>
        <w:rPr>
          <w:rFonts w:ascii="Times New Roman" w:hAnsi="Times New Roman"/>
          <w:i/>
          <w:caps w:val="false"/>
          <w:smallCaps w:val="false"/>
          <w:sz w:val="20"/>
        </w:rPr>
        <w:t>SPA</w:t>
      </w:r>
      <w:r>
        <w:rPr>
          <w:rFonts w:ascii="Times New Roman" w:hAnsi="Times New Roman"/>
          <w:caps w:val="false"/>
          <w:smallCaps w:val="false"/>
          <w:sz w:val="20"/>
        </w:rPr>
        <w:t>) the purpose of which is to reach agreement with the FDA on the Phase 3 clinical trial protocol design and analysis that will form the primary basis of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drug was identified after the testing began. An SPA is intended to provide assurance that, in the case of clinical trials, if the agreed</w:t>
        <w:noBreakHyphen/>
        <w:t>upon clinical trial protocol is followed, the clinical trial endpoints are achieved, and there is a favorable risk</w:t>
        <w:noBreakHyphen/>
        <w:t>benefit profile, the data may serve as the primary basis for an efficacy claim in support of an NDA. However, SPA agreements are not a guarantee of an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NDA Submission, Review by the FDA, and Marketing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Assuming successful completion of the required clinical and preclinical testing, the results of product development, including chemistry, manufacturing, and control (</w:t>
      </w:r>
      <w:r>
        <w:rPr>
          <w:rFonts w:ascii="Times New Roman" w:hAnsi="Times New Roman"/>
          <w:i/>
          <w:caps w:val="false"/>
          <w:smallCaps w:val="false"/>
          <w:sz w:val="20"/>
        </w:rPr>
        <w:t>CMC</w:t>
      </w:r>
      <w:r>
        <w:rPr>
          <w:rFonts w:ascii="Times New Roman" w:hAnsi="Times New Roman"/>
          <w:caps w:val="false"/>
          <w:smallCaps w:val="false"/>
          <w:sz w:val="20"/>
        </w:rPr>
        <w:t>) information, non-clinical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authorized every five years by Congress under the Prescription Drug User Fee Act (</w:t>
      </w:r>
      <w:r>
        <w:rPr>
          <w:rFonts w:ascii="Times New Roman" w:hAnsi="Times New Roman"/>
          <w:i/>
          <w:caps w:val="false"/>
          <w:smallCaps w:val="false"/>
          <w:sz w:val="20"/>
        </w:rPr>
        <w:t>PDUFA</w:t>
      </w:r>
      <w:r>
        <w:rPr>
          <w:rFonts w:ascii="Times New Roman" w:hAnsi="Times New Roman"/>
          <w:caps w:val="false"/>
          <w:smallCaps w:val="false"/>
          <w:sz w:val="20"/>
        </w:rPr>
        <w:t>). User fees must be paid at the time of the first submission of the application, even if the application is being submitted on a rolling basis, and if approved, program fees must be paid on an annual basis. Product candidates that are designated as orphan drugs, which are further described below, are not subject to application user fees unless the application includes an indication other than the orphan 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under the Pediatric Research Equity Act (</w:t>
      </w:r>
      <w:r>
        <w:rPr>
          <w:rFonts w:ascii="Times New Roman" w:hAnsi="Times New Roman"/>
          <w:i/>
          <w:caps w:val="false"/>
          <w:smallCaps w:val="false"/>
          <w:sz w:val="20"/>
        </w:rPr>
        <w:t>PREA</w:t>
      </w:r>
      <w:r>
        <w:rPr>
          <w:rFonts w:ascii="Times New Roman" w:hAnsi="Times New Roman"/>
          <w:caps w:val="false"/>
          <w:smallCaps w:val="false"/>
          <w:sz w:val="20"/>
        </w:rPr>
        <w:t>)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A sponsor who is planning to submit a marketing application for a drug product that includes a new active ingredient, new indication, new dosage form, new dosing regimen or new route of administration must submit an initial Pediatric Study Plan (</w:t>
      </w:r>
      <w:r>
        <w:rPr>
          <w:rFonts w:ascii="Times New Roman" w:hAnsi="Times New Roman"/>
          <w:i/>
          <w:caps w:val="false"/>
          <w:smallCaps w:val="false"/>
          <w:sz w:val="20"/>
        </w:rPr>
        <w:t>PSP</w:t>
      </w:r>
      <w:r>
        <w:rPr>
          <w:rFonts w:ascii="Times New Roman" w:hAnsi="Times New Roman"/>
          <w:caps w:val="false"/>
          <w:smallCaps w:val="false"/>
          <w:sz w:val="20"/>
        </w:rPr>
        <w:t>) within 60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studies or other clinical development programs. The FDA may, on its own initiative or at the request of the applicant, grant deferrals for submission of some or all pediatric data until after approval of the product for use in adults, or full or partial waivers from the pediatric data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may require submission of a risk evaluation and mitigation strategy (</w:t>
      </w:r>
      <w:r>
        <w:rPr>
          <w:rFonts w:ascii="Times New Roman" w:hAnsi="Times New Roman"/>
          <w:i/>
          <w:caps w:val="false"/>
          <w:smallCaps w:val="false"/>
          <w:sz w:val="20"/>
        </w:rPr>
        <w:t>REMS</w:t>
      </w:r>
      <w:r>
        <w:rPr>
          <w:rFonts w:ascii="Times New Roman" w:hAnsi="Times New Roman"/>
          <w:caps w:val="false"/>
          <w:smallCaps w:val="false"/>
          <w:sz w:val="20"/>
        </w:rPr>
        <w:t>) to ensure that the benefits of the drug outweigh the risks of the drug.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drug continue to outweigh the risks of the drug.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Once the FDA receives an NDA, it will determine within 60 days whether the application as filed is sufficiently complete to permit a substantive review (with this decision often referred to as the NDA being “accepted for filing.”). If the FDA determines that the NDA is not sufficiently complete to permit a substantive review, the application must be resubmitted with additional information requested by the FDA. The resubmitted application is also subject to review before the FDA accepts it for filing. Once the submission is accepted for filing, the FDA begins an in</w:t>
        <w:noBreakHyphen/>
        <w:t>depth substantive review of the NDA.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has agreed to a set of performance goals and procedures under PDUFA to review 90% of all applications within ten months from the 60-day filing date for its initial review of a standard NDA for a New Molecular Entity (</w:t>
      </w:r>
      <w:r>
        <w:rPr>
          <w:rFonts w:ascii="Times New Roman" w:hAnsi="Times New Roman"/>
          <w:i/>
          <w:caps w:val="false"/>
          <w:smallCaps w:val="false"/>
          <w:sz w:val="20"/>
        </w:rPr>
        <w:t>NME</w:t>
      </w:r>
      <w:r>
        <w:rPr>
          <w:rFonts w:ascii="Times New Roman" w:hAnsi="Times New Roman"/>
          <w:caps w:val="false"/>
          <w:smallCaps w:val="false"/>
          <w:sz w:val="20"/>
        </w:rPr>
        <w:t>). For non-NME standard applications, the FDA has set the goal of completing its review of 90% of all applications within ten months from the submission receipt date. Such deadlines are referred to as the PDUFA date. The PDUFA date is only a goal, thus, the FDA does not always meet its PDUFA goal dates. The review process and the PDUFA goal date may also be extended if the FDA requests, or the NDA sponsor otherwise provides, substantial additional information or clarification regarding the submission.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may refer an application to an advisory committee for review, evaluation and recommendation as to whether the application should be approved, and applications for new molecular entities are generally discussed at advisory committee meetings unless the FDA determines that this type of consultation is not needed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 and typically follows such recommendations.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reviews applications to determine, among other things, whether a product is safe and effective for its intended use and whether the manufacturing methods and controls are adequate to assure and preserve the product’s identity, strength, quality, safety, potency, and purity. Before approving an NDA, the FDA typically will inspect the facility or facilities where the product is manufactured, referred to as a Pre</w:t>
        <w:noBreakHyphen/>
        <w:t>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an NDA the FDA will inspect one or more clinical trial sites to assure compliance with GCPs.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approval process is lengthy and difficult, and involves numerous FDA personnel assigned to review different aspects of the NDA, and the FDA may refuse to approve an NDA if the applicable regulatory criteria are not satisfied or may require additional preclinical, CMC, or other data and information. Uncertainties can be presented by reviewers’ ability to exercise judgment and discretion during the review process. Even if such data and information are submitted, the FDA may ultimately decide that the NDA does not satisfy the criteria for approval. Data obtained from clinical trials are not always conclusive and the FDA may interpret data differently than an applicant interprets the same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w:t>
      </w:r>
      <w:r>
        <w:rPr>
          <w:rFonts w:ascii="Times New Roman" w:hAnsi="Times New Roman"/>
          <w:i/>
          <w:caps w:val="false"/>
          <w:smallCaps w:val="false"/>
          <w:sz w:val="20"/>
        </w:rPr>
        <w:t>CRL</w:t>
      </w:r>
      <w:r>
        <w:rPr>
          <w:rFonts w:ascii="Times New Roman" w:hAnsi="Times New Roman"/>
          <w:caps w:val="false"/>
          <w:smallCaps w:val="false"/>
          <w:sz w:val="20"/>
        </w:rPr>
        <w:t>). If a CRL is issued, the applicant may either resubmit the NDA, addressing all of the deficiencies identified in the letter; withdraw the application; or request an opportunity for a hearing. A CRL indicates that the review cycle of the application is complete and the application is not ready for approval in its current form and describes all of the specific deficiencies that the FDA identified in the NDA. A CRL generally contains a statement of specific conditions that must be met in order to secure final approval of the NDA and may require additional clinical or preclinical testing in order for the FDA to reconsider the application. The deficiencies identified may be minor, for example, requiring labeling changes; or major, for example, requiring additional clinical trials. The FDA has the goal of reviewing 90% of application and efficacy supplement resubmissions in either two or six months (from receipt) for a Class 1 or Class 2 resubmission, respectively. For non-efficacy supplements (i.e., labeling and manufacturing supplements), FDA’s goal is to review the supplement within the same length of time (from receipt) as the initial review cycle (excluding an extension caused by a major amendment of the initial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Even with the submission of additional information, the FDA ultimately may decide that the application does not satisfy the regulatory criteria for approval. If and when the issues identified in a CRL have been addressed and resolved to the FDA’s satisfaction, the FDA may issue an approval letter. An approval letter authorizes commercial marketing of the drug for specific indications and with specific prescribing information which was reviewed in connection with the NDA.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Even if the FDA approves a product, it may limit the approved indications for use of the product, require that contraindications, warnings, or precautions be included in the product labeling, including a boxed warning, require that post</w:t>
        <w:noBreakHyphen/>
        <w:t>approval studies, including Phase 4 clinical trials, be conducted to further assess a drug’s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w:t>
        <w:noBreakHyphen/>
        <w:t xml:space="preserve"> and post</w:t>
        <w:noBreakHyphen/>
        <w:t>marketing regulatory standards are not maintained or if problems occur after the product reaches the marketplace. Further, should new safety information arise, additional testing, product labeling, or FDA notification may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Types of Marketing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505 of the 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in which the applicant, in part, relies on investigations that were not conducted by or for the applicant and for which the applicant has not obtained a right of reference or use from the person by or for whom the investigations were conducted. Section 505(j) establishes an abbreviated approval process for a generic version of approved drug products through the submission of an Abbreviated New Drug Application (</w:t>
      </w:r>
      <w:r>
        <w:rPr>
          <w:rFonts w:ascii="Times New Roman" w:hAnsi="Times New Roman"/>
          <w:i/>
          <w:caps w:val="false"/>
          <w:smallCaps w:val="false"/>
          <w:sz w:val="20"/>
        </w:rPr>
        <w:t>ANDA</w:t>
      </w:r>
      <w:r>
        <w:rPr>
          <w:rFonts w:ascii="Times New Roman" w:hAnsi="Times New Roman"/>
          <w:caps w:val="false"/>
          <w:smallCaps w:val="false"/>
          <w:sz w:val="20"/>
        </w:rPr>
        <w:t>). An ANDA is an application for marketing of a generic drug product that has the same active ingredients, dosage form, strength, route of administration, labeling, performance characteristics, and intended use, among other things, to a previously approved product. Limited changes must be pre</w:t>
        <w:noBreakHyphen/>
        <w:t>approved by the FDA via a suitability petition.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under state substitution laws, may be substituted at the pharmacy for the reference listed drug.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505(b)(2) Approval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505(b)(2) of the FDCA, provides an alternate regulatory pathway to FDA approval for new or improved formulations or new uses of previously approved drug products. Specifically, Section 505(b)(2) was enacted as part of the Drug Price Competition and Patent Term Restoration Act of 1984, commonly referred to as the Hatch</w:t>
        <w:noBreakHyphen/>
        <w:t>Waxman Act amendments, and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in part, upon the FDA’s prior findings of safety and effectiveness for an approved product that acts as the reference listed drug or on published scientific literature, in support of its application. The FDA may also require 505(b)(2) applicants to perform additional studies or measurements to support the changes from the reference listed drug as well as bridging studies to the reference listed drug. The FDA may then approve the new product candidate for all or some of the labeled indications for which the referenced product has been approved, as well as for any new indication sought by the Section 505(b)(2) applicant.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Orange Book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seeking approval for a drug through an NDA, including a 505(b)(2) NDA, applicants are required to identify to the FDA patents that contain claims that are directed to the applicant’s product and/or method(s) of use. Upon approval of an NDA, each of the identified patents is then listed in </w:t>
      </w:r>
      <w:r>
        <w:rPr>
          <w:rFonts w:ascii="Times New Roman" w:hAnsi="Times New Roman"/>
          <w:i/>
          <w:caps w:val="false"/>
          <w:smallCaps w:val="false"/>
          <w:sz w:val="20"/>
        </w:rPr>
        <w:t>Approved Drug Products with Therapeutic Equivalence Evaluations</w:t>
      </w:r>
      <w:r>
        <w:rPr>
          <w:rFonts w:ascii="Times New Roman" w:hAnsi="Times New Roman"/>
          <w:caps w:val="false"/>
          <w:smallCaps w:val="false"/>
          <w:sz w:val="20"/>
        </w:rPr>
        <w:t>, also known as the Orange Book.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applicant who files an ANDA seeking approval of a generic version of a drug listed in the Orange Book or a 505(b)(2) NDA referencing a drug listed in the Orange Book must make patent certifications to the FDA that (1) no patent information on the drug or method of use that is the subject of the application has been submitted to the FDA; (2) the patent has expired; (3) the date on which the patent has expired and approval will not be sought until after the patent expiration; or (4) in the applicant’s opinion and to the best of its knowledge, the patent is invalid, unenforceable, or will not be infringed upon by the manufacture, use, or sale of the drug product for which the application is submitted. The last certification is known as a paragraph IV certification. Generally, the ANDA or 505(b)(2) NDA approval cannot be made effective until all listed patents have expired, except where the ANDA or 505(b)(2) NDA applicant challenges a listed patent through a paragraph IV certification or if the applicant is not seeking approval of a patented method of use. If the applicant does not challenge the listed patents or does not indicate that it is not seeking approval of a patented method of use, the ANDA or 505(b)(2) NDA application approval will not be made effective until all of the listed patents claimed by the referenced product have expired.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competitor has provided a paragraph IV certification to the FDA, the competitor must also send notice of the paragraph IV certification to the holder of the NDA for the reference listed drug and the patent owner within 20 days after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notice prevents the FDA from making the approval of the ANDA or 505(b)(2) application effective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automatic 30</w:t>
        <w:noBreakHyphen/>
        <w:t>month stay.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practice, where an ANDA or 505(b)(2) NDA applicant files a paragraph IV certification, the NDA holder or patent owners often take action to trigger the automatic 30</w:t>
        <w:noBreakHyphen/>
        <w:t>month stay, resulting in patent litigation that may take many months or years to resolve. Thus, approval of an ANDA or 505(b)(2) application could be delayed for a significant period of time depending on the patent certification the applicant makes and the reference drug sponsor’s decision to initiate patent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Regulatory 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Regulatory exclusivity provisions under the FDCA can also delay the submission or the approval effective date of certain applications. Regulatory exclusivity can provide the holder of an approved NDA protection from new competition in the marketplace for the innovation represented by its approved drug. Five years of exclusivity are available for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NCE exclusivity period, the FDA may not accept for review an ANDA or a 505(b)(2) NDA application by another company that contains the previously approved active moiety. An ANDA or 505(b)(2) application, however, may be submitted one year before NCE exclusivity expires if a paragraph IV certification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Three years of exclusivity are available to the holder of an NDA, including a 505(b)(2) NDA, for a particular condition of approval, or change to a marketed product, such as a new formulation or indication for a drug product that contains an active moiety that has been previously approved, when the application contains reports of new clinical investigations, other than bioavailability studies, conducted by the sponsor that were essential to approval of the application. Changes in an approved drug product that affect its active ingredient(s), strength, dosage form, route of administration or conditions of use may be granted this exclusivity if a new clinical investigation (</w:t>
      </w:r>
      <w:r>
        <w:rPr>
          <w:rFonts w:ascii="Times New Roman" w:hAnsi="Times New Roman"/>
          <w:i/>
          <w:caps w:val="false"/>
          <w:smallCaps w:val="false"/>
          <w:sz w:val="20"/>
        </w:rPr>
        <w:t>NCI</w:t>
      </w:r>
      <w:r>
        <w:rPr>
          <w:rFonts w:ascii="Times New Roman" w:hAnsi="Times New Roman"/>
          <w:caps w:val="false"/>
          <w:smallCaps w:val="false"/>
          <w:sz w:val="20"/>
        </w:rPr>
        <w:t>) was essential to approval of the application containing those changes. During the NCI exclusivity period, FDA may not approve an ANDA or 505(b)(2) NDA by another company for the condition of the new drug’s approval. NCE and NCI exclusivities will not delay the submission or approval of a full NDA; however, an applicant submitting a full NDA would be required to conduct or obtain a right of reference to all of the preclinical studies and adequate and well</w:t>
        <w:noBreakHyphen/>
        <w:t>controlled clinical trials necessary to demonstrate safety and efficacy.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Pediatric exclusivity is a regulatory exclusivity in the United States that provides for the attachment of an additional six months of marketing protection to the term of any existing regulatory and statutory exclusivity, including the non</w:t>
        <w:noBreakHyphen/>
        <w:t>patent exclusivity periods described above as well as applicable patent terms. This six</w:t>
        <w:noBreakHyphen/>
        <w:t>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This is not a patent term extension, but it effectively extends the regulatory period during which the FDA cannot make an ANDA or 505(b)(2) application approval effective as a result of regulatory exclusivity or listed patents. Moreover, pediatric exclusivity attaches to all formulations, dosage forms, and indications for products with existing marketing exclusivity or patent life that contain the same active moiety as that which was studied.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Orphan Drug Act provides incentives for the development of drugs intended to treat rare diseases or conditions, which generally are diseases or conditions affecting less than 200,000 individuals annually in the United States, or affecting more than 200,000 in the United States and for which there is no reasonable expectation that the cost of developing and making the drug available in the United States will be recovered from United States sales. If a product receives FDA approval for the indication for which it has orphan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designation also entitles a party to financial incentives such as opportunities for grant funding towards clinical study costs, tax advantages, and application user</w:t>
        <w:noBreakHyphen/>
        <w:t>fee waivers.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Special FDA Expedited Review and Approval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has various programs, including Fast Track designation, Priority Review and Breakthrough designation, that are intended to expedite or simplify the process for the development and FDA review of certain drug products that are intended for the treatment of serious or life-threatening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the product will provide a therapy where none exists or provide a therapy that may be potentially superior to existing therapy based on efficacy, safety, or public health factors. If Fast Track designation is granted, drug sponsors may be eligible for more frequent development meetings and correspondence with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if an applicant obtains “rolling review,” the FDA may accept and initiate review of sections of an NDA before the application submission is complete, although it is not guaranteed that FDA will commence review before the application submission is complete, and the timing of the review depends on a number of factors including availability of review personnel at the FDA, and competing agency priorities among other things. The applicant must provide, and the FDA must agree to, a schedule for the remaining information after the initial section of the NDA.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some cases, a Fast Track designated product may be eligible for Accelerated Approval or Priority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may grant an NDA Priority Review designation for drugs that are intended to treat serious conditions and, if approved, would provide significant improvements in the safety or effectiveness of the treatment, diagnosis, or prevention of serious conditions. A Priority Review designation means that the goal for the FDA is to review an NDA within six months of receipt, rather than the standard review of ten months under current PDUFA guidelines, of the 60</w:t>
        <w:noBreakHyphen/>
        <w:t>day filing date for NMEs and within six months of the submission receipt date for non</w:t>
        <w:noBreakHyphen/>
        <w:t>NMEs. Products that are eligible for Fast Track designation may also be considered appropriate to receive a Priority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under the provisions of the Food and Drug Administration Safety and Innovation Act (</w:t>
      </w:r>
      <w:r>
        <w:rPr>
          <w:rFonts w:ascii="Times New Roman" w:hAnsi="Times New Roman"/>
          <w:i/>
          <w:caps w:val="false"/>
          <w:smallCaps w:val="false"/>
          <w:sz w:val="20"/>
        </w:rPr>
        <w:t>FDASIA</w:t>
      </w:r>
      <w:r>
        <w:rPr>
          <w:rFonts w:ascii="Times New Roman" w:hAnsi="Times New Roman"/>
          <w:caps w:val="false"/>
          <w:smallCaps w:val="false"/>
          <w:sz w:val="20"/>
        </w:rPr>
        <w:t>) enacted in 2012, a sponsor may request designation of a product candidate as a “breakthrough therapy.” A breakthrough therapy is defined as a drug that is intended, alone or in combination with one or more other drugs, to treat a serious or life</w:t>
        <w:noBreakHyphen/>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1 trials, and a commitment from the FDA to involve senior managers and experienced review staff in a proactive collaborative, cross</w:t>
        <w:noBreakHyphen/>
        <w:t>disciplinary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Even if a product qualifies for one or more of these programs, the FDA may later decide that the product no longer meets the conditions for qualification or decide that the time period for FDA review or approval will not be shortened.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Post</w:t>
      </w:r>
      <w:r>
        <w:rPr>
          <w:rFonts w:ascii="Times New Roman" w:hAnsi="Times New Roman"/>
          <w:caps w:val="false"/>
          <w:smallCaps w:val="false"/>
          <w:sz w:val="20"/>
        </w:rPr>
        <w:noBreakHyphen/>
      </w:r>
      <w:r>
        <w:rPr>
          <w:rFonts w:ascii="Times New Roman" w:hAnsi="Times New Roman"/>
          <w:i/>
          <w:caps w:val="false"/>
          <w:smallCaps w:val="false"/>
          <w:sz w:val="20"/>
        </w:rPr>
        <w:t>approval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product manufactured or distributed pursuant to FDA approvals are subject to pervasive and continuing regulation by the FDA, as well as other federal and state agencies, including, among other things, requirements related to manufacturing, recordkeeping, and reporting, including adverse experience reporting, drug shortage reporting, and other periodic reporting; drug supply chain security surveillance and tracking requirements; product sampling and distribution; advertising; marketing; promotion; certain electronic records and signatures; licensure in certain states for the manufacturing and distribution of drug products; and post-approval obligations imposed as a condition of approval, such as additional clinical trials, REMS, and surveillance to assess safety and effectiveness after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company and third</w:t>
        <w:noBreakHyphen/>
        <w:t>party manufacturers.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to the manufacturing process are strictly regulated and often require prior FDA approval or notification before being implemented. FDA regulations also require investigation and correction of any deviations from cGMP and product specifications and impose reporting and documentation requirements upon the sponsor and any third</w:t>
        <w:noBreakHyphen/>
        <w:t>party manufacturers that the sponsor may decide to use. Accordingly, manufacturers must continue to expend time, money, and effort in the area of production and quality control to maintain cGMP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w:t>
        <w:noBreakHyphen/>
        <w:t>label uses, and a company that is found to have improperly promoted off</w:t>
        <w:noBreakHyphen/>
        <w:t>label uses may be subject to significant liability, including, but not limited to, criminal and civil penalties under the FDCA and False Claims Act, exclusion from participation in federal healthcare programs, mandatory compliance programs under corporate integrity agreements, debarment, and refusal of government contracts. Recent court decisions have impacted the FDA’s enforcement activity regarding off-label promotion in light of First Amendment considerations; however, there are still significant risks in this area in part due to the potential False Claims Act exposure. Further, the FDA has not materially changed its position on off-label promotion following legal setbacks on First Amendment grounds and the Department of Justice has consistently asserted in FCA briefings that “speech that serves as a conduit for violations of the law is not constitutionally protected.”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Drug Supply Chain Security Act (</w:t>
      </w:r>
      <w:r>
        <w:rPr>
          <w:rFonts w:ascii="Times New Roman" w:hAnsi="Times New Roman"/>
          <w:i/>
          <w:caps w:val="false"/>
          <w:smallCaps w:val="false"/>
          <w:sz w:val="20"/>
        </w:rPr>
        <w:t>DSCSA</w:t>
      </w:r>
      <w:r>
        <w:rPr>
          <w:rFonts w:ascii="Times New Roman" w:hAnsi="Times New Roman"/>
          <w:caps w:val="false"/>
          <w:smallCaps w:val="false"/>
          <w:sz w:val="20"/>
        </w:rPr>
        <w:t>) imposes obligations on manufacturers of prescription biopharmaceutical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w:t>
      </w:r>
      <w:r>
        <w:rPr>
          <w:rFonts w:ascii="Times New Roman" w:hAnsi="Times New Roman"/>
          <w:i/>
          <w:caps w:val="false"/>
          <w:smallCaps w:val="false"/>
          <w:sz w:val="20"/>
        </w:rPr>
        <w:t>PDMA</w:t>
      </w:r>
      <w:r>
        <w:rPr>
          <w:rFonts w:ascii="Times New Roman" w:hAnsi="Times New Roman"/>
          <w:caps w:val="false"/>
          <w:smallCaps w:val="false"/>
          <w:sz w:val="20"/>
        </w:rPr>
        <w:t>).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Further, the DSCSA limits the distribution of prescription pharmaceutical products and imposes requirements to ensure overall accountability and security in the drug supply chain. Product identifier information (an aspect of the product tracing scheme) is also now required. The DSCSA requirements, development of standards, and the system for product tracing have been and will continue to be phased in over a period of years through 2023, and subject companies will need to continue their implementation efforts. Many states still have in place licensure and other requirements for manufacturers and distributors of drug products. The distribution of product samples continues to be regulated under the PDMA, and some states also impose regulations on drug sample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w:t>
        <w:noBreakHyphen/>
        <w: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may result in adverse publicity, among other adverse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Fraud and Abuse, and Transparency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product approval, our business activities, including but not limited to research, sales, promotion, marketing, distribution, medical education, sponsorships, relationships with prescribers and other referral sources, and other activities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Centers for Medicare &amp; Medicaid Services (</w:t>
      </w:r>
      <w:r>
        <w:rPr>
          <w:rFonts w:ascii="Times New Roman" w:hAnsi="Times New Roman"/>
          <w:i/>
          <w:caps w:val="false"/>
          <w:smallCaps w:val="false"/>
          <w:sz w:val="20"/>
        </w:rPr>
        <w:t>CMS</w:t>
      </w:r>
      <w:r>
        <w:rPr>
          <w:rFonts w:ascii="Times New Roman" w:hAnsi="Times New Roman"/>
          <w:caps w:val="false"/>
          <w:smallCaps w:val="false"/>
          <w:sz w:val="20"/>
        </w:rPr>
        <w:t>), the Office of Inspector General (</w:t>
      </w:r>
      <w:r>
        <w:rPr>
          <w:rFonts w:ascii="Times New Roman" w:hAnsi="Times New Roman"/>
          <w:i/>
          <w:caps w:val="false"/>
          <w:smallCaps w:val="false"/>
          <w:sz w:val="20"/>
        </w:rPr>
        <w:t>OIG</w:t>
      </w:r>
      <w:r>
        <w:rPr>
          <w:rFonts w:ascii="Times New Roman" w:hAnsi="Times New Roman"/>
          <w:caps w:val="false"/>
          <w:smallCaps w:val="false"/>
          <w:sz w:val="20"/>
        </w:rPr>
        <w:t>), and the Health Resources and Services Administration (</w:t>
      </w:r>
      <w:r>
        <w:rPr>
          <w:rFonts w:ascii="Times New Roman" w:hAnsi="Times New Roman"/>
          <w:i/>
          <w:caps w:val="false"/>
          <w:smallCaps w:val="false"/>
          <w:sz w:val="20"/>
        </w:rPr>
        <w:t>HRSA</w:t>
      </w:r>
      <w:r>
        <w:rPr>
          <w:rFonts w:ascii="Times New Roman" w:hAnsi="Times New Roman"/>
          <w:caps w:val="false"/>
          <w:smallCaps w:val="false"/>
          <w:sz w:val="20"/>
        </w:rPr>
        <w:t>), the Department of Veterans Affairs (</w:t>
      </w:r>
      <w:r>
        <w:rPr>
          <w:rFonts w:ascii="Times New Roman" w:hAnsi="Times New Roman"/>
          <w:i/>
          <w:caps w:val="false"/>
          <w:smallCaps w:val="false"/>
          <w:sz w:val="20"/>
        </w:rPr>
        <w:t>VA</w:t>
      </w:r>
      <w:r>
        <w:rPr>
          <w:rFonts w:ascii="Times New Roman" w:hAnsi="Times New Roman"/>
          <w:caps w:val="false"/>
          <w:smallCaps w:val="false"/>
          <w:sz w:val="20"/>
        </w:rPr>
        <w:t>), the Department of Defense (</w:t>
      </w:r>
      <w:r>
        <w:rPr>
          <w:rFonts w:ascii="Times New Roman" w:hAnsi="Times New Roman"/>
          <w:i/>
          <w:caps w:val="false"/>
          <w:smallCaps w:val="false"/>
          <w:sz w:val="20"/>
        </w:rPr>
        <w:t>DOD</w:t>
      </w:r>
      <w:r>
        <w:rPr>
          <w:rFonts w:ascii="Times New Roman" w:hAnsi="Times New Roman"/>
          <w:caps w:val="false"/>
          <w:smallCaps w:val="false"/>
          <w:sz w:val="20"/>
        </w:rPr>
        <w:t>), and certain state and local governments. Our business activities must comply with numerous healthcare laws, including but not limited to, anti</w:t>
        <w:noBreakHyphen/>
        <w:t>kickback and false claims laws and regulations as well as data privacy and security laws and regulations, which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however, does not make the conduct per se illegal under the Anti-Kickback Statute. Instead, the legality of the arrangement will be evaluated on a case-by-case basis based on a cumulative review of all of its facts and circumstances to determine whether one purpose of an arrangement involving remuneration is to induce referrals of federal healthcare covered business. The Patient Protection and Affordable Care Act (</w:t>
      </w:r>
      <w:r>
        <w:rPr>
          <w:rFonts w:ascii="Times New Roman" w:hAnsi="Times New Roman"/>
          <w:i/>
          <w:caps w:val="false"/>
          <w:smallCaps w:val="false"/>
          <w:sz w:val="20"/>
        </w:rPr>
        <w:t>ACA</w:t>
      </w:r>
      <w:r>
        <w:rPr>
          <w:rFonts w:ascii="Times New Roman" w:hAnsi="Times New Roman"/>
          <w:caps w:val="false"/>
          <w:smallCaps w:val="false"/>
          <w:sz w:val="20"/>
        </w:rPr>
        <w:t>) of 2010, as amended, modified the intent requirement under the Anti-Kickback Statute to a stricter standard, such that a person or entity no longer needs to have actual knowledge of the statute or specific intent to violate it in order to have committed a violation. The ACA further amended the federal civil False Claims Act to provide that a claim that includes items or services resulting from a violation of the federal Anti-Kickback Statute constitutes a false or fraudulent claim under the False Claims Act. Therefore, either the federal government or private citizens under the False Claims Act’s qui tam provisions (discussed further below) can bring an action under the False Claims Act for violations of the Anti-Kickback Statute, potentially exposing an alleged violator to substantial monetary damages and penalties. Certain Anti-Kickback safe harbor provisions that protect the rebates paid by drug manufacturers to third parties may also be repealed or materially revised.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government has asserted False Claims Act liability against manufacturers by alleging that improper arrangements with ordering physicians caused them or another provider to file false claims in violation of the False Claims Act or that manufacturers’ support of patient assistance programs improperly induced beneficiaries to choose their products in violation of the Anti-Kickback Statute. Sales, marketing and business arrangements in the healthcare industry are also subject to extensive laws and regulations intended to prevent fraud, kickbacks, self-dealing and other abusive practices. These laws and regulations may restrict or prohibit a wide range of pricing, discounting, marketing and promotion, sales commission, customer incentive programs, patient assistance programs, and other business arrangements. Medicare Advantage and Medicaid managed care plan regulations prohibit certain forms of marketing to enrollees that are designed to discriminate against beneficiaries on the basis of their health conditions or history. These regulations may require regulatory review of marketing materials, and coordination with health plan or governmental regulators. Additionally, the federal government has pursued electronic health record (</w:t>
      </w:r>
      <w:r>
        <w:rPr>
          <w:rFonts w:ascii="Times New Roman" w:hAnsi="Times New Roman"/>
          <w:i/>
          <w:caps w:val="false"/>
          <w:smallCaps w:val="false"/>
          <w:sz w:val="20"/>
        </w:rPr>
        <w:t>EHR</w:t>
      </w:r>
      <w:r>
        <w:rPr>
          <w:rFonts w:ascii="Times New Roman" w:hAnsi="Times New Roman"/>
          <w:caps w:val="false"/>
          <w:smallCaps w:val="false"/>
          <w:sz w:val="20"/>
        </w:rPr>
        <w:t>) vendors and pharmaceutical manufacturers for remunerative relationships involving the EHR platform’s recommendation of particular drugs and “prompting” technology to increase prescribing of particular drugs.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ACA further created new federal requirements for reporting under the Physician Payments Sunshine Act (the </w:t>
      </w:r>
      <w:r>
        <w:rPr>
          <w:rFonts w:ascii="Times New Roman" w:hAnsi="Times New Roman"/>
          <w:i/>
          <w:caps w:val="false"/>
          <w:smallCaps w:val="false"/>
          <w:sz w:val="20"/>
        </w:rPr>
        <w:t>Sunshine Act</w:t>
      </w:r>
      <w:r>
        <w:rPr>
          <w:rFonts w:ascii="Times New Roman" w:hAnsi="Times New Roman"/>
          <w:caps w:val="false"/>
          <w:smallCaps w:val="false"/>
          <w:sz w:val="20"/>
        </w:rPr>
        <w:t>) by applicable manufacturers of covered drugs, payments and other transfers of value to physicians and teaching hospitals, and ownership and investment interests held by physicians and their immediate family members. 2018 legislation extended the Sunshine Act to cover payments and transfers of value to physician assistants, nurse practitioners, and other mid-level practitioners (with reporting requirements going into effect in 2022 for payments and transfers of value made in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Federal Civil False Claims Act (</w:t>
      </w:r>
      <w:r>
        <w:rPr>
          <w:rFonts w:ascii="Times New Roman" w:hAnsi="Times New Roman"/>
          <w:i/>
          <w:caps w:val="false"/>
          <w:smallCaps w:val="false"/>
          <w:sz w:val="20"/>
        </w:rPr>
        <w:t>FCA</w:t>
      </w:r>
      <w:r>
        <w:rPr>
          <w:rFonts w:ascii="Times New Roman" w:hAnsi="Times New Roman"/>
          <w:caps w:val="false"/>
          <w:smallCaps w:val="false"/>
          <w:sz w:val="20"/>
        </w:rPr>
        <w:t>)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FCA has been used to assert liability on the basis of kickbacks and other improper referrals, improperly reported government pricing metrics such as Best Price or Average Manufacturer Price, or submission of inaccurate information required by government contracts, improper use of Medicare provider or supplier numbers when detailing a provider of services, improper promotion of off-label uses not expressly approved by the FDA in a drug’s label, and allegations as to misrepresentations with respect to the products supplied or services rendered. Several pharmaceutical and other healthcare companies have further been sued under these laws for allegedly providing free product to customers with the expectation that the customers would bill federal programs for the product. Intent to deceive is not required to establish liability under the civil FCA; however, a November 2017 Department of Justice memorandum now prohibits the use of subregulatory guidance documents to impose new or more stringent requirements on entities outside the Executive Branch of the federal government. Because the Department has experienced recent administration changes, it is unclear whether the new Attorney General will continue this policy. Civil FCA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subject to governmental review and certain approvals. Qui tam complaints are filed under seal, and the cases may progress for a number of years before a complaint is unsealed and a manufacturer becomes aware of its existence. Since 2004, these FCA lawsuits against pharmaceutical companies have increased significantly in volume and breadth, leading to several substantial civil and criminal settlements, as much as $3.0 billion, regarding certain sales practices and promoting off-label drug uses. For example, civil FCA liability may be imposed for Medicare or Medicaid overpayments arising out of claims that were filed by providers but alleged to have been caused by manufacturers’ incentives, impermissible discounts, or overpayments caused by understated rebate amounts. FCA enforcement may also arise from claims filed as the result of manufacturing marketing materials that contained inaccurate statements or provided certain reimbursement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government may further prosecute conduct constituting a false claim under the criminal FCA. The criminal FCA prohibits the making or presenting of a claim to the government knowing such claim to be false, fictitious, or fraudulent and, unlike the civil FCA, requires proof of intent to submit a false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Similarly, the criminal healthcare fraud statutes impose criminal liability for, among other things, knowingly and willfully attempting or executing a scheme to defraud any healthcare benefit program, including private third-party payers, obtaining money or property of a benefit program by false or fraudulent means, or falsifying, concealing, or covering up a material fact or submitting a materially false statement in connection with the delivery of, or payment from healthcare benefits, items, or services. These statutes are not limited to items and services reimbursed by a governmental health care program and have been used to prosecute commercial insurance fraud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civil monetary penalties statute is another potential statute under which biopharmaceutical companies may be subject to enforcement. Among other things, the civil monetary penalties statue imposes fines against any person who is determined to have presented, or caused to be presented, claims to a federal healthcare program that the person knows, or should know, is for an item or service that was not provided as claimed or is false or fraudulent.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exclusion statute requires the exclusion of entities and individuals who have been convicted of federal- program related crimes or health care felony fraud or controlled substance charges. The statute also permits the exclusion of those that have been convicted of any form of fraud, the anti-kickback statute, for obstructing an investigation or audit, misdemeanor controlled substance charges, those whose health care license has been revoked or suspended, and those who have filed claims for excessive charges or unnecessary services. If a company were to be excluded, its products would be ineligible for reimbursement from any federal programs, including Medicare and Medicaid, and no other entity participating in those programs would be permitted to enter into contracts with the company. Further, employment or contracting with an individual or entity that has been excluded from participation in federal healthcare programs could serve as a basis to invalidate claims for items or services submitted by that entity and to exclude that entity from participation in such programs as well. In order to preserve access to beneficial drugs, the government may elect to exclude officers and key employees of manufacturers, rather than excluding the organization. Such enforcement actions would prohibit the Company from engaging those individuals, which could adversely affect operations, and could result in significant reputational harm.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certain drugs. For drugs paid under Medicare Part B, manufacturers must also calculate and report their Average Sales Price, which is used to determine the Medicare Part B payment rate for the drug. Drugs that are approved under a Biologic License Application (</w:t>
      </w:r>
      <w:r>
        <w:rPr>
          <w:rFonts w:ascii="Times New Roman" w:hAnsi="Times New Roman"/>
          <w:i/>
          <w:caps w:val="false"/>
          <w:smallCaps w:val="false"/>
          <w:sz w:val="20"/>
        </w:rPr>
        <w:t>BLA</w:t>
      </w:r>
      <w:r>
        <w:rPr>
          <w:rFonts w:ascii="Times New Roman" w:hAnsi="Times New Roman"/>
          <w:caps w:val="false"/>
          <w:smallCaps w:val="false"/>
          <w:sz w:val="20"/>
        </w:rPr>
        <w:t>) or an NDA, including 505(b)(2) drugs, are subject to an additional inflation penalty which can substantially increase rebate payments. In addition, for BLA and NDA drugs, the Veterans Health Care Act (</w:t>
      </w:r>
      <w:r>
        <w:rPr>
          <w:rFonts w:ascii="Times New Roman" w:hAnsi="Times New Roman"/>
          <w:i/>
          <w:caps w:val="false"/>
          <w:smallCaps w:val="false"/>
          <w:sz w:val="20"/>
        </w:rPr>
        <w:t>VHCA</w:t>
      </w:r>
      <w:r>
        <w:rPr>
          <w:rFonts w:ascii="Times New Roman" w:hAnsi="Times New Roman"/>
          <w:caps w:val="false"/>
          <w:smallCaps w:val="false"/>
          <w:sz w:val="20"/>
        </w:rPr>
        <w:t>) requires manufacturers to calculate and report to the VA a different price called the Non</w:t>
        <w:noBreakHyphen/>
        <w:t>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through prescription rebates on drugs dispensed by retail pharmacies when paid by the TRICARE Program. All of these price reporting requirements create a risk of submitting false information to the government resulting in potential FCA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 under the 340B Drug Pricing Program and report the ceiling price to the HRSA within Department of Health and Human Services. Manufacturers can be audited by the HRSA and be subjected to civil monetary penalties for knowingly and intentionally overcharging covered entities for drugs.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federal Health Insurance Portability and Accountability Act of 1996 (</w:t>
      </w:r>
      <w:r>
        <w:rPr>
          <w:rFonts w:ascii="Times New Roman" w:hAnsi="Times New Roman"/>
          <w:i/>
          <w:caps w:val="false"/>
          <w:smallCaps w:val="false"/>
          <w:sz w:val="20"/>
        </w:rPr>
        <w:t>HIPAA</w:t>
      </w:r>
      <w:r>
        <w:rPr>
          <w:rFonts w:ascii="Times New Roman" w:hAnsi="Times New Roman"/>
          <w:caps w:val="false"/>
          <w:smallCaps w:val="false"/>
          <w:sz w:val="20"/>
        </w:rPr>
        <w:t>) also created federal criminal statutes that prohibit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payer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The ACA, as amended, modified the intent requirement under the certain portions of these federal criminal statutes such that a person or entity no longer needs to have actual knowledge of the statute or specific intent to violate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we may be subject to data privacy and security regulation by both the federal government and the states in which we conduct our business. HIPAA, as amended by the Health Information Technology for Economic and Clinical Health Act (</w:t>
      </w:r>
      <w:r>
        <w:rPr>
          <w:rFonts w:ascii="Times New Roman" w:hAnsi="Times New Roman"/>
          <w:i/>
          <w:caps w:val="false"/>
          <w:smallCaps w:val="false"/>
          <w:sz w:val="20"/>
        </w:rPr>
        <w:t>HITECH</w:t>
      </w:r>
      <w:r>
        <w:rPr>
          <w:rFonts w:ascii="Times New Roman" w:hAnsi="Times New Roman"/>
          <w:caps w:val="false"/>
          <w:smallCaps w:val="false"/>
          <w:sz w:val="20"/>
        </w:rPr>
        <w:t>) and its respective implementing regulations, extended certain requirements relating to the privacy, security, and transmission of individually identifiable health information directly to business associates of HIPAA-covered entities. A business associate is defined as a person or organization, other than a member of a covered entity’s workforce, that performs certain functions or activities that involve the use or disclosure of protected health information on behalf of, or provides services to, a covered entity. We are not a covered entity under HIPAA but in certain limited situations, we may be considered a business associate.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have the same effect, thus complicating compliance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Even for entities that are not deemed “covered entities” or “business associates” under HIPAA, according to the United States Federal Trade Commission (</w:t>
      </w:r>
      <w:r>
        <w:rPr>
          <w:rFonts w:ascii="Times New Roman" w:hAnsi="Times New Roman"/>
          <w:i/>
          <w:caps w:val="false"/>
          <w:smallCaps w:val="false"/>
          <w:sz w:val="20"/>
        </w:rPr>
        <w:t>FTC</w:t>
      </w:r>
      <w:r>
        <w:rPr>
          <w:rFonts w:ascii="Times New Roman" w:hAnsi="Times New Roman"/>
          <w:caps w:val="false"/>
          <w:smallCaps w:val="false"/>
          <w:sz w:val="20"/>
        </w:rPr>
        <w:t>) failing to take appropriate steps to keep consumers' personal information secure constitutes unfair acts or practices in or affecting commerce in violation of Section 5(a) of the Federal Trade Commission Act (</w:t>
      </w:r>
      <w:r>
        <w:rPr>
          <w:rFonts w:ascii="Times New Roman" w:hAnsi="Times New Roman"/>
          <w:i/>
          <w:caps w:val="false"/>
          <w:smallCaps w:val="false"/>
          <w:sz w:val="20"/>
        </w:rPr>
        <w:t>FTCA</w:t>
      </w:r>
      <w:r>
        <w:rPr>
          <w:rFonts w:ascii="Times New Roman" w:hAnsi="Times New Roman"/>
          <w:caps w:val="false"/>
          <w:smallCaps w:val="false"/>
          <w:sz w:val="20"/>
        </w:rPr>
        <w: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The FTC’s authority under Section 5 is concurrent with HIPAA’s jurisdiction and with any action taken under state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addition, other federal and state laws may govern the privacy and security of health and other information in certain circumstances, many of which differ from each other in significant ways and may not have the same effect, thus complicating compliance efforts. For example, California recently enacted legislation – the California Consumer Privacy Act </w:t>
      </w:r>
      <w:r>
        <w:rPr>
          <w:rFonts w:ascii="Times New Roman" w:hAnsi="Times New Roman"/>
          <w:i/>
          <w:caps w:val="false"/>
          <w:smallCaps w:val="false"/>
          <w:sz w:val="20"/>
        </w:rPr>
        <w:t>(CCPA</w:t>
      </w:r>
      <w:r>
        <w:rPr>
          <w:rFonts w:ascii="Times New Roman" w:hAnsi="Times New Roman"/>
          <w:caps w:val="false"/>
          <w:smallCaps w:val="false"/>
          <w:sz w:val="20"/>
        </w:rPr>
        <w:t>) was made effective January 1, 2020. The CCPA, among other things, created new data privacy obligations for covered companies and provided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The California Attorney General may issue clarifying regulations. Although the law includes limited exceptions, including for certain information collected as part of clinical trials as specified in the law, it may regulate or impact our processing of personal information depending on the context, and it remains unclear what language the final Attorney General regulations will contain or how the statute and the regulations will be interpreted.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Many states have also adopted laws similar to each of the above federal laws, which may be broader in scope and apply to items or services reimbursed by any third</w:t>
        <w:noBreakHyphen/>
        <w:t>party payer, including commercial insurers, and some have transparency laws that require reporting price increases and related information. Certain state laws also regulate manufacturers’ use of prescriber</w:t>
        <w:noBreakHyphen/>
        <w:t>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the breadth of these laws and the narrowness of the statutory exceptions and regulatory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pharmaceutical companies and providers and patients,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 even if investigators ultimately find that no violation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our operations are found to be in violation of any of the laws or regulations described above or any other laws that apply to us, we may be subject penalties or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that any of our products are sold in a foreign country, we may be subject to similar foreign laws and regulations, which may include, for instance, applicable post</w:t>
        <w:noBreakHyphen/>
        <w:t>marketing requirements, including safety surveillance, anti</w:t>
        <w:noBreakHyphen/>
        <w:t>fraud and abuse laws, and implementation of corporate compliance programs and reporting of payments or transfers of value to healthcare professionals.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Coverage and Reimbursement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commercial success of our product candidates will depend in part on the extent to which governmental payer programs at the federal and state levels, including Medicare and Medicaid, private health insurers, and other third</w:t>
        <w:noBreakHyphen/>
        <w:t>party payers provide coverage for and establish adequate reimbursement levels for our product candidates. Government authorities, private health insurers, and other organizations generally decide which drugs they will pay for and establish reimbursement levels and potential access restrictions. Medicare is a federally funded program managed by the Centers for Medicare and Medicaid Services (</w:t>
      </w:r>
      <w:r>
        <w:rPr>
          <w:rFonts w:ascii="Times New Roman" w:hAnsi="Times New Roman"/>
          <w:i/>
          <w:caps w:val="false"/>
          <w:smallCaps w:val="false"/>
          <w:sz w:val="20"/>
        </w:rPr>
        <w:t>CMS</w:t>
      </w:r>
      <w:r>
        <w:rPr>
          <w:rFonts w:ascii="Times New Roman" w:hAnsi="Times New Roman"/>
          <w:caps w:val="false"/>
          <w:smallCaps w:val="false"/>
          <w:sz w:val="20"/>
        </w:rPr>
        <w:t>) through local contractors that administer coverage and reimbursement for certain healthcare items and services furnished to the elderly and disabled. Medicaid is an insurance program for certain categories of patients whose income and assets fall below state</w:t>
        <w:noBreakHyphen/>
        <w:t>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prioritize coverage for drugs on the state Preferred Drug List. Similarly, government laws and regulations establish the parameters for coverage of prescription drugs by TRICARE, the health care program for military personnel, retirees, and related beneficiaries. Many states have also created pharmacy assistance programs for individuals who do not qualify for federal programs. In the United States, private health insurers and other third</w:t>
        <w:noBreakHyphen/>
        <w:t>party payers often provide reimbursement for products and services based on the level at which the government provides reimbursement through the Medicare or Medicaid programs for such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U.S. and other potentially significant markets for our product candidates, government authorities and third</w:t>
        <w:noBreakHyphen/>
        <w:t>party payers are increasingly attempting to limit or regulate the price of medical products and services, particularly for new and innovative products and therapies, which often has resulted in average selling prices lower than they would otherwise be. For example, in the U.S., federal and state governments reimburse covered prescription drugs at varying rates generally below average wholesale price. Governmental and private payers may also establish certain access restrictions, such as prior approvals or evidence of failure on existing medications or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restrictions and limitations influence the purchase of healthcare services and products. Third</w:t>
        <w:noBreakHyphen/>
        <w:t>party payers are developing increasingly sophisticated methods of controlling healthcare costs. Third</w:t>
        <w:noBreakHyphen/>
        <w:t>party payers may limit coverage to specific drug products on an approved list, or formulary, which might not include all of the FDA</w:t>
        <w:noBreakHyphen/>
        <w:t>approved drug products for a particular indication. Third</w:t>
        <w:noBreakHyphen/>
        <w:t>party payers also control costs by requiring prior authorization or imposing other dispensing restrictions before covering certain products and by broadening therapeutic classes to increase competition. Third</w:t>
        <w:noBreakHyphen/>
        <w:t>party payers are increasingly challenging the price and examining the medical necessity and cost</w:t>
        <w:noBreakHyphen/>
        <w:t>effectiveness of medical products and services, in addition to their safety and efficacy. Absent clinical differentiators, third</w:t>
        <w:noBreakHyphen/>
        <w:t>party payers may treat products as therapeutically equivalent and base formulary decisions on net cost. To lower the prescription cost, manufacturers frequently rebate a portion of the prescription price to the third</w:t>
        <w:noBreakHyphen/>
        <w:t>party payers.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Private payers often rely on the lead of the governmental payers in rendering coverage and reimbursement determinations. Therefore, achieving favorable CMS coverage and reimbursement is usually a significant gating issue for successful introduction of a new product. In addition, many government programs as a condition of participation mandate fixed discounts or rebates from manufacturers regardless of formulary position or utilization, and then rely on competition in the market to attain further price reductions, which can greatly reduce realization on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the increased emphasis on managed healthcare in the U.S.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and health technology assessment bodies,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w:t>
        <w:noBreakHyphen/>
        <w:t>party payers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w:t>
        <w:noBreakHyphen/>
        <w:t>party payers.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of the above, we may need to conduct expensive pharmacoeconomic studies in order to demonstrate the medical necessity and cost</w:t>
        <w:noBreakHyphen/>
        <w:t>effectiveness of our products, in addition to the costs required to obtain the FDA and other comparable foreign regulatory authority approvals. Our product candidates may not be considered medically necessary or cost</w:t>
        <w:noBreakHyphen/>
        <w:t>effective, or the rebate percentages required to secure coverage may not yield an adequate margin over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is often pressure to renegotiate pricing and reimbursement levels, including, in particular, in connection with changes to Medicare. Third-party payers continue to demand discounted fee structures, and the trend toward consolidation among third-party payers tends to increase their bargaining power over price structures. If third-party payers reduce their rates for our products, then our revenue and profitability may decline and our operating margins will be reduced. Because some third-party payers rely on all or portions of Medicare payment systems to determine payment rates, changes to government healthcare programs that reduce payments under these programs may negatively impact payments from third-party payers. Our inability to maintain suitable financial arrangements with third-party payers could have a material adverse impact on our business. Additionally, the reimbursement process is complex and can involve lengthy delays. Third</w:t>
        <w:noBreakHyphen/>
        <w:t>party payers may disallow, in whole or in part, providers’ requests for reimbursement based on determinations that certain amounts are not reimbursable under plan coverage, that the drugs provided were not medically necessary, or that additional supporting documentation is necessary. Retroactive adjustments may change amounts realized from third</w:t>
        <w:noBreakHyphen/>
        <w:t>party payers. Delays and uncertainties in the reimbursement process may adversely affect market acceptance and utilization of our products, resulting in reduced revenues. The unavailability or inadequacy of third-party coverage and reimbursement could negatively affect the market acceptance of our products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 Many hospitals implement a controlled and defined process for developing and approving formularies. Any marketing efforts that are determined to have violated such policies could result in the denial or removal of our products from that hospital’s formulary.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a payer’s decision to provide coverage for a drug product does not imply that an adequate reimbursement rate will be approved. Adequate third</w:t>
        <w:noBreakHyphen/>
        <w:t>party reimbursement may not be available to enable us to maintain price levels sufficient to realize an appropriate return on our investment in drug development. Legislative proposals to reform healthcare or reduce costs under government insurance programs may result in lower reimbursement for our products and product candidates or exclusion of our products and product candidates from coverage. The cost containment measures that healthcare payers and providers are instituting and any healthcare reform could significantly reduce our revenues from the sale of any approved product candidates. We cannot provide any assurances that we will be able to obtain and maintain third</w:t>
        <w:noBreakHyphen/>
        <w:t>party coverage or adequate reimbursement for our product candidates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Pharmacy benefit managers (</w:t>
      </w:r>
      <w:r>
        <w:rPr>
          <w:rFonts w:ascii="Times New Roman" w:hAnsi="Times New Roman"/>
          <w:i/>
          <w:caps w:val="false"/>
          <w:smallCaps w:val="false"/>
          <w:sz w:val="20"/>
        </w:rPr>
        <w:t>PBM</w:t>
      </w:r>
      <w:r>
        <w:rPr>
          <w:rFonts w:ascii="Times New Roman" w:hAnsi="Times New Roman"/>
          <w:caps w:val="false"/>
          <w:smallCaps w:val="false"/>
          <w:sz w:val="20"/>
        </w:rPr>
        <w:t>) rebates and pricing transparency are key areas of legislative and regulatory focus and there may be changes in the regulatory landscape that could have a significant impact on the pharmaceutical supply chain and drug pricing more generally, which could affect our business operations and prospects in unknown and material ways.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Healthcare Reform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U.S. and some foreign jurisdictions are considering or have enacted a number of legislative and regulatory proposals designed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example, the Medicare Prescription Drug, Improvement, and Modernization Act of 2003 (</w:t>
      </w:r>
      <w:r>
        <w:rPr>
          <w:rFonts w:ascii="Times New Roman" w:hAnsi="Times New Roman"/>
          <w:i/>
          <w:caps w:val="false"/>
          <w:smallCaps w:val="false"/>
          <w:sz w:val="20"/>
        </w:rPr>
        <w:t>MMA</w:t>
      </w:r>
      <w:r>
        <w:rPr>
          <w:rFonts w:ascii="Times New Roman" w:hAnsi="Times New Roman"/>
          <w:caps w:val="false"/>
          <w:smallCaps w:val="false"/>
          <w:sz w:val="20"/>
        </w:rPr>
        <w:t>) established a prescription drug benefit program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which do not utilize formularies to restrict coverage, Part D coverage varies by plan. With some exceptions,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any products for which we receive marketing approval. However, Part D plans use competition for coverage to leverage manufacturer rebates. Further, the law requires manufacturers to absorb a significant percentage of the prescription price paid for NDA drugs, including 504(b)(2) drugs, during a beneficiary’s coverage gap. The Bipartisan Budget Act of 2018 permanently increased manufacturer liability for the prescription price in the coverage gap from 50% to 70% beginning in 2019, while simultaneously accelerating closure of the gap. These cost reduction initiatives and other provisions of the legislation, as well as any negotiated price discounts for our future products covered by a Part D prescription drug plan, may decrease the coverage and reimbursement rate that we receive, lower the net price realized on our sales to pharmacies, or both. Moreover, while the MMA applies only to drug benefits for Medicare beneficiaries, private payers often follow Medicare coverage policy and payment limitations in setting their own payment rates. Any reduction in payment that results from Medicare Part D may result in a similar reduction in payments from non</w:t>
        <w:noBreakHyphen/>
        <w:t>governmental payers.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ACA established the Patient-Centered Outcome Research Institute to organize and coordinate federally funded research to compare the effectiveness of different treatments for the same illness. Although the results of the comparative effectiveness studies are not intended to mandate coverage policies for public or private payers,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w:t>
        <w:noBreakHyphen/>
        <w:t>party payers do not consider our product candidates to be cost</w:t>
        <w:noBreakHyphen/>
        <w:t>effective compared to other available therapies, they may not cover our product candidates, once approved, as a benefit under their plans or, if they do, the level of payment may not be sufficient to allow us to sell our products on a profitable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ACA made other changes intended to broaden access to health insurance, reduce or constrain the growth of healthcare spending, enhance remedies against fraud and abuse, add new transparency requirements for healthcare and health insurance industries, impose new taxes and fees on the health care industry, and impose additional health policy reforms. The law expanded the eligibility criteria for Medicaid programs, thereby potentially increasing both the volume of sales and manufacturers’ Medicaid rebate liability. The law also expanded the entities eligible for discounts under the 340B Drug Discount Program, which mandates discounts to certain hospitals, community centers, and other qualifying providers, although, with the exception of children’s hospitals, these newly eligible entities are not eligible to receive discounted 340B pricing on orphan drugs and the Health Resources and Services Administration has narrowed its interpretation of which beneficiaries may fill prescriptions through 340B inventories. The law additionally extended manufacturer’s Medicaid rebate liability to covered drugs dispensed to patients enrolled in Medicaid managed care organizations, increased the statutory minimum rebates a manufacturer must pay under the Medicaid Drug Rebate program, and created an alternative rebate formula for certain new formulations of certain existing products, which is intended to increase the amount of rebates due on those drugs. The revisions to the Medicaid rebate formula can have the further effect of increasing the required 340B discounts. Finally, the ACA imposes a significant annual fee on companies that manufacture or import branded prescription drug products. Substantial new provisions affecting compliance have also been enacted through the ACA and otherwise, including the reporting of drug sample distribution, which may require us to modify our business practices with healthcare practitioners. Moreover, in the coming years, additional changes could be made to governmental healthcare programs that could significantly impact the success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ACA also imposed an affirmative obligation to report and repay any overpayments, including those payments that resulted from violations of the Anti-Kickback Statute, false claims act, or civil monetary penalties statute, within sixty (60) days after such overpayment has been identified. Corresponding case law imposes an obligation on entities to exercise reasonable diligence in identifying such overpayments. The failure to timely report and repay is, itself, considered to constitute a violation of the False Claims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pharmaceuticals continues to generate substantial governmental and third-party payer interest, and pharmaceutical pricing and marketing currently received a great deal of Congressional and administrative attention. There have been numerous initiatives on the federal and state levels in the U.S. for comprehensive reforms affecting the payment for, the availability of, and reimbursement for, healthcare services. In particular,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U.S. Congressional inquiries and proposed and enacted federal and state legislation have also been released and are designed to, among other things, bring more transparency to drug pricing, reduce the cost of prescription drugs under Medicare, review the relationship between pricing and manufacturer patient programs and reform government program reimbursement methodologies for drugs. Recent federal budget proposals have included measures to permit Medicare Part D plans to negotiate the price of certain drugs under Medicare Part B, to allow some states to negotiate drug prices under Medicaid, and to eliminate cost sharing for generic drugs for low-income patients. Current and future U.S. legislative healthcare reforms may result in price controls and other restrictions for any approved products, if covered, and could seriously harm our business. Drug pricing reform policies may be pursued in the future and may be more aggressive, regardless of which party controls the White House. Given that drug pricing controls is a key legislative and administration priority, it is likely that additional pricing controls will be enacted and could harm our business, financial condition and results of operations.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Some states, such as California, have enacted transparency laws that require manufacturers to report drug price increases and related information. The boom in state laws targeting drug pricing is unprecedented and the requirements are not uniform from state to state, creating additional compliance and commercialization challenges for manufacturers. We further expect that the pharmaceutical industry will experience pricing pressures due to the trend toward managed healthcare, the increasing influence of managed care organizations, judicial interpretation of health care reform efforts, and additional legislative and regulatory proposals resulting in ongoing, relatively rapid changes to applicable laws and regulations. Our results of operations could be adversely affected by current and future healthcare reforms.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Government and private payers also increasingly require pre</w:t>
        <w:noBreakHyphen/>
        <w:t>approval of coverage for new or innovative devices or drug therapies or condition coverage on unsuccessful alternative treatment before they will reimburse healthcare providers that use such therapies. For some specialty drugs, payers are conditioning payment on successful treatment measured by objective metrics. While we cannot predict whether any proposed cost</w:t>
        <w:noBreakHyphen/>
        <w:t>containment measures will be adopted or otherwise implemented in the future, the announcement or adoption of these proposals could have a material adverse effect on our ability to obtain adequate prices for our product candidates and operate profitably.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in the past, there may be other efforts to repeal or materially modify various aspects of ACA. The results and effects of such efforts, including judicial and Congressional challenges, could affect our business operations and prospects in unknown ways. Also, it is unclear how ACA and other laws ultimately will be fully implemented or modified. For example, in the case of Texas v. Azar, a federal district court in Texas struck down the ACA in its entirety, finding that the Tax Cuts and Jobs Act of 2017 rendered the individual mandate unconstitutional. The December 15, 2019, opinion concluded that since the individual mandate is “essential” to the ACA, it could not be severed from the rest of the ACA and therefore, the entire ACA was unconstitutional. Despite its decision, however, the court did not issue an injunction and therefore, immediate compliance was not required. Following appeal of the Fifth Circuit’s decision upholding the ruling of the federal district court, on June 17, 2021, the Supreme Court reversed the decision of the Fifth Circuit, which vacated the judgment and instructed the lower court to dismiss the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Despite the Supreme Court’s recent ruling in California v. Texas (formerly Texas v. Azar), it remains unclear how future decisions from the Supreme Court and the various other courts across the country, if any, to repeal and replace the ACA will impact the ACA and our business. It is also unclear how regulations and sub-regulatory policy, which fluctuate continually, may affect interpretation and implementation of the ACA and its practical effects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future, there may continue to be additional proposals relating to the reform of the U.S. healthcare system, some of which could further limit the prices we will be able to charge for our product candidates, or the amounts of reimbursement available for our product candidates. If future legislation were to impose direct governmental price controls or access restrictions, it could have a significant adverse impact on our business. Additionally, with the change in administration it is possible that President Biden may issue Executive Orders with the potential to change a number of prior executive branch actions on drug pricing. We continue to monitor the potential impact of proposals to lower prescription drug costs at the federal and state level. Managed care organizations, as well as Medicaid and other government agencies, continue to seek price discounts. Some states have implemented, and other states are considering, measures to reduce costs of the Medicaid program, and some states are considering implementing measures that would apply to broader segments of their populations that are not Medicaid-eligible. Due to the volatility in the current economic and market dynamics, we are unable to predict the impact of any unforeseen or unknown legislative, regulatory, payer or policy actions, which may include cost containment and healthcare reform measures. Such policy actions could have a material adverse impact on our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and other healthcare reform initiatives may result in additional reductions in Medicare and other healthcare funding, which could have a material adverse effect on our financial operations.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Foreign Corrupt Practices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Foreign Corrupt Practices Act (</w:t>
      </w:r>
      <w:r>
        <w:rPr>
          <w:rFonts w:ascii="Times New Roman" w:hAnsi="Times New Roman"/>
          <w:i/>
          <w:caps w:val="false"/>
          <w:smallCaps w:val="false"/>
          <w:sz w:val="20"/>
        </w:rPr>
        <w:t>FCPA</w:t>
      </w:r>
      <w:r>
        <w:rPr>
          <w:rFonts w:ascii="Times New Roman" w:hAnsi="Times New Roman"/>
          <w:caps w:val="false"/>
          <w:smallCaps w:val="false"/>
          <w:sz w:val="20"/>
        </w:rPr>
        <w:t>)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has been applied to the marketing of drugs and the conduct of clinical trials outside the U.S. The FCPA also obligates companies whose securities are listed in the U.S.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Foreign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we choose to develop or sell any products outside of the U.S., we will be subject to a variety of foreign regulatory requirements of other countries regarding safety and efficacy and governing, among other things, clinical trials, marketing authorization, commercial sales, and distribution of our products. For example, in the European Union (</w:t>
      </w:r>
      <w:r>
        <w:rPr>
          <w:rFonts w:ascii="Times New Roman" w:hAnsi="Times New Roman"/>
          <w:i/>
          <w:caps w:val="false"/>
          <w:smallCaps w:val="false"/>
          <w:sz w:val="20"/>
        </w:rPr>
        <w:t>EU</w:t>
      </w:r>
      <w:r>
        <w:rPr>
          <w:rFonts w:ascii="Times New Roman" w:hAnsi="Times New Roman"/>
          <w:caps w:val="false"/>
          <w:smallCaps w:val="false"/>
          <w:sz w:val="20"/>
        </w:rPr>
        <w:t>) we must obtain authorization of a clinical trial application in each member state in which we intend to conduct a clinical trial. Whether or not we obtain U.S.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U.S.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U.S., post</w:t>
        <w:noBreakHyphen/>
        <w:t>approval regulatory requirements, such as those regarding product manufacture, marketing, or distribution, would apply to any product that is approved outside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Subsidiaries and Inter-Corporate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2023, we had two wholly-owned subsidiaries, Pherin Pharmaceuticals, Inc., a Delaware corporation, and Vistastem Inc., a California corporation. The operations of these subsidiaries are managed by our senior management team based in South San Francisco,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Corporate History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Vistastem, Inc., a California corporation (formerly VistaGen Therapeutics, Inc.) was incorporated on May 26, 1998, and is our wholly-owned subsidiary. Excaliber Enterprises, Ltd. (</w:t>
      </w:r>
      <w:r>
        <w:rPr>
          <w:rFonts w:ascii="Times New Roman" w:hAnsi="Times New Roman"/>
          <w:i/>
          <w:caps w:val="false"/>
          <w:smallCaps w:val="false"/>
          <w:sz w:val="20"/>
        </w:rPr>
        <w:t>Excaliber</w:t>
      </w:r>
      <w:r>
        <w:rPr>
          <w:rFonts w:ascii="Times New Roman" w:hAnsi="Times New Roman"/>
          <w:caps w:val="false"/>
          <w:smallCaps w:val="false"/>
          <w:sz w:val="20"/>
        </w:rPr>
        <w:t>), a publicly-held company (formerly OTCBB: EXCA) was incorporated under the laws of the State of Nevada on October 6, 2005. Pursuant to a strategic merger transaction on May 11, 2011, Excaliber acquired all outstanding shares of Vistastem in exchange for 341,823 shares of our common stock and assumed all of Vistastem’s pre-Merger obligations (the </w:t>
      </w:r>
      <w:r>
        <w:rPr>
          <w:rFonts w:ascii="Times New Roman" w:hAnsi="Times New Roman"/>
          <w:i/>
          <w:caps w:val="false"/>
          <w:smallCaps w:val="false"/>
          <w:sz w:val="20"/>
        </w:rPr>
        <w:t>Merger</w:t>
      </w:r>
      <w:r>
        <w:rPr>
          <w:rFonts w:ascii="Times New Roman" w:hAnsi="Times New Roman"/>
          <w:caps w:val="false"/>
          <w:smallCaps w:val="false"/>
          <w:sz w:val="20"/>
        </w:rPr>
        <w:t>). Shortly after the Merger, Excaliber’s name was changed to “Vistagen Therapeutics, Inc.” (a Nevada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Vistastem,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are reflected as outstanding for all periods presented in the Consolidated Financial Statements of the Company included in Item 8 of this Annual Report. Additionally, the Consolidated Balance Sheets reflect the $0.001 par value of Excaliber’s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20, 2022, we entered into an Agreement and Plan of Merger (the </w:t>
      </w:r>
      <w:r>
        <w:rPr>
          <w:rFonts w:ascii="Times New Roman" w:hAnsi="Times New Roman"/>
          <w:i/>
          <w:caps w:val="false"/>
          <w:smallCaps w:val="false"/>
          <w:sz w:val="20"/>
        </w:rPr>
        <w:t>Merger Agreement</w:t>
      </w:r>
      <w:r>
        <w:rPr>
          <w:rFonts w:ascii="Times New Roman" w:hAnsi="Times New Roman"/>
          <w:caps w:val="false"/>
          <w:smallCaps w:val="false"/>
          <w:sz w:val="20"/>
        </w:rPr>
        <w:t>) along with VTGN Merger Sub, Inc., our wholly-owned subsidiary (</w:t>
      </w:r>
      <w:r>
        <w:rPr>
          <w:rFonts w:ascii="Times New Roman" w:hAnsi="Times New Roman"/>
          <w:i/>
          <w:caps w:val="false"/>
          <w:smallCaps w:val="false"/>
          <w:sz w:val="20"/>
        </w:rPr>
        <w:t>Merger Sub</w:t>
      </w:r>
      <w:r>
        <w:rPr>
          <w:rFonts w:ascii="Times New Roman" w:hAnsi="Times New Roman"/>
          <w:caps w:val="false"/>
          <w:smallCaps w:val="false"/>
          <w:sz w:val="20"/>
        </w:rPr>
        <w:t>), Pherin Pharmaceuticals, Inc. (</w:t>
      </w:r>
      <w:r>
        <w:rPr>
          <w:rFonts w:ascii="Times New Roman" w:hAnsi="Times New Roman"/>
          <w:i/>
          <w:caps w:val="false"/>
          <w:smallCaps w:val="false"/>
          <w:sz w:val="20"/>
        </w:rPr>
        <w:t>Pherin</w:t>
      </w:r>
      <w:r>
        <w:rPr>
          <w:rFonts w:ascii="Times New Roman" w:hAnsi="Times New Roman"/>
          <w:caps w:val="false"/>
          <w:smallCaps w:val="false"/>
          <w:sz w:val="20"/>
        </w:rPr>
        <w:t>), and Kevin McCarthy in his capacity of Stockholder Representative, in order to acquire Pherin (the </w:t>
      </w:r>
      <w:r>
        <w:rPr>
          <w:rFonts w:ascii="Times New Roman" w:hAnsi="Times New Roman"/>
          <w:i/>
          <w:caps w:val="false"/>
          <w:smallCaps w:val="false"/>
          <w:sz w:val="20"/>
        </w:rPr>
        <w:t>Pherin Acquisition</w:t>
      </w:r>
      <w:r>
        <w:rPr>
          <w:rFonts w:ascii="Times New Roman" w:hAnsi="Times New Roman"/>
          <w:caps w:val="false"/>
          <w:smallCaps w:val="false"/>
          <w:sz w:val="20"/>
        </w:rPr>
        <w:t>).  On February 2, 2023 (the </w:t>
      </w:r>
      <w:r>
        <w:rPr>
          <w:rFonts w:ascii="Times New Roman" w:hAnsi="Times New Roman"/>
          <w:i/>
          <w:caps w:val="false"/>
          <w:smallCaps w:val="false"/>
          <w:sz w:val="20"/>
        </w:rPr>
        <w:t>Closing Date</w:t>
      </w:r>
      <w:r>
        <w:rPr>
          <w:rFonts w:ascii="Times New Roman" w:hAnsi="Times New Roman"/>
          <w:caps w:val="false"/>
          <w:smallCaps w:val="false"/>
          <w:sz w:val="20"/>
        </w:rPr>
        <w:t>), we completed the Pherin Acquisition and Pherin is now a wholly-owned subsidiary of the Company. Immediately prior to the consummation of the Pherin Acquisition, each of Pherin’s directors and officers resigned, and no employees or other affiliates of Pherin on the Closing Date are serving or will serve in their previous roles or in any other capacity with Pherin or with the Company. Following the completion of the Pherin Acquisition, we now have full ownership of intellectual property rights to all five of our pherine drug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included in Item 8 of this Annual Report represent the activity of Vistastem from May 26, 1998, the consolidated activity of Vistastem and Excaliber (now Vistagen Therapeutics, Inc., a Nevada corporation), from May 11, 2011 (the date of the Merger) through March 31, 2023, and the activity of Pherin Pharmaceuticals, Inc. from February 2, 2023 (the date of the Pherin Acquisition) through March 31, 2023. For the relevant periods, the Consolidated Financial Statements included in Item 8 of this Annual Report also include the accounts of Vistastem’s two wholly owned inactive subsidiaries, Artemis Neuroscience, Inc., a Maryland corporation which was dissolved in April 2022, and VistaStem Canada, Inc., a corporation organized under the laws of Ontario, Canada which was dissolved in June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Conducting research and development is central to our business model. We have invested and expect to continue to invest significant time and capital in our research and development operations. Our research and development expenses were approximately $44.4 million and $35.4 million for the fiscal years ended March 31, 2023 and 2022, respectively. We expect that our research and development expenses will remain a significant portion of our total operating costs for the foreseeable future as we seek to complete the development of fasedienol, itruvone, and AV-101 and our other recently acquired pherine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Environmental, Social, Governance, and Human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corporate responsibility is fundamental to our mission and we are committed to holding ourselves to high ethical standards. Beyond our quest to develop innovative therapeutic solutions that combat CNS disorders affecting so many lives and to improve healthcare outcomes, we strive to have a positive impact on our employees, our local communities, our patients, our shareholders, the health care ecosystem and society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Governance and Leadership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late-clinical stage company that is passionate about transforming mental health care, we believe creating an environment that allows our team to collectively thrive and achieve its full potential begins with our Board of Directors, which consists of directors with diverse and dynamic backgrounds in pharmaceutical development, commercialization, and corporate governance. Applying the Nasdaq Stock Market’s continued listing standards for director independence, five of our seven directors are currently independent. At the management level, we have built a team of highly experienced professionals that we believe provide us with a diverse and inclusive culture, while also providing the know-how necessary to allow us to achieve our short- and long-term goals. Among these goals is to develop a formal environmental, social and governance (</w:t>
      </w:r>
      <w:r>
        <w:rPr>
          <w:rFonts w:ascii="Times New Roman" w:hAnsi="Times New Roman"/>
          <w:i/>
          <w:caps w:val="false"/>
          <w:smallCaps w:val="false"/>
          <w:sz w:val="20"/>
        </w:rPr>
        <w:t>ESG</w:t>
      </w:r>
      <w:r>
        <w:rPr>
          <w:rFonts w:ascii="Times New Roman" w:hAnsi="Times New Roman"/>
          <w:caps w:val="false"/>
          <w:smallCaps w:val="false"/>
          <w:sz w:val="20"/>
        </w:rPr>
        <w:t>) strategic roadmap and framework that will guide our operations, so as to ensure that we are operating in a manner that is consistent with our mission of transforming mental health care – </w:t>
      </w:r>
      <w:r>
        <w:rPr>
          <w:rFonts w:ascii="Times New Roman" w:hAnsi="Times New Roman"/>
          <w:i/>
          <w:caps w:val="false"/>
          <w:smallCaps w:val="false"/>
          <w:sz w:val="20"/>
        </w:rPr>
        <w:t>One Mind at a Time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 w:hAnsi="Times New Roman"/>
          <w:i/>
          <w:caps w:val="false"/>
          <w:smallCaps w:val="false"/>
          <w:sz w:val="20"/>
        </w:rPr>
      </w:pPr>
      <w:r>
        <w:rPr>
          <w:rFonts w:ascii="Times New Roman" w:hAnsi="Times New Roman"/>
          <w:i/>
          <w:caps w:val="false"/>
          <w:smallCaps w:val="false"/>
          <w:sz w:val="20"/>
        </w:rPr>
        <w:t>Core Values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 w:hAnsi="Times New Roman"/>
          <w:caps w:val="false"/>
          <w:smallCaps w:val="false"/>
          <w:sz w:val="20"/>
        </w:rPr>
      </w:pPr>
      <w:r>
        <w:rPr>
          <w:rFonts w:ascii="Times New Roman" w:hAnsi="Times New Roman"/>
          <w:caps w:val="false"/>
          <w:smallCaps w:val="false"/>
          <w:sz w:val="20"/>
        </w:rPr>
        <w:t>We are committed to driving improvement and innovation in the care of patients suffering from CNS disorders. In this pursuit, our core values of integrity, compassion, teamwork, and excellence while on our journey to change the way we approach mental healthcare guide our internal processes and define our mission to radically improve mental health and well-being worldwide. In addition, all of our directors, officers and employees are responsible for upholding these values as set forth in our Code of Business Conduct and Ethics, which forms the foundation of our policies and practices. Our Code of Business Conduct and Ethics is available on our website at </w:t>
      </w:r>
      <w:r>
        <w:rPr>
          <w:rFonts w:ascii="Times New Roman" w:hAnsi="Times New Roman"/>
          <w:caps w:val="false"/>
          <w:smallCaps w:val="false"/>
          <w:sz w:val="20"/>
          <w:u w:val="single"/>
        </w:rPr>
        <w:t>www.vistagen.com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20" w:right="0" w:hanging="0"/>
        <w:jc w:val="both"/>
        <w:rPr>
          <w:rFonts w:ascii="Times New Roman" w:hAnsi="Times New Roman"/>
          <w:i/>
          <w:caps w:val="false"/>
          <w:smallCaps w:val="false"/>
          <w:sz w:val="20"/>
        </w:rPr>
      </w:pPr>
      <w:r>
        <w:rPr>
          <w:rFonts w:ascii="Times New Roman" w:hAnsi="Times New Roman"/>
          <w:i/>
          <w:caps w:val="false"/>
          <w:smallCaps w:val="false"/>
          <w:sz w:val="20"/>
        </w:rPr>
        <w:t>Environmental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 w:hAnsi="Times New Roman"/>
          <w:caps w:val="false"/>
          <w:smallCaps w:val="false"/>
          <w:sz w:val="20"/>
        </w:rPr>
      </w:pPr>
      <w:r>
        <w:rPr>
          <w:rFonts w:ascii="Times New Roman" w:hAnsi="Times New Roman"/>
          <w:caps w:val="false"/>
          <w:smallCaps w:val="false"/>
          <w:sz w:val="20"/>
        </w:rPr>
        <w:t>We are committed to protecting the environment and attempt to mitigate any negative impact of our operations. We strive to address the environmental impacts of the building in which we operate and minimize waste by reducing our use of paper by operating primarily in a digital environment. We have safety protocols in place for handling biohazardous waste in our labs, and we use third-party vendors for biohazardous waste and chemical disposal.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 w:hAnsi="Times New Roman"/>
          <w:i/>
          <w:caps w:val="false"/>
          <w:smallCaps w:val="false"/>
          <w:sz w:val="20"/>
        </w:rPr>
      </w:pPr>
      <w:r>
        <w:rPr>
          <w:rFonts w:ascii="Times New Roman" w:hAnsi="Times New Roman"/>
          <w:i/>
          <w:caps w:val="false"/>
          <w:smallCaps w:val="false"/>
          <w:sz w:val="20"/>
        </w:rPr>
        <w:t>Human Capital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our people are one of our greatest assets. We make diversity and inclusion priorities because they are key to unlocking the potential of our people. With colleagues who can contribute unique viewpoints and diverse perspectives to all aspects of the business, we believe that our culture can be more collaborative, more accepting of difference and more prepared for overall success on our journey to reimage medicine.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28, 2023, we employed 33 full-time employees and one part-time employee. Twenty-one full-time employees work in research and development and laboratory support services and twelve full-time employees work in management, business development, legal, human resources, general and administrative roles. Staffing for other functional areas is achieved through our diverse network of strategic relationships with multiple CROs, CDMOs, and other third-party service providers and consultants. These service providers and consultants provide us with support services on a flexible, real-time, as-needed basis, including services related to, among others, payroll, information technology, legal, investor and public relations, manufacturing, product development, regulatory affairs and FDA program management to complement our internal resources in these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never had a work stoppage, and none of our employees is represented by a labor organization or under any collective bargaining agreement. We consider our employee relations to be good.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lease our office and laboratory space, which consists of approximately 10,900 square feet located in South San Francisco, California, under a lease expiring on July 31, 2027 which also provides a five-year option to renew.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file reports and other information with the SEC, as required by the Exchange Act. We make available free of charge through our website (</w:t>
      </w:r>
      <w:r>
        <w:rPr>
          <w:rFonts w:ascii="Times New Roman" w:hAnsi="Times New Roman"/>
          <w:caps w:val="false"/>
          <w:smallCaps w:val="false"/>
          <w:sz w:val="20"/>
          <w:u w:val="single"/>
        </w:rPr>
        <w:t>http://www.vistagen.com</w:t>
      </w:r>
      <w:r>
        <w:rPr>
          <w:rFonts w:ascii="Times New Roman" w:hAnsi="Times New Roman"/>
          <w:caps w:val="false"/>
          <w:smallCaps w:val="false"/>
          <w:sz w:val="20"/>
        </w:rPr>
        <w:t>) our annual reports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as a source of information about us. The foregoing references to our website are not intended to, nor shall they be deemed to, incorporate information on our website into this Annual Report on Form 10-K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3" w:name="item1a"/>
      <w:bookmarkEnd w:id="3"/>
      <w:r>
        <w:rPr>
          <w:rFonts w:ascii="Times New Roman" w:hAnsi="Times New Roman"/>
          <w:b/>
          <w:caps w:val="false"/>
          <w:smallCaps w:val="false"/>
          <w:sz w:val="20"/>
        </w:rPr>
        <w:t>Item 1A.</w:t>
      </w:r>
      <w:r>
        <w:rPr>
          <w:rFonts w:ascii="Times New Roman" w:hAnsi="Times New Roman"/>
          <w:caps w:val="false"/>
          <w:smallCaps w:val="false"/>
          <w:sz w:val="20"/>
        </w:rPr>
        <w:t>  </w:t>
      </w:r>
      <w:r>
        <w:rPr>
          <w:rFonts w:ascii="Times New Roman" w:hAnsi="Times New Roman"/>
          <w:b/>
          <w:caps w:val="false"/>
          <w:smallCaps w:val="false"/>
          <w:sz w:val="20"/>
        </w:rPr>
        <w:t xml:space="preserve">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 Factor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Our business is subject to substantial risk and an investment in our securities involves various risks. Some of the material risks include those set forth below. You should consider carefully these risks, and those discussed under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below, before investing in our securities. These risks include,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require substantial additional financing to execute our long-term business plan either on our own or with collaborators, including further development of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have incurred significant net losses since inception and we will continue to incur substantial operating losses for the foreseeable future;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are a development stage biopharmaceutical company with no revenues from product sales or approved products, and limited experience developing new drug candidates, which makes it difficult to assess our future viability;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failures of our current and/or future clinical studies of our product candidates, or delays in the commencement of completion of our clinical trials, could result in increased costs to us and could delay, prevent or limit our ability to generate revenue and continue our business;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depend heavily on the success of our product candidates and we cannot be certain that we will be able to obtain regulatory approval for, or successfully commercialize, any of our current or future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are unable to retain or attract key management and scientific personnel, we may be unable to successfully produce and develop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successful completion of clinical or nonclinical studies in any of our development programs may not be sufficient to cause the FDA to approve of any NDA that we may submit or cause any other agency to provide regulatory approval of any of our product candidates and, even if approved, does not ensure acceptance of such product candidates by clinicians leading to a revenue stream to support our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face significant competition, and if we are unable to compete effectively, we may not be able to achieve or maintain significant market penetration or improve our results of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raising additional capital in equity-based financing transactions is likely to cause substantial dilution to our existing stockholders, may restrict our operations or require us to relinquish rights, and may require us to seek stockholder approval to authorize additional shares of our common stock;</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fail to comply with the continued listing requirements of the Nasdaq Capital Market, our common stock may be delisted and the price of our common stock and our ability to access the capital markets could be negatively impacted;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other risks and uncertainties, including those described under </w:t>
            </w:r>
            <w:r>
              <w:rPr>
                <w:rFonts w:ascii="Times New Roman;Times;serif" w:hAnsi="Times New Roman;Times;serif"/>
                <w:i/>
                <w:caps w:val="false"/>
                <w:smallCaps w:val="false"/>
                <w:sz w:val="20"/>
              </w:rPr>
              <w:t>Risk Factors</w:t>
            </w:r>
            <w:r>
              <w:rPr>
                <w:rFonts w:ascii="Times New Roman;Times;serif" w:hAnsi="Times New Roman;Times;serif"/>
                <w:caps w:val="false"/>
                <w:smallCaps w:val="false"/>
                <w:sz w:val="20"/>
              </w:rPr>
              <w:t>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are unable to effectively manage the impact of these and other risks, our ability to operate and execute our business plan would be substantially impaired. In turn, the value of our securities would be materially reduced.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You should consider carefully the risks and uncertainties described below, together with all of the other information in this Report before investing in our securities. The risks described below are not the only risks facing our Company.</w:t>
      </w:r>
      <w:r>
        <w:rPr>
          <w:rFonts w:ascii="Times New Roman" w:hAnsi="Times New Roman"/>
          <w:caps w:val="false"/>
          <w:smallCaps w:val="false"/>
          <w:sz w:val="20"/>
        </w:rPr>
        <w:t>  </w:t>
      </w:r>
      <w:r>
        <w:rPr>
          <w:rFonts w:ascii="Times New Roman" w:hAnsi="Times New Roman"/>
          <w:i/>
          <w:caps w:val="false"/>
          <w:smallCaps w:val="false"/>
          <w:sz w:val="20"/>
        </w:rPr>
        <w:t>Additional risks and uncertainties not currently known to us or that we currently deem to be immaterial may also materially adversely affect our business, financial condition and/or operating results. If any of the following risks</w:t>
      </w:r>
      <w:r>
        <w:rPr>
          <w:rFonts w:ascii="Times New Roman" w:hAnsi="Times New Roman"/>
          <w:caps w:val="false"/>
          <w:smallCaps w:val="false"/>
          <w:sz w:val="20"/>
        </w:rPr>
        <w:t> </w:t>
      </w:r>
      <w:r>
        <w:rPr>
          <w:rFonts w:ascii="Times New Roman" w:hAnsi="Times New Roman"/>
          <w:i/>
          <w:caps w:val="false"/>
          <w:smallCaps w:val="false"/>
          <w:sz w:val="20"/>
        </w:rPr>
        <w:t xml:space="preserve">are realized, our business, financial condition and results of operations could be materially and adversely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a development-stage biopharmaceutical company with no recurring revenues from product sales or approved products, and limited experience developing new therapeutic product candidates, including conducting clinical trials and other areas required for the successful development of therapeutic products, which makes it difficult to assess our future viability.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development-stage biopharmaceutical company. We currently have no approved products and no revenue from product sales,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or continue to accomplish the following fundamental objectives, either on our own or with collaborators: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60"/>
        <w:gridCol w:w="170"/>
        <w:gridCol w:w="8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develop and obtain required regulatory approvals for commercialization of any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60"/>
        <w:gridCol w:w="170"/>
        <w:gridCol w:w="53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maintain, leverage and expand our intellectual property portfolio;</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60"/>
        <w:gridCol w:w="170"/>
        <w:gridCol w:w="4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gain market acceptance for our product candidates;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adequate capital resources and manage our spending as costs and expenses increase due to research, production, development and regulatory approval of product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require additional financing to execute our long-term business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our inception through 2019, a substantial portion of our resources were dedicated to research and development of AV-101 and Vistastem’s stem cell technology platform. Since 2019, we have expended a considerable portion of our resources for research, clinical development, manufacturing and regulatory expense related to fasedienol and itruvone, including costs related to the PALISADE Phase 3 Program and our Phase 1 study of itruvone in MDD. We expect to continue to expend substantial resources for the foreseeable future developing fasedienol, itruvone, AV-101 and our other product candidates, PH15, PH80 and PH284, on our own and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should the FDA approve any of such product candidates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had cash and cash equivalents of approximately $16.6 million at March 31, 2023, we have not yet developed products that generate recurring revenue and, assuming successful completion of our planned clinical and nonclinical programs, we will need to invest substantial additional capital resources to commercialize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next twelve months, subject to availability of adequate working capital, we plan to (i) continue to advance our FEARLESS Phase 3 Program, on our own or with a collaborator, to develop and commercialize fasedienol as a new acute treatment of anxiety in adults with SAD, (ii) complete preparations, on our own or with a collaborator, for and initiate further Phase 2B clinical development of itruvone as a potential stand-alone treatment for MDD, (iii) complete IND-enabling activities, either on our own with a collaborator, for Phase 2B development of PH80, PH15 and PH284 and Phase 2A development of AV-101 for one or more neurological disorders involving the NMDAR, and (iv) conduct various nonclinical studies involving each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received the $5 million upfront payment under the AffaMed Agreement in August 2020 and expect to recognize that amount as revenue in future periods, we have no other source of revenue or recurring cash flows from product sales to sustain our present activities, and we do not expect to generate sustainable positive operating cash flows until, and unless, we (i) out-license or sell a product candidate to a third-party that is subsequently successfully developed and commercialized, (ii) enter into additional transactions involving our stem cell technology, or (iii) obtain approval from the FDA and other regulatory authorities and successfully commercialize fasedienol, or one of our other product candidates, on our own or through collaborations.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the outcome of our ongoing research and development activities, including the outcome of future anticipated nonclinical studies and clinical trials is highly uncertain, we cannot reasonably estimate the actual amounts necessary to successfully complete the development and commercialization of any of our product candidates, on our own or in collaboration with others. As in prior periods, we will continue to incur substantial costs associated with other clinical and nonclinical development programs for our product candidates. In addition, other unanticipated costs may arise. As a result of these and other factors, we will need to seek additional capital to meet our future operating plans and requirements, including capital necessary to develop, obtain regulatory approval for fasedienol and our other product candidates, and may seek additional capital in the event there exists favorable market conditions or strategic considerations, even if we believe we have sufficient funds for our current or future operating plans and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completed in the past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intend to pursue and complete additional financing arrangements in the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capital requirements may depend on many factors, including:</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170"/>
        <w:gridCol w:w="5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and characteristics of the product candidates we pursue;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scope, progress, results and costs of researching, developing and commercializing our product candidates, and conducting preclinical and clinical studies</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60"/>
        <w:gridCol w:w="170"/>
        <w:gridCol w:w="8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of, and the costs involved in, obtaining regulatory approvals for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60"/>
        <w:gridCol w:w="170"/>
        <w:gridCol w:w="5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of manufacturing and formulating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establish and maintain strategic partnerships, licensing or other collaborative arrangements and the financial terms of such agreements;</w:t>
            </w:r>
          </w:p>
        </w:tc>
      </w:tr>
    </w:tbl>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60"/>
        <w:gridCol w:w="170"/>
        <w:gridCol w:w="36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market acceptance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60"/>
        <w:gridCol w:w="170"/>
        <w:gridCol w:w="5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 of competing technological and market developments;</w:t>
            </w:r>
          </w:p>
        </w:tc>
      </w:tr>
    </w:tbl>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60"/>
        <w:gridCol w:w="170"/>
        <w:gridCol w:w="6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government funding for our research and development programs;</w:t>
            </w:r>
          </w:p>
        </w:tc>
      </w:tr>
    </w:tbl>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60"/>
        <w:gridCol w:w="170"/>
        <w:gridCol w:w="84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involved in obtaining, maintaining and enforcing patents to preserve our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involved in defending against such claims that we infringe third-party patents or violate other intellectual property rights and the outcome of such litigation;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receipt and amount of potential future licensee fees, milestone payments, and sales of, or royalties on, our future products, if any; and</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0"/>
        <w:gridCol w:w="170"/>
        <w:gridCol w:w="8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extent to which we may acquire or invest in additional businesses, product candidates and technologies.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additional fundraising efforts will divert certain members of our management team from their day-to-day activities, which may adversely affect our ability to develop our product candidates.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also seek funds through arrangements with collaborative partners in certain territories, including the U.S.,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necessary, if we are unable to obtain additional funding on a timely basis and on acceptable terms, we may be required to significantly curtail, delay or discontinue one or more of our research or product development programs or be unable to continue or expand our operations or otherwise capitalize on our business opportunities, as desired, which could materially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future success is highly dependent upon our ability to successfully develop, on our own or with collaborators, any of our current CNS product candidates or acquire or license additional CNS product candidates, and we cannot provide any assurance that we will successfully develop and obtain regulatory approval of any of our current CNS product candidates or future product candidates, or that, if approved, any of our CNS product candidates will be successfully commercialized.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Business development and research and development programs designed to identify, acquire or license additional product candidates require substantial technical, financial and human resources, whether or not any additional CNS product candidate is acquired or licensed. If beneficial, we may seek to collaborate with others to develop and commercialize any of our current or future CNS product candidates, if and when they are acquired and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our CNS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Product Development, Regulatory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Failures of our current and/or future clinical studies of our product candidates could result in increased costs to us and could delay, prevent or limit our ability to generate revenue and continue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PALISADE-1 Phase 3 clinical study of fasedienol for the acute treatment of anxiety in adults with SAD did not achieve its primary endpoint, as measured by change from baseline using the SUDS as compared to placebo. Successful completion of our nonclinical and clinical trials is a prerequisite to submitting an NDA and, consequently, the ultimate approval required before commercial marketing of any product candidate we may develop. Failure of any of our current and/or future clinical and nonclinical trials to achieve the planned endpoints, such as our PALISADE-1 Phase 3 clinical trial of fasedienol, could result in increased costs to us and could delay, prevent or limit our ability to generate revenue and continue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depend heavily on the success of one or more of our current CNS drug candidates and we cannot be certain that we will be able to obtain regulatory approval for any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currently have no drug products for sale and may never be able to develop marketable drug products. Our business currently depends heavily on the successful development, manufacturing and regulatory approval of one or more of our current CNS drug candidates, as well as our ability to acquire, license or produce and develop additional product candidates. Each of our current investigational CNS drug candidates will require substantial additional nonclinical and clinical development, manufacturing and regulatory approval before any of them may be commercialized, and there can be no assurance that any of them will ever achieve regulatory approval. The nonclinical and clinical development of our product candidates are, and the manufacturing and marketing of our product candidates will be, subject to extensive and rigorous review and regulation by numerous government authorities in the U.S. and in other countries where we or our collaborators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not permitted to market our product candidates in the U.S. until we receive approval of a New Drug Application (</w:t>
      </w:r>
      <w:r>
        <w:rPr>
          <w:rFonts w:ascii="Times New Roman" w:hAnsi="Times New Roman"/>
          <w:i/>
          <w:caps w:val="false"/>
          <w:smallCaps w:val="false"/>
          <w:sz w:val="20"/>
        </w:rPr>
        <w:t>NDA</w:t>
      </w:r>
      <w:r>
        <w:rPr>
          <w:rFonts w:ascii="Times New Roman" w:hAnsi="Times New Roman"/>
          <w:caps w:val="false"/>
          <w:smallCaps w:val="false"/>
          <w:sz w:val="20"/>
        </w:rPr>
        <w:t>)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submit an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FDA advisory committee may recommend, or the FDA may require, a Risk Evaluation and Mitigation Strategies (</w:t>
            </w:r>
            <w:r>
              <w:rPr>
                <w:rFonts w:ascii="Times New Roman;Times;serif" w:hAnsi="Times New Roman;Times;serif"/>
                <w:i/>
                <w:caps w:val="false"/>
                <w:smallCaps w:val="false"/>
                <w:sz w:val="20"/>
              </w:rPr>
              <w:t>REMS</w:t>
            </w:r>
            <w:r>
              <w:rPr>
                <w:rFonts w:ascii="Times New Roman;Times;serif" w:hAnsi="Times New Roman;Times;serif"/>
                <w:caps w:val="false"/>
                <w:smallCaps w:val="false"/>
                <w:sz w:val="20"/>
              </w:rPr>
              <w:t>) safety program as a condition of approval or post-approval;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FDA advisory committee or the FDA or applicable regulatory agency may determine that there is insufficient evidence of overall effectiveness or safety in a NDA and require additional clinical studies;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Times New Roman;Times;serif" w:hAnsi="Times New Roman;Times;serif"/>
                <w:i/>
                <w:caps w:val="false"/>
                <w:smallCaps w:val="false"/>
                <w:sz w:val="20"/>
              </w:rPr>
              <w:t>cGMPs</w:t>
            </w:r>
            <w:r>
              <w:rPr>
                <w:rFonts w:ascii="Times New Roman;Times;serif" w:hAnsi="Times New Roman;Times;serif"/>
                <w:caps w:val="false"/>
                <w:smallCaps w:val="false"/>
                <w:sz w:val="20"/>
              </w:rPr>
              <w:t>); or</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60"/>
        <w:gridCol w:w="170"/>
        <w:gridCol w:w="8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applicable foreign regulatory agency may change its approval policies or adopt new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of these factors, many of which are beyond our control, could jeopardize our ability to obtain regulatory approval for any current or future drug product candidate we may develop. Any such setback in our pursuit of regulatory approval for any product candidate would have a material adverse effect on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certain of our product candidates, including fasedienol and itruvone,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w:t>
      </w:r>
      <w:r>
        <w:rPr>
          <w:rFonts w:ascii="Times New Roman" w:hAnsi="Times New Roman"/>
          <w:i/>
          <w:caps w:val="false"/>
          <w:smallCaps w:val="false"/>
          <w:sz w:val="20"/>
        </w:rPr>
        <w:t>QS</w:t>
      </w:r>
      <w:r>
        <w:rPr>
          <w:rFonts w:ascii="Times New Roman" w:hAnsi="Times New Roman"/>
          <w:caps w:val="false"/>
          <w:smallCaps w:val="false"/>
          <w:sz w:val="20"/>
        </w:rPr>
        <w:t>) regulations applicable to medical devices. Problems associated with the device component of the combination product candidate may delay or prevent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COVID-19 pandemic has adversely impacted and may continue to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Beginning in late-2019, a new strain of coronavirus (</w:t>
      </w:r>
      <w:r>
        <w:rPr>
          <w:rFonts w:ascii="Times New Roman" w:hAnsi="Times New Roman"/>
          <w:i/>
          <w:caps w:val="false"/>
          <w:smallCaps w:val="false"/>
          <w:sz w:val="20"/>
        </w:rPr>
        <w:t>COVID-19</w:t>
      </w:r>
      <w:r>
        <w:rPr>
          <w:rFonts w:ascii="Times New Roman" w:hAnsi="Times New Roman"/>
          <w:caps w:val="false"/>
          <w:smallCaps w:val="false"/>
          <w:sz w:val="20"/>
        </w:rPr>
        <w:t>) spread across the world and caused considerable uncertainty about the potential effects of the virus and its variants, and the extent of and effectiveness of responses taken on international, national and local levels. Measures taken to limit the impact of the pandemic, including shelter-in-place orders, social distancing measures, travel bans and restrictions, and business and government shutdowns, resulted in significant negative economic impacts on a global basis. The COVID-19 pandemic has impacted our business and may continue to do so. Additionally, future outbreaks may have several adverse effects on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Adverse impact on product development</w:t>
            </w:r>
            <w:r>
              <w:rPr>
                <w:rFonts w:ascii="Times New Roman;Times;serif" w:hAnsi="Times New Roman;Times;serif"/>
                <w:i/>
                <w:caps w:val="false"/>
                <w:smallCaps w:val="false"/>
                <w:sz w:val="20"/>
              </w:rPr>
              <w:t>:</w:t>
            </w:r>
            <w:r>
              <w:rPr>
                <w:rFonts w:ascii="Times New Roman;Times;serif" w:hAnsi="Times New Roman;Times;serif"/>
                <w:caps w:val="false"/>
                <w:smallCaps w:val="false"/>
                <w:sz w:val="20"/>
              </w:rPr>
              <w:t> Recent medical literature has reported that the SARS-COV-2 virus, which causes COVID-19, may cause long-term and reversible olfactory dysfunction (</w:t>
            </w:r>
            <w:r>
              <w:rPr>
                <w:rFonts w:ascii="Times New Roman;Times;serif" w:hAnsi="Times New Roman;Times;serif"/>
                <w:i/>
                <w:caps w:val="false"/>
                <w:smallCaps w:val="false"/>
                <w:sz w:val="20"/>
              </w:rPr>
              <w:t>OD</w:t>
            </w:r>
            <w:r>
              <w:rPr>
                <w:rFonts w:ascii="Times New Roman;Times;serif" w:hAnsi="Times New Roman;Times;serif"/>
                <w:caps w:val="false"/>
                <w:smallCaps w:val="false"/>
                <w:sz w:val="20"/>
              </w:rPr>
              <w:t>) in approximately 30% of affected individuals. OD may occur in cases where the SARS-COV-2 virus damages the nasal chemosensory epithelium, a structure in the nose where the types of cells are found that respond to pherines such as fasedienol, itruvone, PH15, PH80 and PH284. Accordingly, there is a risk that the prevalence of OD caused by COVID-19 infections may interfere with the ability of our pherine nasal sprays to provide a therapeutic benefit, which, may, in turn, have a materially adverse impact on results of our clinical trials designed to assess the efficacy of these product candidates or a negative impact on potential future sales should any of our pherine nasal sprays be approved for commercialization.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Negative impacts on our employees, collaborators and suppliers</w:t>
            </w:r>
            <w:r>
              <w:rPr>
                <w:rFonts w:ascii="Times New Roman;Times;serif" w:hAnsi="Times New Roman;Times;serif"/>
                <w:caps w:val="false"/>
                <w:smallCaps w:val="false"/>
                <w:sz w:val="20"/>
              </w:rPr>
              <w:t>: COVID-19 has impacted, and variant and subvariant strains of COVID-19 or another highly transmissible and pathogenic infectious disease may impact or continue to impact, the health of our employees, collaborators, contractors or suppliers, reduce the availability of our workforce or those of companies with which we do business, divert our attention toward succession planning, or create disruptions in our supply or distribution networks. Since the beginning of the COVID-19 pandemic, we have experienced delays of the delivery of supplies of active pharmaceutical product (</w:t>
            </w:r>
            <w:r>
              <w:rPr>
                <w:rFonts w:ascii="Times New Roman;Times;serif" w:hAnsi="Times New Roman;Times;serif"/>
                <w:i/>
                <w:caps w:val="false"/>
                <w:smallCaps w:val="false"/>
                <w:sz w:val="20"/>
              </w:rPr>
              <w:t>API</w:t>
            </w:r>
            <w:r>
              <w:rPr>
                <w:rFonts w:ascii="Times New Roman;Times;serif" w:hAnsi="Times New Roman;Times;serif"/>
                <w:caps w:val="false"/>
                <w:smallCaps w:val="false"/>
                <w:sz w:val="20"/>
              </w:rPr>
              <w:t>) required to continue development of fasedienol and itruvone. Although our supply of raw materials and API remains sufficiently operational, we may experience adverse effects of such events, which may result in a significant, material disruption to clinical development programs and our operations. Additionally, having substantially shifted to remote working arrangements, we also face a heightened risk of cybersecurity attacks or data security incidents and are more dependent on internet and telecommunications access and capabilities.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COVID-19 also created significant disruption and volatility in national, regional and local economies and markets. Uncertainties related to, and perceived or experienced negative effects from COVID-19, may cause significant volatility or decline in the trading price of our securities, capital markets conditions and general economic conditions. Our future results of operations and liquidity could be adversely impacted by supply chain disruptions and operational challenges faced by our CROs, CMOs, clinical sites involved in our clinical studies and other contractors. The COVID-19 pandemic, or another highly transmissible and pathogenic infectious disease,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been granted Fast Track designation from the FDA for development of fasedienol for the treatment of social anxiety disorder (SAD) and AV-101 for the adjunctive treatment of major depressive disorder (MDD) and for the treatment of neuropathic pain (NP). However, these designations may not actually lead to faster development or regulatory review or approval processes for fasedienol or AV-101. Further, there is no guarantee the FDA will grant Fast Track designation for fasedienol or AV-101 as a treatment option for other CNS indications or for any of our other product candidates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Fast Track designation is a program offered by the FDA, pursuant to certain mandates under the FDA Modernization Act of 1997,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In December 2019, the FDA granted Fast Track designation for development of fasedienol for the treatment of SAD. However, these FDA Fast Track designations may not lead to a faster development or regulatory review or approval process for fasedienol or AV-101 and the FDA may withdraw Fast Track designation of fasedienol or AV-101 if it believes that the respective designation is no longer supported by data from our clinical development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may apply for Fast Track designation for fasedienol, AV-101 and any of our other product candidates as a treatment option for other CNS indications. The FDA has broad discretion whether or not to grant a Fast Track designation, and even if we believe our product candidates may be eligible for this designation, we cannot be sure that the FDA will grant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Results of earlier clinical trials may not be predictive of the results of later-stage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results of preclinical studies and early clinical trials of our current and/or our other future product candidates, if any, including positive results, may not be predictive of the results of later-stage clinical trials. Each of our current or any other future product candidates in later stages of clinical development may fail to show the desired safety and efficacy results despite having progressed through nonclinical studies and initial clinical trials, as is the case for results from our PALISADE-1 clinical trial.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nonclinical and clinical data are often susceptible to varying interpretations and analyses, and many companies that believed their product candidates performed satisfactorily in nonclinical studies and clinical trials nonetheless failed to obtain FDA approval or approval from a similar regulatory authority in another country. With respect to our current product candidates, if our future nonclinical or clinical studies fail to produce positive results, the development timeline and regulatory approval and commercialization prospects for these candidates and, correspondingly, our business and financial prospects,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Any changes in planned timing or nature of clinical trials compared to completed clinical trials could impede our ability to meet our clinical development objectives for our product candidates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example, the timing of planned clinical trials may be affected by delays caused by the ongoing COVID-19 pandemic, including potential delays in recruitment and enrollment in our planned clinical and nonclinical studies or supply chain disruptions experienced by certain of our CMOs and/or CROs. In addition, clinical development of our products may be further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 In addition, health and safety precautions at clinical sites related to the COVID-19 pandemic could cause us to incur additional costs or delay initiation or completion of planned clinical and/or nonclinical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serious adverse events or other undesirable side effects or safety concerns attributable to our product candidates occur, the clinical development of our product candidates may be delayed or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Undesirable side effects or safety concerns caused by our product candidates could cause us or regulatory authorities to interrupt, delay or halt our clinical trials and could result in a more restrictive label or the delay or denial of regulatory approval. Although no treatment-related serious adverse events (</w:t>
      </w:r>
      <w:r>
        <w:rPr>
          <w:rFonts w:ascii="Times New Roman" w:hAnsi="Times New Roman"/>
          <w:i/>
          <w:caps w:val="false"/>
          <w:smallCaps w:val="false"/>
          <w:sz w:val="20"/>
        </w:rPr>
        <w:t>SAEs</w:t>
      </w:r>
      <w:r>
        <w:rPr>
          <w:rFonts w:ascii="Times New Roman" w:hAnsi="Times New Roman"/>
          <w:caps w:val="false"/>
          <w:smallCaps w:val="false"/>
          <w:sz w:val="20"/>
        </w:rPr>
        <w:t>) were reported in any clinical trials of any of our product candidates completed to date, if treatment-related SAEs or other undesirable side effects or safety concerns, or unexpected characteristics attributable to any of our product candidates are reported in any future clinical trials involving our drug candidates, they may adversely affect or delay our clinical development and commercialization of the effected product candidate,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withdraw, suspend, or limit approvals of such product and require us to take them off the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require the addition of labeling statements, specific warnings, a contraindication or field alerts to physicians and pharmacies;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require a medication guide outlining the risks of such side effects for distribution to patients, or that we implement a REMS drug safety program or REMS-like plan to ensure that the benefits of the product outweigh its risks;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required to change the way a product is distributed or administered, conduct additional clinical trials or change the labeling of a product;</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60"/>
        <w:gridCol w:w="170"/>
        <w:gridCol w:w="6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required to conduct additional post-marketing studies or surveillance;</w:t>
            </w:r>
          </w:p>
        </w:tc>
      </w:tr>
    </w:tbl>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60"/>
        <w:gridCol w:w="170"/>
        <w:gridCol w:w="5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subject to limitations on how we may promote the product;</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60"/>
        <w:gridCol w:w="170"/>
        <w:gridCol w:w="3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sales of the product may decrease significantly;</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60"/>
        <w:gridCol w:w="170"/>
        <w:gridCol w:w="9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subject to regulatory investigations, government enforcement actions, litigation or product liability claims; and</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60"/>
        <w:gridCol w:w="170"/>
        <w:gridCol w:w="5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products may become less competitive or our reputation may suffer.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of these events could prevent us or any collaborators from achieving or maintaining market acceptance of our product candidates or could substantially increase commercialization costs and expense, which in turn could delay or prevent us from generating significant revenue from the sale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Failures or delays in the commencement or completion of our planned nonclinical and clinical studies of our product candidates could result in increased costs to us and could delay, prevent or limit our ability to generate revenue and continue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will need to successfully complete at least two Phase 3 clinical trials and certain other clinical and nonclinical studies prior to our potential submission of an NDA for regulatory approval of fasedienol as an as needed, over time, treatment of anxiety in adults with SAD, or for any other anxiety disorder such as AjDA. For itruvone, at present, we believe we will need to complete at least one additional Phase 2B clinical study, two adequate and well-controlled Phase 3 clinical trials, as well as standard nonclinical and long-term clinical safety studies, as well as other smaller clinical studies prior to the potential submission of a NDA for regulatory approval of itruvone as a stand-alone rapid-onset treatment for MDD, or any other depression disorder. For AV-101, we believe we will need to complete our ongoing exploratory Phase 1B clinical study, two Phase 2 clinical studies, two adequate and well-controlled Phase 3 clinical trials, additional toxicology and other standard nonclinical and long-term clinical safety studies, as well as certain standard smaller clinical studies prior to the potential submission of an NDA for regulatory approval in any CNS indication. For PH15, PH80 and PH284, we are in the process of determining the work required to sucessfuly complete the clinical and nonclinical development of each of these product candidates. Successful completion of our nonclinical and clinical trials is a prerequisite to submitting an NDA and, consequently, the ultimate approval required before commercial marketing of any product candidate we may develop. We do not know whether any of our future-planned nonclinical and clinical trials of any of our product candidates will be completed on schedule, if at all, as the commencement and completion of nonclinical and clinical trials can be delayed or prevented for a number of reasons, including,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regulatory authority may deny permission to proceed with planned clinical trials or any other clinical trials we may initiate, or may place a planned or ongoing clinical trial on hold;</w:t>
            </w:r>
          </w:p>
        </w:tc>
      </w:tr>
    </w:tbl>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60"/>
        <w:gridCol w:w="170"/>
        <w:gridCol w:w="8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filing or receiving approvals from regulatory authorities of additional INDs that may be required;</w:t>
            </w:r>
          </w:p>
        </w:tc>
      </w:tr>
    </w:tbl>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60"/>
        <w:gridCol w:w="170"/>
        <w:gridCol w:w="53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negative or ambiguous results from nonclinical or clinical studies;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the manufacturing of, or insufficient supply of product candidates necessary to conduct nonclinical or clinical trials, including delays in the manufacturing of sufficient supply of drug substance or finished drug product;</w:t>
            </w:r>
          </w:p>
        </w:tc>
      </w:tr>
    </w:tbl>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170"/>
        <w:gridCol w:w="8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inability to manufacture or obtain clinical supplies of a product candidate meeting required quality standards;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difficulties obtaining Institutional Review Board (</w:t>
            </w:r>
            <w:r>
              <w:rPr>
                <w:rFonts w:ascii="Times New Roman;Times;serif" w:hAnsi="Times New Roman;Times;serif"/>
                <w:i/>
                <w:caps w:val="false"/>
                <w:smallCaps w:val="false"/>
                <w:sz w:val="20"/>
              </w:rPr>
              <w:t>IRB</w:t>
            </w:r>
            <w:r>
              <w:rPr>
                <w:rFonts w:ascii="Times New Roman;Times;serif" w:hAnsi="Times New Roman;Times;serif"/>
                <w:caps w:val="false"/>
                <w:smallCaps w:val="false"/>
                <w:sz w:val="20"/>
              </w:rPr>
              <w:t>) approval to conduct a clinical trial at a prospective clinical site or sites;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challenges in recruiting and enrolling patients to participate in clinical trials, including the proximity of patients to clinical trial sites;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eligibility criteria for a clinical trial, the nature of a clinical trial protocol, the availability of approved effective treatments for the relevant disease and competition from other clinical trial programs for similar indications;</w:t>
            </w:r>
          </w:p>
        </w:tc>
      </w:tr>
    </w:tbl>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60"/>
        <w:gridCol w:w="170"/>
        <w:gridCol w:w="77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severe or unexpected adverse drug-related side effects experienced by patients in a clinical trial;</w:t>
            </w:r>
          </w:p>
        </w:tc>
      </w:tr>
    </w:tbl>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60"/>
        <w:gridCol w:w="170"/>
        <w:gridCol w:w="4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validating any endpoints utilized in a clinical trial;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60"/>
        <w:gridCol w:w="170"/>
        <w:gridCol w:w="9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reports from nonclinical or clinical testing of other CNS indications or therapies that raise safety or efficacy concerns;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difficulties retaining patients who have enrolled in a clinical trial but may be prone to withdraw due to rigors of the clinical trial, lack of efficacy, side effects, personal issues or loss of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Times New Roman" w:hAnsi="Times New Roman"/>
          <w:i/>
          <w:caps w:val="false"/>
          <w:smallCaps w:val="false"/>
          <w:sz w:val="20"/>
        </w:rPr>
        <w:t>DSMB</w:t>
      </w:r>
      <w:r>
        <w:rPr>
          <w:rFonts w:ascii="Times New Roman" w:hAnsi="Times New Roman"/>
          <w:caps w:val="false"/>
          <w:smallCaps w:val="false"/>
          <w:sz w:val="20"/>
        </w:rPr>
        <w:t>), overseeing the clinical trial at issue or other regulatory authorities due to a number of factors, including, among others:</w:t>
      </w:r>
    </w:p>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60"/>
        <w:gridCol w:w="170"/>
        <w:gridCol w:w="8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conduct the clinical trial in accordance with regulatory requirements or approved clinical protocols;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inspection of the clinical trial operations or trial sites by the regulatory authority that reveals deficiencies or violations that require us to undertake corrective action, including the imposition of a clinical hold;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unforeseen safety issues, including any that could be identified in nonclinical carcinogenicity studies, adverse side effects or lack of effectiveness;</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60"/>
        <w:gridCol w:w="170"/>
        <w:gridCol w:w="4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government regulations or administrative actions;</w:t>
            </w:r>
          </w:p>
        </w:tc>
      </w:tr>
    </w:tbl>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60"/>
        <w:gridCol w:w="170"/>
        <w:gridCol w:w="65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problems with clinical supply materials that may lead to regulatory actions; and </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60"/>
        <w:gridCol w:w="170"/>
        <w:gridCol w:w="5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lack of adequate funding to continue nonclinical or clinical studies.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Changes in regulatory requirements, regulatory guidance or unanticipated events during our nonclinical studies and clinical trials of our CNS product candidates may occur, which may result in changes to nonclinical studies and clinical trial protocols or additional nonclinical studies and clinical trial requirements, which could result in increased costs to us and could delay our development timeline.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regulatory requirements, guidance or unanticipated events during our nonclinical studies and clinical trials of any of our CNS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our CNS product candidates may be harmed and our ability to generate product revenue will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rely, and expect that we will continue to rely, on third parties to conduct our nonclinical and clinical trials of our current CNS product candidates and will continue to do so for any other future CNS product candidates. If these third parties do not successfully carry out their contractual duties and/or meet expected deadlines, completion of our nonclinical or clinical trials and development of our current and/or future CNS product candidates may be delayed and we may not be able to obtain regulatory approval for our current or future CNS product candidates and our business could be substantially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strategic design, we do not have the extensive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CROs and other third parties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 parties for efficient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and inefficiencies in coordinating activities. CROs and other outside parties may:</w:t>
      </w:r>
    </w:p>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60"/>
        <w:gridCol w:w="170"/>
        <w:gridCol w:w="9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experience disruptions to their operations, such as staff attrition, reduced staffing and supply chain disruptions;</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60"/>
        <w:gridCol w:w="170"/>
        <w:gridCol w:w="8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have staffing difficulties and/or undertake obligations beyond their anticipated capabilities and resources;</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0"/>
        <w:gridCol w:w="170"/>
        <w:gridCol w:w="3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 to comply with contractual obligations;</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60"/>
        <w:gridCol w:w="170"/>
        <w:gridCol w:w="3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experience regulatory compliance issues;</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60"/>
        <w:gridCol w:w="170"/>
        <w:gridCol w:w="5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undergo changes in priorities or become financially distressed; or</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0"/>
        <w:gridCol w:w="170"/>
        <w:gridCol w:w="6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form relationships with other entities, some of which may be our competitors.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or independent investigators does not relieve us of our regulatory responsibilities. We and our CROs, and any investigator in an investigator-sponsored study are required to comply with regulations and guidelines, including current Good Clinical Practice regulations (</w:t>
      </w:r>
      <w:r>
        <w:rPr>
          <w:rFonts w:ascii="Times New Roman" w:hAnsi="Times New Roman"/>
          <w:i/>
          <w:caps w:val="false"/>
          <w:smallCaps w:val="false"/>
          <w:sz w:val="20"/>
        </w:rPr>
        <w:t>cGCPs</w:t>
      </w:r>
      <w:r>
        <w:rPr>
          <w:rFonts w:ascii="Times New Roman" w:hAnsi="Times New Roman"/>
          <w:caps w:val="false"/>
          <w:smallCaps w:val="false"/>
          <w:sz w:val="20"/>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investigator-sponsored clinical studies, we cannot control the amount and timing of resources these third 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our relationships with one or more of our third-party collaborators terminates, we may not be able to enter into arrangements with alternative third-party collaborators.  If such third-party collaborators, including our CROs,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rely completely on third parties to manufacture, formulate, analyze, hold and distribute supplies of our CNS product candidates for all nonclinical and clinical studies, and we intend to continue to rely on third parties to produce all nonclinical, clinical and commercial supplies of our CNS product candidates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strategic design, we do not currently have, nor do we plan to acquire or develop, extensive internal infrastructure or technical capabilities to manufacture, formulate, analyze, hold or distribute supplies of our product candidates, for use in nonclinical and clinical studies or commercial scale.  As a result, with respect to all of our product candidates, we rely, and will continue to rely, completely on CMOs to manufacture API and formulate, hold and distribute final drug product. The facilities used by our CMOs to manufacture API and formulate final drug product for any of pir product candidates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do not directly control the manufacturing process, or the supply or quality of materials used in the manufacturing, analysis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due to supply chain disruptions, or successfully manufacture our product candidates, including API and finished drug product, that conforms to our specifications and the strict regulatory requirements of the FDA or applicable foreign regulatory agencies, production of sufficient supplies of our product candidates, including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any of our product candidates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do not yet have long-term supply agreements in place with our CMOs and each batch manufactured of our product candidates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fasedienol, itruvone, PH15, PH80 and PH284, and the current and projected supply of API and finished drug product for each of our product candidates will be adequate to support our planned nonclinical and clinical studies, no assurance can be given that unanticipated supply shortages or CMO-related delays in the manufacture and formulation of API and/or finished drug product for any or all of our product candidates will not occur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fasedienol, itruvone, PH15, PH80 and PH284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Times New Roman" w:hAnsi="Times New Roman"/>
          <w:i/>
          <w:caps w:val="false"/>
          <w:smallCaps w:val="false"/>
          <w:sz w:val="20"/>
        </w:rPr>
        <w:t>QSR</w:t>
      </w:r>
      <w:r>
        <w:rPr>
          <w:rFonts w:ascii="Times New Roman" w:hAnsi="Times New Roman"/>
          <w:caps w:val="false"/>
          <w:smallCaps w:val="false"/>
          <w:sz w:val="20"/>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and comparable foreign regulatory authorities pursuant to inspections that will or may be conducted after we submit our NDA.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Even if we receive marketing approval for any of our CNS product candidate in the U.S., we may never receive regulatory approval to market the same CNS product candidate outside of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market any of our CNS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any of our CNS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Before we can commercialize our product candidates in the U.S. or any market outside the U.S., the U.S. Drug Enforcement Administration (</w:t>
      </w:r>
      <w:r>
        <w:rPr>
          <w:rFonts w:ascii="Times New Roman" w:hAnsi="Times New Roman"/>
          <w:i/>
          <w:caps w:val="false"/>
          <w:smallCaps w:val="false"/>
          <w:sz w:val="20"/>
        </w:rPr>
        <w:t>DEA</w:t>
      </w:r>
      <w:r>
        <w:rPr>
          <w:rFonts w:ascii="Times New Roman" w:hAnsi="Times New Roman"/>
          <w:caps w:val="false"/>
          <w:smallCaps w:val="false"/>
          <w:sz w:val="20"/>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will not be regulated as controlled substances.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any of our product candidates are regulated as controlled substances, depending on the DEA controlled substance schedule in which the product candidates are placed or that of its foreign counterpart,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are unable to establish broad sales and marketing capabilities on our own or enter into agreements with third parties to market and sell our CNS product candidates, we may not be able to generate any revenue from product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currently have limited internal resources for the sale, marketing and distribution of pharmaceutical products, and we may not be able to create broad internal capabilities in the foreseeable future. Therefore, to market our CNS product candidates, if approved by the FDA or any other regulatory body, we must establish broad internal capabilities related to sales, marketing, managerial and other non-technical capabilities relating to the commercialization of our product candidates or make contractual arrangements with third parties to perform such services, prior to market approval. If we are unable to establish adequate internal sales, marketing and distribution capabilities, or if we are unable to do so contractually on commercially reasonable terms, our business, results of operations, financial condition and prospects will be materially adversely affected. Moreover, creating broad sales and marketing capabilities will require substantial capital, which we may not be able to obtain.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Even if we receive marketing approval for our CNS product candidates, our product candidates may not achieve broad market acceptance, which would limit the revenue that we generate from their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commercial success of our CNS product candidates, if approved by the FDA or other regulatory authorities, will depend upon the awareness and acceptance of our product candidates among the medical community, including physicians, patients and healthcare payers. Market acceptance of our product candidates, if approved, will depend on a number of factors, including,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limitations or warnings contained in the labeling approved for our product candidates by the FDA or other applicable regulatory authorities;</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clinical indications for which our product candidates are approved;</w:t>
            </w:r>
          </w:p>
        </w:tc>
      </w:tr>
    </w:tbl>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60"/>
        <w:gridCol w:w="170"/>
        <w:gridCol w:w="9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availability of alternative treatments already approved or expected to be commercially launched in the near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and perceived advantages of our product candidates over current treatment options or alternative treatments, including future alternative treatments;</w:t>
            </w:r>
          </w:p>
        </w:tc>
      </w:tr>
    </w:tbl>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60"/>
        <w:gridCol w:w="170"/>
        <w:gridCol w:w="9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willingness of the target patient population to try new therapies and of physicians to prescribe these therapies;</w:t>
            </w:r>
          </w:p>
        </w:tc>
      </w:tr>
    </w:tbl>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60"/>
        <w:gridCol w:w="170"/>
        <w:gridCol w:w="8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strength of marketing and distribution support and timing of market introduction of competitive products;</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60"/>
        <w:gridCol w:w="170"/>
        <w:gridCol w:w="5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publicity concerning our products or competing products and treatments;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2710" w:type="dxa"/>
        <w:jc w:val="left"/>
        <w:tblInd w:w="0" w:type="dxa"/>
        <w:tblLayout w:type="fixed"/>
        <w:tblCellMar>
          <w:top w:w="0" w:type="dxa"/>
          <w:left w:w="0" w:type="dxa"/>
          <w:bottom w:w="0" w:type="dxa"/>
          <w:right w:w="0" w:type="dxa"/>
        </w:tblCellMar>
      </w:tblPr>
      <w:tblGrid>
        <w:gridCol w:w="60"/>
        <w:gridCol w:w="170"/>
        <w:gridCol w:w="2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pricing and cost effectiveness;</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60"/>
        <w:gridCol w:w="170"/>
        <w:gridCol w:w="4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effectiveness of our sales and marketing strategies;</w:t>
            </w:r>
          </w:p>
        </w:tc>
      </w:tr>
    </w:tbl>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60"/>
        <w:gridCol w:w="170"/>
        <w:gridCol w:w="6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increase awareness of our product candidates through marketing efforts;</w:t>
            </w:r>
          </w:p>
        </w:tc>
      </w:tr>
    </w:tbl>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60"/>
        <w:gridCol w:w="170"/>
        <w:gridCol w:w="58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sufficient third-party coverage or reimbursement; or</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willingness of patients to pay out-of-pocket in the absence of third-party coverage.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our CNS product candidates are approved but do not achieve an adequate level of acceptance by patients, physicians and payers, we may not generate sufficient revenue from our product candidates to become or remain profitable. Before granting reimbursement approval, healthcare payers may require us to demonstrate that our product candidates, in addition to treating these target indications, also provide incremental health benefits to patients. Our efforts to educate the medical community and third-party payers about the benefits of our product candidates may require significant resources and may never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CNS product candidates may cause undesirable safety concerns and side effects that could delay or prevent their regulatory approval, limit the commercial profile of an approved label, or result in significant negative consequences following marketing approval,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our product candidates are determined to cause undesirable side effects and safety concerns, we or regulatory authorities may interrupt, delay or halt nonclinical studies and clinical trials and could result in a more restrictive label or the delay or denial of regulatory approval by regulatory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60"/>
        <w:gridCol w:w="170"/>
        <w:gridCol w:w="70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withdraw or limit their approval of such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require the addition of labeling statements, such as a “black box” warning or a contraindication;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required to change the way such product candidates are distributed or administered, conduct additional clinical trials or change the labeling of the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0"/>
        <w:gridCol w:w="170"/>
        <w:gridCol w:w="6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subject to regulatory investigations and government enforcement actions;</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170"/>
        <w:gridCol w:w="5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decide to remove such product candidates from the marketplace;</w:t>
            </w:r>
          </w:p>
        </w:tc>
      </w:tr>
    </w:tbl>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60"/>
        <w:gridCol w:w="170"/>
        <w:gridCol w:w="92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could be sued and held liable for injury caused to individuals exposed to or taking our product candidates; and</w:t>
            </w:r>
          </w:p>
        </w:tc>
      </w:tr>
    </w:tbl>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60"/>
        <w:gridCol w:w="170"/>
        <w:gridCol w:w="2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reputation may suffer.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Even if we receive marketing approval for our CNS product candidates, we may still face future development and regulatory difficulties.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Even if we receive marketing approval for our CNS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drug safety program. Any REMS or comparable drug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60"/>
        <w:gridCol w:w="170"/>
        <w:gridCol w:w="3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issue warning letters or untitled letters;</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60"/>
        <w:gridCol w:w="170"/>
        <w:gridCol w:w="6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seek an injunction or impose civil or criminal penalties or monetary fines;</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60"/>
        <w:gridCol w:w="170"/>
        <w:gridCol w:w="3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suspend or withdraw marketing approval;</w:t>
            </w:r>
          </w:p>
        </w:tc>
      </w:tr>
    </w:tbl>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60"/>
        <w:gridCol w:w="170"/>
        <w:gridCol w:w="2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suspend any ongoing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0"/>
        <w:gridCol w:w="170"/>
        <w:gridCol w:w="7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refuse to approve pending applications or supplements to applications submitted by us;</w:t>
            </w:r>
          </w:p>
        </w:tc>
      </w:tr>
    </w:tbl>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60"/>
        <w:gridCol w:w="170"/>
        <w:gridCol w:w="80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suspend or impose restrictions on operations, including costly new manufacturing requirements; or</w:t>
            </w:r>
          </w:p>
        </w:tc>
      </w:tr>
    </w:tbl>
    <w:p>
      <w:pPr>
        <w:pStyle w:val="TextBody"/>
        <w:bidi w:val="0"/>
        <w:spacing w:before="0" w:after="0"/>
        <w:ind w:left="0" w:right="0" w:hanging="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60"/>
        <w:gridCol w:w="170"/>
        <w:gridCol w:w="9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seize or detain products, refuse to permit the import or export of products, or require that we initiate a product recall.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Competing therapies could emerge adversely affecting our opportunity to generate revenue from the sale of our CNS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Currently, management is unaware of any FDA-approved rapid-onset, treatment of anxiety in adults with SAD having the same mechanism of pharmacological action and safety profile as fasedienol. Also, management is currently unaware of any FDA-approved oral treatment for MDD having the same mechanism of pharmacological action and safety profile as our intranasally-administered itruvone or our orally administered AV-101 in combination with probenecid. However, new antidepressant products with other mechanisms of pharmacological action or products approved for other indications, including the FDA-approved anesthetic ketamine hydrochloride administered intravenously, are being or may be used for treatment of MDD, as well as other CNS indications for which itruvone or AV-101 in combination with probenecid may have therapeutic potential. Additionally, other non-pharmaceutical treatment options, such psychotherapy and electroconvulsive therapy (</w:t>
      </w:r>
      <w:r>
        <w:rPr>
          <w:rFonts w:ascii="Times New Roman" w:hAnsi="Times New Roman"/>
          <w:i/>
          <w:caps w:val="false"/>
          <w:smallCaps w:val="false"/>
          <w:sz w:val="20"/>
        </w:rPr>
        <w:t>ECT</w:t>
      </w:r>
      <w:r>
        <w:rPr>
          <w:rFonts w:ascii="Times New Roman" w:hAnsi="Times New Roman"/>
          <w:caps w:val="false"/>
          <w:smallCaps w:val="false"/>
          <w:sz w:val="20"/>
        </w:rPr>
        <w:t>) are used before or instead of standard antidepressant medications to treat patients with MDD.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respect to fasedienol and current treatment options for SAD in the U.S., our competition may include, but is not limited to, current generic oral antidepressants approved by the FDA for treatment of SAD, as well as certain classes of drugs prescribed on an off-label basis for treatment of SAD, including benzodiazepines such as alprazolam, and beta blockers such as propranolol, and certain investigational oral drug candidates in Phase 2 development. In the field of new generation, oral treatments for adult patients with MDD, we believe our principal competitors may be Axsome, Alkermes, Relmada and Sage. Additional potential competitors may include, but not be limited to, academic and private commercial clinics providing intravenous ketamine therapy on an off-label basis and Janssen’s intranasally-administered esketamine. We are still assessing our competition for PH80 for the treatment of hot flashes due to menopause and for migraine headaches, PH15 to improve cognitive impairment and PH284 for the loss of appetite.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Many of our potential competitors, alone or with their collaborators, have substantially greater financial, technical and human resources than we do and significantly greater experience in the discovery and development, obtaining FDA and other regulatory approvals, and the commercialization of investigational product candidates.  With respect to fasedienol,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and two oral drug candidates in Phase 2 development that act on the alpha-7 nicotinic acetylcholine receptor, one in development by Bionomics and the other in development by Vanda. With respect to itruvone and AV-101 in combination with probenecid for treatment of depression disorders, including MDD, and AV-101 in combination with probenecid for treatment of certain neurological disorders, including levodopa-induced dyskinesia associated with therapy for Parkinson’s disease, neuropathic pain, and epilepsy, we believe a range of pharmaceutical and biotechnology companies have programs to develop new drug candidates and/or medical device technologies for such indications, including, but not limited to, Abbott Laboratories, Acadia, Allergan, Alkermes, Aptynix, AstraZeneca, Axsome, Eli Lilly, GlaxoSmithKline, IntraCellular, Janssen, Lundbeck, Merck, Neurocrine, Novartis, Ono, Otsuka, Pfizer, Relmada, Roche, Sage, Sumitomo Dainippon, Takeda and Xenon,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seek to establish collaborations, and, if we are not able to establish them on commercially reasonable terms, we may have to alter our development and commercialization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drug development programs and the potential commercialization of our investigational product candidates will require substantial additional cash to fund expenses. We may decide to collaborate with pharmaceutical and biotechnology companies for the development and potential commercialization of those product candidates, such as the AffaMed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derive revenue from research and development fees, license fees, milestone payments and royalties under any collaborative arrangement into which we enter, including the AffaMed Agreement.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successful in our efforts to identify or discover additional CNS product candidates, or 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success of our business depends primarily upon our ability to identify, develop and commercialize CNS product candidates with therapeutic and commercial potential. We may fail to pursue additional development opportunities for our current CNS product candidates or identify additional CNS product candidates for development and commercialization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strategically focus on a limited number of research and development programs and product candidates and are currently focused primarily on development of fasedienol and itruvone. As a result, we may forego or delay pursuit of opportunities with other product candidates or for other potential CNS-related indications for fasedienol and/or itruvone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subject to healthcare laws and regulations, which could expose us to criminal sanctions, civil penalties, contractual damages, reputational harm and diminished profits and future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do not currently have any products on the market, once we begin commercializing our CNS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payers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false statements statute prohibits knowingly and willfully falsifying, concealing or covering up a material fact or making any materially false statement in connection with the delivery of or payment for healthcare benefits, items or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Analogous state laws and regulations, such as state anti-kickback and false claims laws and transparency laws, may apply to sales or marketing arrangements and claims involving healthcare items or services reimbursed by non-governmental third-party payers, including private insurers, and some state laws require pharmaceutical companies to comply with the pharmaceutical industry’s voluntary compliance guidelines and the relevant compliance.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Guidance promulgated by the federal government in addition to requiring drug manufacturers to report information related to payments to physicians and other healthcare providers or marketing expenditures and drug pricing.</w:t>
            </w:r>
          </w:p>
        </w:tc>
      </w:tr>
    </w:tbl>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60"/>
        <w:gridCol w:w="170"/>
        <w:gridCol w:w="89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Corrupt Practices Act and its application to marketing and selling practices as well as to clinical trials.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FDA and other regulatory agencies actively enforce the laws and regulations prohibiting the promotion of off-label uses. If we are found to have improperly promoted off-label uses, we may become subject to significant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and other regulatory agencies strictly regulate the promotional claims that may be made about prescription products, if approved. In particular, a product may not be promoted for uses that are not approved by the FDA or such other regulatory agencies as reflected in the product’s approved labeling. For example, if we receive FDA marketing approval for fasedienol as an needed treatment of anxiety in adults with SAD, physicians may prescribe fasedienol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Even if approved, reimbursement policies could limit our ability to sell our CNS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Market acceptance and sales of our product candidates will depend heavily on reimbursement policies and may be affected by healthcare reform measures. Government authorities and third-party payers,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payers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seek FDA Orphan Drug designation for one or more of our CNS product candidates. Even if we have obtained FDA Orphan Drug designation for a product candidate, there may be limits to the regulatory exclusivity afforded by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in the future, choose to seek FDA Orphan Drug designation for one or more of our current or future CNS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future growth may depend, in part, on our ability to penetrate foreign markets, where we would be subject to additional regulatory burdens and other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profitability may depend, in part, on our ability to commercialize our product candidates in foreign markets for which we may rely on collaboration with third parties such as our collaboration with AffaMed to develop and commercialize fasedienol in key Asian markets. If we commercialize our product candidates in foreign markets, we would be subject to additional risks and uncertainties, including:</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60"/>
        <w:gridCol w:w="170"/>
        <w:gridCol w:w="75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customers’ ability to obtain reimbursement for our product candidates in foreign markets;</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60"/>
        <w:gridCol w:w="170"/>
        <w:gridCol w:w="75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directly control commercial activities because we are relying on third parties;</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60"/>
        <w:gridCol w:w="170"/>
        <w:gridCol w:w="9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burden of complying with complex and changing foreign regulatory, tax, accounting and legal requirements;</w:t>
            </w:r>
          </w:p>
        </w:tc>
      </w:tr>
    </w:tbl>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60"/>
        <w:gridCol w:w="170"/>
        <w:gridCol w:w="8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different medical practices and customs in foreign countries affecting acceptance in the marketplace;</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60"/>
        <w:gridCol w:w="170"/>
        <w:gridCol w:w="32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import or export licensing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60"/>
        <w:gridCol w:w="170"/>
        <w:gridCol w:w="3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longer accounts receivable collection times;</w:t>
            </w:r>
          </w:p>
        </w:tc>
      </w:tr>
    </w:tbl>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0"/>
        <w:gridCol w:w="170"/>
        <w:gridCol w:w="25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longer lead times for shipping;</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language barriers for technical training;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reduced protection of intellectual property rights, different standards of patentability and different availability of prior art in some foreign countries as compared with the U.S.;</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60"/>
        <w:gridCol w:w="170"/>
        <w:gridCol w:w="7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existence of additional potentially relevant third-party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60"/>
        <w:gridCol w:w="170"/>
        <w:gridCol w:w="3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rate fluctuations; and</w:t>
            </w:r>
          </w:p>
        </w:tc>
      </w:tr>
    </w:tbl>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60"/>
        <w:gridCol w:w="170"/>
        <w:gridCol w:w="83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interpretation of contractual provisions governed by foreign laws in the event of a contract dispute.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Foreign sales of our product candidates could also be adversely affected by the imposition of governmental controls, political and economic instability, trade restrictions and changes in tariffs.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incurred significant net losses in each fiscal year since our inception in 1998, including net losses of approximately $59.2 million and $47.8 million during our fiscal years ended March 31, 2023 and 2022, respectively. At March 31, 2023, we had an accumulated deficit of approximately $326.9 million and our auditors have included a qualification to their opinion on our Financial Statements at March 31, 2023 as a result of the uncertainty of our ability to continue as a going concern.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 to significantly increase in connection with planned nonclinical and clinical studies, and out-sourced manufacturing, of our product candidates.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become profitable depends upon our ability to generate recurring revenues. Through March 31, 2023, we have generated approximately $22.7 million in revenues, consisting of receipts of non-dilutive cash payments from collaborators, sublicense revenue, including the $5.0 million cash payment received under the AffaMed Agreement during the quarter ended September 30, 2020, the majority of which remains recorded as deferred revenue at March 31, 2023,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our current and/or future CNS product candidate, or we enter into one or more development and commercialization agreements with respect our current CNS product candidates or one or more other future CNS product candidates. Our ability to generate recurring revenue depends on a number of factors, including, but not limited to, our ability to:</w:t>
      </w:r>
    </w:p>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60"/>
        <w:gridCol w:w="170"/>
        <w:gridCol w:w="8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initiate and successfully complete nonclinical and clinical trials that meet their prescribed endpoints;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initiate and successfully complete all safety studies required to obtain U.S. and foreign marketing approval for our CNS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timely complete and compose successful regulatory submissions such as NDAs or comparable documents for both the U.S. and foreign jurisdictions;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commercialize our CNS product candidates, if approved, by developing a sales force and/or entering into collaborations with third parties for sales and marketing capabilities; and</w:t>
            </w:r>
          </w:p>
        </w:tc>
      </w:tr>
    </w:tbl>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60"/>
        <w:gridCol w:w="170"/>
        <w:gridCol w:w="9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achieve market acceptance of our CNS product candidates in the medical community and with third-party payers.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Current volatile and/or recessionary economic conditions in the U.S. or abroad could adversely affect our business or our access to capital markets in a material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date, our principal sources of capital used to fund our development programs and other operations have been the net proceeds we received from sales of equity securities. We have and will continue to use significant capital for the development of our product candidates, and, as such, we expect to seek additional capital from future issuance(s) of our securities, which may consist of issuances of equity and/or debt securities, to fund our planned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Accordingly, our results of operations and the implementation of both our short-term and long-term business plan could be adversely affected by general conditions in the global economy, including conditions that are outside of our control. A prolonged economic downturn could result in a variety of risks to our business and may have a material adverse effect on us, including limiting or restricting our ability to access capital on favorable terms, or at all, which would limit our ability to obtain adequate financing to maintain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previously identified material weaknesses in our internal control over financial reporting, and we may identify future material weaknesses in our internal control over financial reporting. If we are unable to remediate these material weaknesses, or if we fail to establish and maintain adequate internal control over financial reporting, we may not be able to produce timely and accurate financial statements, and we may conclude that our internal control over financial reporting is not effective, which may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previously identified material weaknesses in our internal control over financial reporting that, as of March 31, 2022, were remediated. A material weakness is a deficiency, or combination of deficiencies, in internal control over financial reporting, such that there is a reasonable possibility that a material misstatement of our annual or interim condensed consolidated financial statements will not be prevented or detected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have determined that the previously identified material weaknesses have been remediated as of March 31, 2022, we cannot assure you that we will not identify other material weaknesses in the future, which could negatively impact our results of operations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Ensuring that we have adequate internal control over financial reporting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Implementing any future changes to our internal control over financial reporting may entail substantial costs to hire additional personnel, modify our existing processes and will take significant time to fully implement. These changes may not, however, be effective in establishing and maintaining the adequacy of our internal control, and any failure to maintain that adequacy, or consequent inability to produce accurate financial statements on a timely basis, could increase our operating costs and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failure to maintain or implement required effective internal control over financial reporting, or any difficulties we encounter in their implementation, could result in additional material weaknesses, cause us to fail to meet our reporting obligations or result in material misstatements in our financial statements. Furthermore, if we cannot provide reliable financial reports or prevent material misstatements due to fraud or error, our business and results of operations could be harmed, and investors could lose confidence in our reported financial information. We also could become subject to investigations by The Nasdaq Stock Market, the Securities and Exchange Commission or other regulatory authorities, which could require additional financial and management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Raising additional capital is likely to cause substantial dilution to our existing stockholders, may restrict our operations or require us to relinquish rights, and may require us to seek stockholder approval to authorize additional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pursue private and public equity offerings, debt financings, and strategic acquisitions, collaborations and licensing arrangements in the future. To the extent that we raise additional capital through the sale of common stock or securities convertible or exchangeable into common stock, or to the extent, for strategic purposes or in the context of strategic acquisitions, we issue shares of common stock, our current stockholders’ ownership interest in our company will be substantially diluted. In addition, the terms of any such securities may include liquidation or other preferences that materially adversely affect the rights of our stockholders. Debt financing, if available, would increase our fixed payment obligations and would involve agreements that include covenants limiting or restricting our ability to take specific actions, such as incurring additional debt, making capital expenditures or declaring dividends. If we raise additional funds through collaboration, strategic acquisitions, partnerships and licensing arrangements with third parties, we may have to relinquish valuable rights to our product candidates, our intellectual property, future revenue streams or grant licenses on terms that are not 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required to raise additional financing by issuing new securities with terms or rights superior to those of our existing securityholders, which could adversely affect the market price of shares of our common stock 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will require substantial additional financing to fund future operations, including research and development activities for our CNS product candidates, assuming our clinical development programs are successful and we receive necessary regulatory approvals from the FDA.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ability to use net operating losses to offset future taxable income is subject to certain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2023, we had federal and state net operating loss carryforwards of approximately $191.9 million and $65.2 million, respectively, which have begun to expire in fiscal 2022 and will continue to expire in future periods.  Under Section 382 of the Internal Revenue Code of 1986, as amended (the </w:t>
      </w:r>
      <w:r>
        <w:rPr>
          <w:rFonts w:ascii="Times New Roman" w:hAnsi="Times New Roman"/>
          <w:i/>
          <w:caps w:val="false"/>
          <w:smallCaps w:val="false"/>
          <w:sz w:val="20"/>
        </w:rPr>
        <w:t>Code</w:t>
      </w:r>
      <w:r>
        <w:rPr>
          <w:rFonts w:ascii="Times New Roman" w:hAnsi="Times New Roman"/>
          <w:caps w:val="false"/>
          <w:smallCaps w:val="false"/>
          <w:sz w:val="20"/>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prior or future offerings of our debt and/or equity securities, private placements, sales of our common stock by our existing stockholders or additional sales of our common stock by us could have a material adverse effect on our results of operations in future years. We have not yet completed a study to assess whether an ownership change for purposes of Section 382 has occurred, or whether there have been multiple ownership changes since our inception, due to the significant costs and complexities associated with such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 Company-Related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fail to retain and attract senior management and key scientific personnel, we may be unable to successfully produce and develop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success depends in part on our continued ability to attract, retain and motivate highly qualified management and technical personnel across multiple key functions, including, but not limited to clinical operations, finance, legal, human resources, information technology, CMC and quality assurance, regulatory affairs and medical affairs. We are highly dependent upon our Chief Executive Officer and Chief Financial Officer, as well as our other senior management personnel, advisors, consultants and scientific and clinical collaborators. As of the date of this Report, we have 33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have not historically experienced unique difficulties attracting and retaining qualified employees, we could experience such problems following our change in business plans as a result of the negative results of our PALISADE-1 clinical trial or in the future. As of the date of this Report, a total of nine employees have voluntarily resigned from their positions within the Company since the PALISADE-1 outcome was reported, including our Chief Commercial Officer and Chief Medical Officer. Work conducted by these individuals that furthers our current business plan has assumed by other employees and, when appropriate, based on clinical, regulatory and financial considerations, may be resumed by personnel hired in the future. However, competition for qualified personnel in the pharmaceuticals field is intense, and we may not be able to attract and retain quality personnel on acceptable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rely on a broad and diverse range of strategic consultants and advisors, including manufacturing, nonclinical and clinical development and regulatory advisors and CMOs and CROs,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we seek to advance development of our product candidates, we will need to further expand our research and development capabilities and our contractual arrangements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financial performance and our ability to develop our product candidates and to compete effectively will depend, in part, on our ability to manage any future growth effectively. To that end, we must be able to manage our research, development and regulatory efforts effectively, and hire, train and integrate additional management, administrative, research and development, regulatory and other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product liability lawsuits are brought against us, we may incur substantial liabilities and may be required to limit commercialization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any of the product candidates we or our collaborators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60"/>
        <w:gridCol w:w="170"/>
        <w:gridCol w:w="51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decreased demand for product candidates that we may develop;</w:t>
            </w:r>
          </w:p>
        </w:tc>
      </w:tr>
    </w:tbl>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
        <w:gridCol w:w="170"/>
        <w:gridCol w:w="1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injury to our reputation;</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withdrawal of clinical trial participants;</w:t>
            </w:r>
          </w:p>
        </w:tc>
      </w:tr>
    </w:tbl>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60"/>
        <w:gridCol w:w="170"/>
        <w:gridCol w:w="3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costs to defend the related litigation;</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60"/>
        <w:gridCol w:w="170"/>
        <w:gridCol w:w="42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diversion of management's time and our resources;</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60"/>
        <w:gridCol w:w="170"/>
        <w:gridCol w:w="50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substantial monetary awards to trial participants or patients; or</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170"/>
        <w:gridCol w:w="6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recalls, withdrawals or labeling, marketing or promotional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inability to obtain and retain sufficient product liability insurance at an acceptable cost to protect against potential product liability claims could prevent or inhibit the commercialization of products we develop. Although we currently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Unfavorable global economic or political conditions could adversely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economic downturn triggered by the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or the third parties upon whom we depend may be adversely affected by natural disasters and our business continuity and disaster recovery plans may not adequately protect us from a serious disaster.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business and operations would suffer in the event of cybersecurity</w:t>
      </w:r>
      <w:r>
        <w:rPr>
          <w:rFonts w:ascii="Times New Roman" w:hAnsi="Times New Roman"/>
          <w:caps w:val="false"/>
          <w:smallCaps w:val="false"/>
          <w:sz w:val="20"/>
        </w:rPr>
        <w:t> </w:t>
      </w:r>
      <w:r>
        <w:rPr>
          <w:rFonts w:ascii="Times New Roman" w:hAnsi="Times New Roman"/>
          <w:b/>
          <w:i/>
          <w:caps w:val="false"/>
          <w:smallCaps w:val="false"/>
          <w:sz w:val="20"/>
        </w:rPr>
        <w:t>or other system failures.</w:t>
      </w:r>
      <w:r>
        <w:rPr>
          <w:rFonts w:ascii="Times New Roman" w:hAnsi="Times New Roman"/>
          <w:caps w:val="false"/>
          <w:smallCaps w:val="false"/>
          <w:sz w:val="20"/>
        </w:rPr>
        <w:t xml:space="preserve">  </w:t>
      </w:r>
      <w:r>
        <w:rPr>
          <w:rFonts w:ascii="Times New Roman" w:hAnsi="Times New Roman"/>
          <w:b/>
          <w:i/>
          <w:caps w:val="false"/>
          <w:smallCaps w:val="false"/>
          <w:sz w:val="20"/>
        </w:rPr>
        <w:t>Our business depends on complex information systems, and any failure to successfully maintain these systems or implement new systems to handle our changing needs could result in a material disruption of our product candidates</w:t>
      </w:r>
      <w:r>
        <w:rPr>
          <w:rFonts w:ascii="Times New Roman" w:hAnsi="Times New Roman"/>
          <w:caps w:val="false"/>
          <w:smallCaps w:val="false"/>
          <w:sz w:val="20"/>
        </w:rPr>
        <w:t xml:space="preserve">’ </w:t>
      </w:r>
      <w:r>
        <w:rPr>
          <w:rFonts w:ascii="Times New Roman" w:hAnsi="Times New Roman"/>
          <w:b/>
          <w:i/>
          <w:caps w:val="false"/>
          <w:smallCaps w:val="false"/>
          <w:sz w:val="20"/>
        </w:rPr>
        <w:t>development programs or otherwise materially harm our operations.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Additionally, having shifted substantially to remote working arrangements, we also face a heightened risk of cybersecurity attacks or data security incidents and are more dependent on internet and telecommunications access and capabilities.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have not experienced any such system failure, accident, or security breach to date, if such an event were to occur and cause interruptions in our operations, it could result in a material disruption of our programs. For example, the loss of clinical trial data for fasedienol, itruvone, AV-101 or other product candidates could result in substantial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Remote working arrangements could significantly increase the Company</w:t>
      </w:r>
      <w:r>
        <w:rPr>
          <w:rFonts w:ascii="Times New Roman" w:hAnsi="Times New Roman"/>
          <w:caps w:val="false"/>
          <w:smallCaps w:val="false"/>
          <w:sz w:val="20"/>
        </w:rPr>
        <w:t>’</w:t>
      </w:r>
      <w:r>
        <w:rPr>
          <w:rFonts w:ascii="Times New Roman" w:hAnsi="Times New Roman"/>
          <w:b/>
          <w:i/>
          <w:caps w:val="false"/>
          <w:smallCaps w:val="false"/>
          <w:sz w:val="20"/>
        </w:rPr>
        <w:t>s digital and cybersecurity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Most of our employees are geographically dispersed from our headquarters facility in South San Francisco and now routinely work remotely. With the continuing shift to remote working, and the use of virtual board and executive management meetings, cybersecurity risks are exponentially greater, including increased risk of phishing and other 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acquire businesses or product candidates, or form strategic alliances, in the future, and we may not realize the benefits of such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acquire additional businesses or CNS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Current politics in the U.S. could diminish the value of the pharmaceutical industry, thereby diminishing the value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current political environment in the U.S. has led many incumbents and political candidates to propose various measures to reduce the prices for pharmaceuticals. These proposals may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strive to protect and enhance the proprietary technologies that we believe are important to our business, including seeking patents intended to cover our product candidates, their compositions and formulations, their methods of use and methods of manufacturing, delivery devices, and any other inventions we consider important to the development of our business. We also rely on trade secrets to protect aspects of our business that are not amenable to, or that we do not consider appropriate for, patent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patents and patent applications related to product candidates fasedienol (PH94B), itruvone (PH10), PH80, PH15 and AV-101 and have licensed patents and patent applications related to certain stem cell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own and have licensed issued and patents and pending patent applications relating to our product candidates in the U.S. and selected countries in other markets, we cannot provide any assurances that our pending U.S. and corresponding foreign patent applications will mature into issued patents and, if they do, that any of our patents will include claims with a scope sufficient to protect our product candidates or otherwise provide any competitive 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other parties may have developed technologies that may be related or competitive to our product candidates and may have filed or may file patent applications and may have granted or may be granted patents that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 and may limit or eliminate our ability to commercialize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 to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obtain valid and enforceable patents depends, among other factors, on whether the differences between our technology and the prior art allow our inventions to be patentable over the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vary among the countries in which we pursue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some patent-related uncertainty exists because of the challenge of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In addition, even some reports in the trade press and public announcements made by us before the filing date of our AV-101 patent applications mentioned that AV-101 was in development for certain therapeutic purposes. For example, we published a web post on the NIH clinical trials website prior to the filing of our initial AV-101 patent application, which describes unit doses for a then future study but does not mention the treatment of depression and does not provide any preclinical or clinical study data relating to depression or any other medical condition, disease or disorder. This post was not submitted to the United States Patent and Trademark Office (</w:t>
      </w:r>
      <w:r>
        <w:rPr>
          <w:rFonts w:ascii="Times New Roman" w:hAnsi="Times New Roman"/>
          <w:i/>
          <w:caps w:val="false"/>
          <w:smallCaps w:val="false"/>
          <w:sz w:val="20"/>
        </w:rPr>
        <w:t>USPTO</w:t>
      </w:r>
      <w:r>
        <w:rPr>
          <w:rFonts w:ascii="Times New Roman" w:hAnsi="Times New Roman"/>
          <w:caps w:val="false"/>
          <w:smallCaps w:val="false"/>
          <w:sz w:val="20"/>
        </w:rPr>
        <w:t>) in our two granted U.S. patents related to (i) unit dose formulations of AV-101 effective to treat depression and (ii) methods of treating depression with AV-101, respectively. However, it was submitted in two continuation depression-related AV-101 patent applications that have similar claims, and the USPTO did not make further rejections based on that post. Another source of uncertainty pertains to patent properties that were in-licensed by us for which prior art submissions were under the control of the licensor. We rely on these licensors to satisfy the relevant disclosure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any previously published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USPTO and various other foreign governmental patent agencies require compliance with a number of procedural, documentary, fee payment, and other provisions during the patent process. There are situations in which noncompliance can result in the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Even if patents do successfully issue, third parties may challenge the validity, enforceability, or scope of such issued patents or any other issued patents we own or license, which may result in such patents being narrowed, invalidated, or held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United States and foreign patents and patent applications may be subject to various types of infringement and validity proceedings, including interference proceedings, </w:t>
      </w:r>
      <w:r>
        <w:rPr>
          <w:rFonts w:ascii="Times New Roman" w:hAnsi="Times New Roman"/>
          <w:i/>
          <w:caps w:val="false"/>
          <w:smallCaps w:val="false"/>
          <w:sz w:val="20"/>
        </w:rPr>
        <w:t>ex parte</w:t>
      </w:r>
      <w:r>
        <w:rPr>
          <w:rFonts w:ascii="Times New Roman" w:hAnsi="Times New Roman"/>
          <w:caps w:val="false"/>
          <w:smallCaps w:val="false"/>
          <w:sz w:val="20"/>
        </w:rPr>
        <w:t xml:space="preserve"> reexamination, </w:t>
      </w:r>
      <w:r>
        <w:rPr>
          <w:rFonts w:ascii="Times New Roman" w:hAnsi="Times New Roman"/>
          <w:i/>
          <w:caps w:val="false"/>
          <w:smallCaps w:val="false"/>
          <w:sz w:val="20"/>
        </w:rPr>
        <w:t>inter partes</w:t>
      </w:r>
      <w:r>
        <w:rPr>
          <w:rFonts w:ascii="Times New Roman" w:hAnsi="Times New Roman"/>
          <w:caps w:val="false"/>
          <w:smallCaps w:val="false"/>
          <w:sz w:val="20"/>
        </w:rPr>
        <w:t>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Furthermore, though an issued patent is presumed valid and enforceable, its issuance is not conclusive as to its validity or its enforceability, and the patent may not provide us with adequate proprietary protection or competitive advantages against competitors with similar products. Even if a patent is granted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or one of our licensing partners initiated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and non-enablement. Grounds for unenforceability assertions include allegations that someone connected with the prosecution of the patent withheld relevant information from the USPTO or made a misleading statement during prosecution.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by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we initiate, and the damages or other remedies awarded if we prevailed may not be commercially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could be materially and adversely impacted. In addition, if a court found that valid, enforceable patents held by third parties covered our product candidates, our financial position and results of operations could also be materially and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Overall, the degree of future protection for our proprietary rights is uncertain, and we cannot ensure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any granted patents related to our product candidates or any pending patent applications, if granted and challenged by others, will include or maintain claims having a scope sufficient to these product candidates or any other products or product candidates against generic or other competition, particularly considering that any patent rights to these compounds </w:t>
            </w:r>
            <w:r>
              <w:rPr>
                <w:rFonts w:ascii="Times New Roman;Times;serif" w:hAnsi="Times New Roman;Times;serif"/>
                <w:i/>
                <w:caps w:val="false"/>
                <w:smallCaps w:val="false"/>
                <w:sz w:val="20"/>
              </w:rPr>
              <w:t>per se</w:t>
            </w:r>
            <w:r>
              <w:rPr>
                <w:rFonts w:ascii="Times New Roman;Times;serif" w:hAnsi="Times New Roman;Times;serif"/>
                <w:caps w:val="false"/>
                <w:smallCaps w:val="false"/>
                <w:sz w:val="20"/>
              </w:rPr>
              <w:t> have expired;</w:t>
            </w:r>
          </w:p>
        </w:tc>
      </w:tr>
    </w:tbl>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60"/>
        <w:gridCol w:w="170"/>
        <w:gridCol w:w="5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of our pending patent applications will issue as patents at all;</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60"/>
        <w:gridCol w:w="170"/>
        <w:gridCol w:w="95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will be able to successfully commercialize our product candidates, if approved, before our relevant patents expire;</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were the first to make the inventions covered by each of our patents and pending patent applications;</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60"/>
        <w:gridCol w:w="170"/>
        <w:gridCol w:w="5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were the first to file patent applications for these inventions;</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60"/>
        <w:gridCol w:w="170"/>
        <w:gridCol w:w="7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others will not develop similar or alternative technologies that do not infringe our patents;</w:t>
            </w:r>
          </w:p>
        </w:tc>
      </w:tr>
    </w:tbl>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60"/>
        <w:gridCol w:w="170"/>
        <w:gridCol w:w="6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others will not use pre-existing technology to effectively compete against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of our patents, if issued, will ultimately be found to be valid and enforceable, including on the basis of prior art relating to our patent applications and patents;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patents currently held or issued to us in the future will provide a basis for an exclusive market for our commercially viable products, will provide us with any competitive advantages or will not be challenged by third parties;</w:t>
            </w:r>
          </w:p>
        </w:tc>
      </w:tr>
    </w:tbl>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60"/>
        <w:gridCol w:w="170"/>
        <w:gridCol w:w="8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will develop additional proprietary technologies or product candidates that are separately patentable; or</w:t>
            </w:r>
          </w:p>
        </w:tc>
      </w:tr>
    </w:tbl>
    <w:p>
      <w:pPr>
        <w:pStyle w:val="TextBody"/>
        <w:bidi w:val="0"/>
        <w:spacing w:before="0" w:after="0"/>
        <w:ind w:left="0"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60"/>
        <w:gridCol w:w="170"/>
        <w:gridCol w:w="8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commercial activities or products will not infringe upon the patents or proprietary rights of others.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may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cannot assure that our business, product candidates, and proprietary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Times New Roman" w:hAnsi="Times New Roman"/>
          <w:i/>
          <w:caps w:val="false"/>
          <w:smallCaps w:val="false"/>
          <w:sz w:val="20"/>
        </w:rPr>
        <w:t>inter partes</w:t>
      </w:r>
      <w:r>
        <w:rPr>
          <w:rFonts w:ascii="Times New Roman" w:hAnsi="Times New Roman"/>
          <w:caps w:val="false"/>
          <w:smallCaps w:val="false"/>
          <w:sz w:val="20"/>
        </w:rPr>
        <w:t xml:space="preserve"> reviews, or derivation proceedings before the United States or other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biopharmaceutical industry is characterized by extensive litigation regarding patents and other intellectual property rights. Other parties may allege that our product candidates or the use of our technologies infringes their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types of proceedings can be expensive and time-consuming and many of our own or our licensors’ or collaborators’ adversaries in these proceedings may have the ability to dedicate substantially greater resources to prosecuting these kinds of legal actions than we or our licensors or collaborators can dedicate. Our defense of litigation or other proceedings may fail and, even if successful, may result in substantial costs and distract our management and other employees. We may not be able to prevent, alone or with our licensors, the misappropriation of our intellectual property rights, particularly in countries where the laws may not protect those rights as fully as in the United States or the European Union.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Patent litigation and other types of intellectual property litigation can involve complex factual and legal questions, and litigation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are unable to obtain such a license, we may be forced to stop or delay developing, manufacturing, selling or otherwise commercializing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Patent litigation and other types of intellectual property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intellectual property litigation or claims could force us to do one or more of the following:</w:t>
      </w:r>
    </w:p>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60"/>
        <w:gridCol w:w="170"/>
        <w:gridCol w:w="6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cease developing, selling or otherwise commercializing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60"/>
        <w:gridCol w:w="170"/>
        <w:gridCol w:w="5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pay substantial damages for past use of the asserted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a license from the holder of the asserted intellectual property, which license may not be available on commercially reasonable terms, if at all;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case of trademark claims, redesign, or rename, some or all of our product candidates to avoid infringing the intellectual property rights of third parties, which may not be possible and, even if possible, could be costly and time-consuming.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of these risks coming to fruition could have a material adverse effect on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claims challenging the inventorship or ownership of our patents and other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do not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Filing, prosecuting, and defending patents on product candidates in all countries and jurisdictions throughout the world is prohibitively expensive, and our intellectual property rights in some countries outside the U.S. could be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The statutory deadlines for pursuing patent protection in individual foreign jurisdictions are based on the priority filing date of each of our patent applications and the time periods allowed for filing related applications in a given country.  Thus, for each of the patent families that we believe provide coverage for our lead product candidates or technologies, we will need to decide where and when to pursue protection outside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in relevant foreign jurisdictions may be inadequate to obtain a significant commercial advantage from the intellectual property that we develop or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certain stem cell technologies, we are a party to a number of license agreements under which we are granted rights to intellectual properties that are or could become important to our business. Our existing license agreements impose, and we expect that any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we have done previously, we may need to obtain licenses from third parties to advance our research or allow the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pStyle w:val="TextBody"/>
        <w:bidi w:val="0"/>
        <w:spacing w:before="0" w:after="0"/>
        <w:ind w:left="0" w:right="0" w:hanging="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60"/>
        <w:gridCol w:w="170"/>
        <w:gridCol w:w="7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scope of rights granted under the license agreement and other interpretation-related issues;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whether and the extent to which our technology and processes infringe on intellectual property of the licensor that is not subject to the licensing agreement;</w:t>
            </w:r>
          </w:p>
        </w:tc>
      </w:tr>
    </w:tbl>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60"/>
        <w:gridCol w:w="170"/>
        <w:gridCol w:w="88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right to sublicense patent and other rights to third parties under collaborative development relationships;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diligence obligations with respect to the use of the licensed technology in relation to our development and commercialization of our product candidates, and what activities satisfy those diligence obligations;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ownership of inventions and know-how resulting from the joint creation or use of intellectual property by our licensors and us and our partners.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disputes over intellectual property that we have licensed prevent or impair our ability to maintain our current licensing arrangements on acceptable terms, we may be unable to successfully develop and commercialize the affected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Some intellectual property that we have licensed may have been discovered through government-funded programs and thus may be subject to federal regulations such as </w:t>
      </w:r>
      <w:r>
        <w:rPr>
          <w:rFonts w:ascii="Times New Roman" w:hAnsi="Times New Roman"/>
          <w:caps w:val="false"/>
          <w:smallCaps w:val="false"/>
          <w:sz w:val="20"/>
        </w:rPr>
        <w:t>“</w:t>
      </w:r>
      <w:r>
        <w:rPr>
          <w:rFonts w:ascii="Times New Roman" w:hAnsi="Times New Roman"/>
          <w:b/>
          <w:i/>
          <w:caps w:val="false"/>
          <w:smallCaps w:val="false"/>
          <w:sz w:val="20"/>
        </w:rPr>
        <w:t>march-in</w:t>
      </w:r>
      <w:r>
        <w:rPr>
          <w:rFonts w:ascii="Times New Roman" w:hAnsi="Times New Roman"/>
          <w:caps w:val="false"/>
          <w:smallCaps w:val="false"/>
          <w:sz w:val="20"/>
        </w:rPr>
        <w:t xml:space="preserve">” </w:t>
      </w:r>
      <w:r>
        <w:rPr>
          <w:rFonts w:ascii="Times New Roman" w:hAnsi="Times New Roman"/>
          <w:b/>
          <w:i/>
          <w:caps w:val="false"/>
          <w:smallCaps w:val="false"/>
          <w:sz w:val="20"/>
        </w:rPr>
        <w:t>rights, certain reporting requirements, and a preference for U.S. industry. Compliance with such regulations may limit our exclusive rights, subject us to an expenditure of resources with respect to reporting requirements and limit our ability to contract with non-U.S. manufacturers.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Times New Roman" w:hAnsi="Times New Roman"/>
          <w:i/>
          <w:caps w:val="false"/>
          <w:smallCaps w:val="false"/>
          <w:sz w:val="20"/>
        </w:rPr>
        <w:t>Bayh-Dole Act</w:t>
      </w:r>
      <w:r>
        <w:rPr>
          <w:rFonts w:ascii="Times New Roman" w:hAnsi="Times New Roman"/>
          <w:caps w:val="false"/>
          <w:smallCaps w:val="false"/>
          <w:sz w:val="20"/>
        </w:rPr>
        <w:t>). These U.S. government rights in certain inventions developed under a government-funded program include a non-exclusive, non-transferable, irrevocable worldwide license to use inventions for any governmental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that we apply for additional U.S. government funding and we discover compounds or drug candidates as a result of such funding, intellectual property rights to such discoveries may be subject to the applicable provisions of the Bayh-Dole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do not obtain additional protection under the Hatch-Waxman Amendments and similar foreign legislation by extending the patent terms and obtaining data exclusivity for our product candidates, our business may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PH94B, PH10 or AV-101 is used in another drug company’s product candidate and that product candidate is the first to obtain FDA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Changes in U.S</w:t>
      </w:r>
      <w:r>
        <w:rPr>
          <w:rFonts w:ascii="Times New Roman" w:hAnsi="Times New Roman"/>
          <w:caps w:val="false"/>
          <w:smallCaps w:val="false"/>
          <w:sz w:val="20"/>
        </w:rPr>
        <w:t xml:space="preserve">. </w:t>
      </w:r>
      <w:r>
        <w:rPr>
          <w:rFonts w:ascii="Times New Roman" w:hAnsi="Times New Roman"/>
          <w:b/>
          <w:i/>
          <w:caps w:val="false"/>
          <w:smallCaps w:val="false"/>
          <w:sz w:val="20"/>
        </w:rPr>
        <w:t>patent law could diminish the value of patents in general, thereby impairing our ability to protect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Times New Roman" w:hAnsi="Times New Roman"/>
          <w:i/>
          <w:caps w:val="false"/>
          <w:smallCaps w:val="false"/>
          <w:sz w:val="20"/>
        </w:rPr>
        <w:t>Mayo Collaborative Services, DBA Mayo Medical Laboratories, et al. v. Prometheus Laboratories, Inc.</w:t>
      </w:r>
      <w:r>
        <w:rPr>
          <w:rFonts w:ascii="Times New Roman" w:hAnsi="Times New Roman"/>
          <w:caps w:val="false"/>
          <w:smallCaps w:val="false"/>
          <w:sz w:val="20"/>
        </w:rPr>
        <w:t>,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Times New Roman" w:hAnsi="Times New Roman"/>
          <w:i/>
          <w:caps w:val="false"/>
          <w:smallCaps w:val="false"/>
          <w:sz w:val="20"/>
        </w:rPr>
        <w:t>Association for Molecular Pathology v. Myriad Genetics, Inc</w:t>
      </w:r>
      <w:r>
        <w:rPr>
          <w:rFonts w:ascii="Times New Roman" w:hAnsi="Times New Roman"/>
          <w:caps w:val="false"/>
          <w:smallCaps w:val="false"/>
          <w:sz w:val="20"/>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Times New Roman" w:hAnsi="Times New Roman"/>
          <w:i/>
          <w:caps w:val="false"/>
          <w:smallCaps w:val="false"/>
          <w:sz w:val="20"/>
        </w:rPr>
        <w:t>Ariosa Diagnostics, Inc. v. Sequenom, Inc</w:t>
      </w:r>
      <w:r>
        <w:rPr>
          <w:rFonts w:ascii="Times New Roman" w:hAnsi="Times New Roman"/>
          <w:caps w:val="false"/>
          <w:smallCaps w:val="false"/>
          <w:sz w:val="20"/>
        </w:rPr>
        <w:t>., the Court of Appeals for the Federal Circuit held that methods for detecting fetal genetic defects were not patent-eligible subject matter. Other more recent court decisions and related USPTO examination guidelines must be considered, particularly as they relate to changes in what types of inventions are eligible for patent protection. Foreign patent and intellectual property laws are also evolving and are not predictable as to their impact on the Company and other biopharmaceutical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damages resulting from claims that we or our employees have wrongfully used or disclosed alleged trade secrets of their former employers.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another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to defend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Numerous factors may limit any potential competitive advantage provided by our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others may be able to develop and/or practice technology that is similar to our technology or aspects of our technology but that is not covered by the claims of patents, should such patents issue from our patent applications;</w:t>
            </w:r>
          </w:p>
        </w:tc>
      </w:tr>
    </w:tbl>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170"/>
        <w:gridCol w:w="8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might not have been the first to make the inventions covered by a pending patent application that we own;</w:t>
            </w:r>
          </w:p>
        </w:tc>
      </w:tr>
    </w:tbl>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60"/>
        <w:gridCol w:w="170"/>
        <w:gridCol w:w="66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might not have been the first to file patent applications covering an invention;</w:t>
            </w:r>
          </w:p>
        </w:tc>
      </w:tr>
    </w:tbl>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60"/>
        <w:gridCol w:w="170"/>
        <w:gridCol w:w="9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others may independently develop similar or alternative technologies without infringing our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60"/>
        <w:gridCol w:w="170"/>
        <w:gridCol w:w="66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pending patent applications that we own or license may not lead to issued patents;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patents, if issued, that we own or license may not provide us with any competitive advantages, or may be held invalid or unenforceable or be narrowed, as a result of legal challenges by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60"/>
        <w:gridCol w:w="170"/>
        <w:gridCol w:w="83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third parties may compete with us in jurisdictions where we do not pursue and obtain patent protection;</w:t>
            </w:r>
          </w:p>
        </w:tc>
      </w:tr>
    </w:tbl>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60"/>
        <w:gridCol w:w="170"/>
        <w:gridCol w:w="8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not be able to obtain and/or maintain necessary or useful licenses on reasonable terms or at all; and</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60"/>
        <w:gridCol w:w="170"/>
        <w:gridCol w:w="5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patents of others may have an adverse effect on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Should any of these events occur, they could significantly harm our business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fail to comply with the continued listing requirements of the Nasdaq Capital Market, our common stock may be delisted and the price of our common stock and our ability to access the capital markets could be negatively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6, 2022, we were notified by the Nasdaq Stock Market, LLC (</w:t>
      </w:r>
      <w:r>
        <w:rPr>
          <w:rFonts w:ascii="Times New Roman" w:hAnsi="Times New Roman"/>
          <w:i/>
          <w:caps w:val="false"/>
          <w:smallCaps w:val="false"/>
          <w:sz w:val="20"/>
        </w:rPr>
        <w:t>Nasdaq</w:t>
      </w:r>
      <w:r>
        <w:rPr>
          <w:rFonts w:ascii="Times New Roman" w:hAnsi="Times New Roman"/>
          <w:caps w:val="false"/>
          <w:smallCaps w:val="false"/>
          <w:sz w:val="20"/>
        </w:rPr>
        <w:t>)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March 6, 2023, to regain compliance with Nasdaq Listing Rule 5550(a)(2). To regain compliance, the bid price of our common stock must have a closing bid price of at least $1.00 per share for a minimum of 10 consecutive business days. Based on our written notification to Nasdaq of our intention to cure the deficiency by implementing a previously stockholder-authorized reverse stock split, if necessary, on March 7, 2023, Nasdaq granted us a second 180-day period, through September 5, 2023, in which to regain compliance. On June 6, 2023, we effected a one-for-thirty reverse split of our issued and outstanding common stock which caused the trading price of our common stock to regain compliance with the minimum bid price rule as of June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are currently in compliance with Nasdaq’s continued listing standards, no assurance can be given that we will continue to meet applicable Nasdaq continued listing standards. Failure to meet applicable Nasdaq continued listing standards could result in a delisting of our common stock, which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inability to advance our drug development programs, potential loss of confidence by investors and employees, and fewer business development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Market volatility may affect our stock price and the value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market price for our common stock, similar to that of other biopharmaceutical companies, is likely to remain highly volatile. The market price of our common stock may fluctuate significantly in response to a number of factors, most of which we cannot control, including, among others:</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60"/>
        <w:gridCol w:w="170"/>
        <w:gridCol w:w="5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 resulting from uncertainty and general 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60"/>
        <w:gridCol w:w="170"/>
        <w:gridCol w:w="9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plans for, progress of or results from nonclinical and clinical development activities related to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failure of the FDA or other regulatory authority to approve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of new products, technologies, commercial relationships, acquisitions or other events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60"/>
        <w:gridCol w:w="170"/>
        <w:gridCol w:w="3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success or failure of other CNS therapies;</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60"/>
        <w:gridCol w:w="170"/>
        <w:gridCol w:w="5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or legal developments in the U.S. and other countries;</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60"/>
        <w:gridCol w:w="170"/>
        <w:gridCol w:w="4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regarding our intellectual property portfolio;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6535" w:type="dxa"/>
        <w:jc w:val="left"/>
        <w:tblInd w:w="0" w:type="dxa"/>
        <w:tblLayout w:type="fixed"/>
        <w:tblCellMar>
          <w:top w:w="0" w:type="dxa"/>
          <w:left w:w="0" w:type="dxa"/>
          <w:bottom w:w="0" w:type="dxa"/>
          <w:right w:w="0" w:type="dxa"/>
        </w:tblCellMar>
      </w:tblPr>
      <w:tblGrid>
        <w:gridCol w:w="60"/>
        <w:gridCol w:w="170"/>
        <w:gridCol w:w="6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of our product candidates, if approved, to achieve commercial success;</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60"/>
        <w:gridCol w:w="170"/>
        <w:gridCol w:w="6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fluctuations in stock market prices and trading volumes of similar companies;</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60"/>
        <w:gridCol w:w="170"/>
        <w:gridCol w:w="6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general market conditions and overall fluctuations in U.S. equity markets;</w:t>
            </w:r>
          </w:p>
        </w:tc>
      </w:tr>
    </w:tbl>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60"/>
        <w:gridCol w:w="170"/>
        <w:gridCol w:w="3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variations in our quarterly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60"/>
        <w:gridCol w:w="170"/>
        <w:gridCol w:w="7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our financial guidance or securities analysts’ estimates of our financial performance;</w:t>
            </w:r>
          </w:p>
        </w:tc>
      </w:tr>
    </w:tbl>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60"/>
        <w:gridCol w:w="170"/>
        <w:gridCol w:w="2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60"/>
        <w:gridCol w:w="170"/>
        <w:gridCol w:w="6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raise additional capital and the terms on which we can raise 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sales or purchases of large blocks of our common stock, including sales or purchases by our executive officers, directors and significant stockholders;</w:t>
            </w:r>
          </w:p>
        </w:tc>
      </w:tr>
    </w:tbl>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60"/>
        <w:gridCol w:w="170"/>
        <w:gridCol w:w="6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establishment of short positions by holders or non-holders of our stock or warrants;</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60"/>
        <w:gridCol w:w="170"/>
        <w:gridCol w:w="3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or departures of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60"/>
        <w:gridCol w:w="170"/>
        <w:gridCol w:w="71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discussion of us or our stock price by the press and by online investor communities; and</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60"/>
        <w:gridCol w:w="170"/>
        <w:gridCol w:w="4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risks and uncertainties described in these risk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Future sales and issuances of our common stock may cause our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or issuances of a substantial number of shares of our common stock in the public market, or the perception that such sales or issuances are occurring or might occur, including under our Sales Agreement, could significantly reduce the market price of our common stock and impair our ability to raise adequate capital through the sale of additional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equity research analysts do not publish research or reports about our business or if they issue unfavorable commentary or downgrade our common stock, the price of our common stock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There may be additional issuances of shares of preferred stock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Restated Articles of Incorporation, as amended (the </w:t>
      </w:r>
      <w:r>
        <w:rPr>
          <w:rFonts w:ascii="Times New Roman" w:hAnsi="Times New Roman"/>
          <w:i/>
          <w:caps w:val="false"/>
          <w:smallCaps w:val="false"/>
          <w:sz w:val="20"/>
        </w:rPr>
        <w:t>Articles</w:t>
      </w:r>
      <w:r>
        <w:rPr>
          <w:rFonts w:ascii="Times New Roman" w:hAnsi="Times New Roman"/>
          <w:caps w:val="false"/>
          <w:smallCaps w:val="false"/>
          <w:sz w:val="20"/>
        </w:rPr>
        <w:t>), permit us to issue up to 10.0 million shares of preferred stock.  As a result, our Board could authorize the issuance of additional series of preferred stock in the futures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do not intend to pay dividends on our common stock and, consequently, our stockholders</w:t>
      </w:r>
      <w:r>
        <w:rPr>
          <w:rFonts w:ascii="Times New Roman" w:hAnsi="Times New Roman"/>
          <w:caps w:val="false"/>
          <w:smallCaps w:val="false"/>
          <w:sz w:val="20"/>
        </w:rPr>
        <w:t xml:space="preserve">’ </w:t>
      </w:r>
      <w:r>
        <w:rPr>
          <w:rFonts w:ascii="Times New Roman" w:hAnsi="Times New Roman"/>
          <w:b/>
          <w:i/>
          <w:caps w:val="false"/>
          <w:smallCaps w:val="false"/>
          <w:sz w:val="20"/>
        </w:rPr>
        <w:t>ability to achieve a return on their investment will depend on appreciation in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incur significant costs to ensure compliance with corporate governance, federal securities law and accounting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the reporting requirements of the Securities Exchange Act of 1934, as amended (</w:t>
      </w:r>
      <w:r>
        <w:rPr>
          <w:rFonts w:ascii="Times New Roman" w:hAnsi="Times New Roman"/>
          <w:i/>
          <w:caps w:val="false"/>
          <w:smallCaps w:val="false"/>
          <w:sz w:val="20"/>
        </w:rPr>
        <w:t>Exchange Act</w:t>
      </w:r>
      <w:r>
        <w:rPr>
          <w:rFonts w:ascii="Times New Roman" w:hAnsi="Times New Roman"/>
          <w:caps w:val="false"/>
          <w:smallCaps w:val="false"/>
          <w:sz w:val="20"/>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 w:name="item1b"/>
      <w:bookmarkEnd w:id="4"/>
      <w:r>
        <w:rPr>
          <w:rFonts w:ascii="Times New Roman" w:hAnsi="Times New Roman"/>
          <w:b/>
          <w:caps w:val="false"/>
          <w:smallCaps w:val="false"/>
          <w:sz w:val="20"/>
        </w:rPr>
        <w:t>Item 1B.</w:t>
      </w:r>
      <w:r>
        <w:rPr>
          <w:rFonts w:ascii="Times New Roman" w:hAnsi="Times New Roman"/>
          <w:caps w:val="false"/>
          <w:smallCaps w:val="false"/>
          <w:sz w:val="20"/>
        </w:rPr>
        <w:t>  </w:t>
      </w:r>
      <w:r>
        <w:rPr>
          <w:rFonts w:ascii="Times New Roman" w:hAnsi="Times New Roman"/>
          <w:b/>
          <w:caps w:val="false"/>
          <w:smallCaps w:val="false"/>
          <w:sz w:val="20"/>
        </w:rPr>
        <w:t>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disclosures in this section are not required since we qualify as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5" w:name="item2"/>
      <w:bookmarkEnd w:id="5"/>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caps w:val="false"/>
          <w:smallCaps w:val="false"/>
          <w:sz w:val="20"/>
        </w:rPr>
        <w:t>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corporate headquarters and laboratories are located at 343 Allerton Avenue, South San Francisco, California 94080, where we occupy approximately 10,900 square feet of office and lab space under a lease expiring on July 31, 2027, which contains a 5-year option to renew. We believe that our facilities are suitable and adequate for our current and foreseeable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6" w:name="item3"/>
      <w:bookmarkEnd w:id="6"/>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7" w:name="item4"/>
      <w:bookmarkEnd w:id="7"/>
      <w:r>
        <w:rPr>
          <w:rFonts w:ascii="Times New Roman" w:hAnsi="Times New Roman"/>
          <w:b/>
          <w:caps w:val="false"/>
          <w:smallCaps w:val="false"/>
          <w:sz w:val="20"/>
        </w:rPr>
        <w:t>Item 4.</w:t>
      </w:r>
      <w:r>
        <w:rPr>
          <w:rFonts w:ascii="Times New Roman" w:hAnsi="Times New Roman"/>
          <w:caps w:val="false"/>
          <w:smallCaps w:val="false"/>
          <w:sz w:val="20"/>
        </w:rPr>
        <w:t>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 w:name="part2"/>
      <w:bookmarkEnd w:id="8"/>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9" w:name="item5"/>
      <w:bookmarkEnd w:id="9"/>
      <w:r>
        <w:rPr>
          <w:rFonts w:ascii="Times New Roman" w:hAnsi="Times New Roman"/>
          <w:b/>
          <w:caps w:val="false"/>
          <w:smallCaps w:val="false"/>
          <w:sz w:val="20"/>
        </w:rPr>
        <w:t>Item 5.</w:t>
      </w:r>
      <w:r>
        <w:rPr>
          <w:rFonts w:ascii="Times New Roman" w:hAnsi="Times New Roman"/>
          <w:caps w:val="false"/>
          <w:smallCaps w:val="false"/>
          <w:sz w:val="20"/>
        </w:rPr>
        <w:t>  </w:t>
      </w:r>
      <w:r>
        <w:rPr>
          <w:rFonts w:ascii="Times New Roman" w:hAnsi="Times New Roman"/>
          <w:b/>
          <w:caps w:val="false"/>
          <w:smallCaps w:val="false"/>
          <w:sz w:val="20"/>
        </w:rPr>
        <w:t>Market for Registrant</w:t>
      </w:r>
      <w:r>
        <w:rPr>
          <w:rFonts w:ascii="Times New Roman" w:hAnsi="Times New Roman"/>
          <w:caps w:val="false"/>
          <w:smallCaps w:val="false"/>
          <w:sz w:val="20"/>
        </w:rPr>
        <w:t>’</w:t>
      </w:r>
      <w:r>
        <w:rPr>
          <w:rFonts w:ascii="Times New Roman" w:hAnsi="Times New Roman"/>
          <w:b/>
          <w:caps w:val="false"/>
          <w:smallCaps w:val="false"/>
          <w:sz w:val="20"/>
        </w:rPr>
        <w: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common stock was approved for listing and has traded since May 11, 2016 on The Nasdaq Capital Market under the symbol “VTGN”.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Below is the range of high and low sales prices for our common stock for the periods indicated as reported by the Nasdaq Capital Market. The market quotations reflect inter-dealer prices, without retail mark-up, mark-down or commissions and may not necessarily represent actual transactions.  </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3440"/>
        <w:gridCol w:w="60"/>
        <w:gridCol w:w="125"/>
        <w:gridCol w:w="590"/>
        <w:gridCol w:w="60"/>
        <w:gridCol w:w="60"/>
        <w:gridCol w:w="125"/>
        <w:gridCol w:w="485"/>
        <w:gridCol w:w="60"/>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Low</w:t>
            </w:r>
          </w:p>
        </w:tc>
        <w:tc>
          <w:tcPr>
            <w:tcW w:w="6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Year Ended March 31, 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First quarter ended June 30, 2022</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25.80</w:t>
            </w:r>
          </w:p>
        </w:tc>
        <w:tc>
          <w:tcPr>
            <w:tcW w:w="6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 quarter ended September 30, 2022</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w:t>
            </w:r>
          </w:p>
        </w:tc>
        <w:tc>
          <w:tcPr>
            <w:tcW w:w="6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Third quarter ended December 31, 2022</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w:t>
            </w:r>
          </w:p>
        </w:tc>
        <w:tc>
          <w:tcPr>
            <w:tcW w:w="6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Fourth quarter ended March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w:t>
            </w:r>
          </w:p>
        </w:tc>
        <w:tc>
          <w:tcPr>
            <w:tcW w:w="6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Year Ended March 31, 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First quarter ended June 30, 2021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57.30</w:t>
            </w:r>
          </w:p>
        </w:tc>
        <w:tc>
          <w:tcPr>
            <w:tcW w:w="6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 quarter ended September 30, 2021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76.80</w:t>
            </w:r>
          </w:p>
        </w:tc>
        <w:tc>
          <w:tcPr>
            <w:tcW w:w="6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Third quarter ended December 31, 2021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48.00</w:t>
            </w:r>
          </w:p>
        </w:tc>
        <w:tc>
          <w:tcPr>
            <w:tcW w:w="6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Fourth quarter ended March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completed a stockholder approved 1-for-30 reverse split of our issued and outstanding common stock effective on June 6, 2023 (the </w:t>
      </w:r>
      <w:r>
        <w:rPr>
          <w:rFonts w:ascii="Times New Roman" w:hAnsi="Times New Roman"/>
          <w:i/>
          <w:caps w:val="false"/>
          <w:smallCaps w:val="false"/>
          <w:sz w:val="20"/>
        </w:rPr>
        <w:t>Reverse Stock Split</w:t>
      </w:r>
      <w:r>
        <w:rPr>
          <w:rFonts w:ascii="Times New Roman" w:hAnsi="Times New Roman"/>
          <w:caps w:val="false"/>
          <w:smallCaps w:val="false"/>
          <w:sz w:val="20"/>
        </w:rPr>
        <w:t>). The per share high and low prices in the table above and other references to shares and per share prices elsewhere in this Report have been adjusted retrospectively to reflect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27, 2023 the closing price of our common stock on the Nasdaq Capital Market was $1.69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June 27, 2023, we had 7,872,479 shares of common stock outstanding held by approximately 13,000 stockholders.  At June 27, 2023, no shares of our preferred stock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never paid or declared any cash dividends on our common stock, and we do not anticipate paying any cash dividends on our common stock in the foreseeable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0" w:name="item6"/>
      <w:bookmarkEnd w:id="10"/>
      <w:r>
        <w:rPr>
          <w:rFonts w:ascii="Times New Roman" w:hAnsi="Times New Roman"/>
          <w:caps w:val="false"/>
          <w:smallCaps w:val="false"/>
          <w:sz w:val="20"/>
        </w:rPr>
        <w:t>I</w:t>
      </w:r>
      <w:r>
        <w:rPr>
          <w:rFonts w:ascii="Times New Roman" w:hAnsi="Times New Roman"/>
          <w:b/>
          <w:caps w:val="false"/>
          <w:smallCaps w:val="false"/>
          <w:sz w:val="20"/>
        </w:rPr>
        <w:t>tem 6.</w:t>
      </w:r>
      <w:r>
        <w:rPr>
          <w:rFonts w:ascii="Times New Roman" w:hAnsi="Times New Roman"/>
          <w:caps w:val="false"/>
          <w:smallCaps w:val="false"/>
          <w:sz w:val="20"/>
        </w:rPr>
        <w:t>  </w:t>
      </w:r>
      <w:r>
        <w:rPr>
          <w:rFonts w:ascii="Times New Roman" w:hAnsi="Times New Roman"/>
          <w:b/>
          <w:caps w:val="false"/>
          <w:smallCaps w:val="false"/>
          <w:sz w:val="20"/>
        </w:rPr>
        <w:t>Selected Financial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disclosures in this section are not required because we qualify as a smaller reporting company under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1" w:name="item7"/>
      <w:bookmarkEnd w:id="11"/>
      <w:r>
        <w:rPr>
          <w:rFonts w:ascii="Times New Roman" w:hAnsi="Times New Roman"/>
          <w:b/>
          <w:caps w:val="false"/>
          <w:smallCaps w:val="false"/>
          <w:sz w:val="20"/>
        </w:rPr>
        <w:t>Item 7.</w:t>
      </w:r>
      <w:r>
        <w:rPr>
          <w:rFonts w:ascii="Times New Roman" w:hAnsi="Times New Roman"/>
          <w:caps w:val="false"/>
          <w:smallCaps w:val="false"/>
          <w:sz w:val="20"/>
        </w:rPr>
        <w:t>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This Annual Report on Form 10-K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w:t>
      </w:r>
      <w:r>
        <w:rPr>
          <w:rFonts w:ascii="Times New Roman" w:hAnsi="Times New Roman"/>
          <w:caps w:val="false"/>
          <w:smallCaps w:val="false"/>
          <w:sz w:val="20"/>
        </w:rPr>
        <w:t>“</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domestic and foreign regulatory agencies, the impact of competitive products, product development and technological difficulties, the effect of our accounting policies, and other risks as detailed in the section entitled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this Report.</w:t>
      </w:r>
      <w:r>
        <w:rPr>
          <w:rFonts w:ascii="Times New Roman" w:hAnsi="Times New Roman"/>
          <w:caps w:val="false"/>
          <w:smallCaps w:val="false"/>
          <w:sz w:val="20"/>
        </w:rPr>
        <w:t>  </w:t>
      </w:r>
      <w:r>
        <w:rPr>
          <w:rFonts w:ascii="Times New Roman" w:hAnsi="Times New Roman"/>
          <w:i/>
          <w:caps w:val="false"/>
          <w:smallCaps w:val="false"/>
          <w:sz w:val="20"/>
        </w:rPr>
        <w:t>Further, even if our product candidates appear promising at various stages of development, our share price may decrease such that we are unable to raise additional capital without significant dilution or other terms that may be unacceptable to our management, Board of Directors (Board) and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Business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late clinical-stage biopharmaceutical company aiming to transform the treatment landscape for individuals living with anxiety, depression and other CNS disorders. We are advancing therapeutics with the potential to be faster-acting, and with fewer side effects and safety concerns, than those currently available for treating anxiety, depression and multiple CNS disorders. Our pipeline includes six clinical-stage product candidates, including five investigational agents belonging to a new class of neuroactive drugs known as pherines, in addition to AV-101, an oral prodrug of an antagonist of the glycine site of the N-methyl-D-aspartate receptor (</w:t>
      </w:r>
      <w:r>
        <w:rPr>
          <w:rFonts w:ascii="Times New Roman" w:hAnsi="Times New Roman"/>
          <w:i/>
          <w:caps w:val="false"/>
          <w:smallCaps w:val="false"/>
          <w:sz w:val="20"/>
        </w:rPr>
        <w:t>NMDAR</w:t>
      </w:r>
      <w:r>
        <w:rPr>
          <w:rFonts w:ascii="Times New Roman" w:hAnsi="Times New Roman"/>
          <w:caps w:val="false"/>
          <w:smallCaps w:val="false"/>
          <w:sz w:val="20"/>
        </w:rPr>
        <w:t>). Pherines, administered as nasal sprays, are designed with an innovative rapid-onset mechanism of action that activates chemosensory neurons in the nasal cavity and can selectively and beneficially impact key neural circuits in the brain without requiring systemic uptake or direct activity on CNS neurons. AV-101 inhibits the activity of the ion channel of the NMDAR but does not block it, unlike some approved NMDAR antagonists having significant side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Our goal is to develop and commercialize, on our own and with multiple global and regional strategic partners, innovative therapies for anxiety, depression, and other CNS indications where current treatment options are inadequate to meet the needs of millions of patients in the U.S. and worldwide. First and foremost, we are passionate about transforming mental health care and redefining what is possible in the treatment of anxiety and depression disorders – </w:t>
      </w:r>
      <w:r>
        <w:rPr>
          <w:rFonts w:ascii="Times New Roman" w:hAnsi="Times New Roman"/>
          <w:i/>
          <w:caps w:val="false"/>
          <w:smallCaps w:val="false"/>
          <w:sz w:val="20"/>
        </w:rPr>
        <w:t>One Mind at a Time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Pherine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Five of our product candidates – fasedienol (PH94B), itruvone (PH10), PH15, PH80 and PH284 – belong to a new class of synthetic neuroactive steroids referred to as pherines. Pherines, which are administered in ultra-low microgram level doses as odorless and tasteless nasal sprays, are designed to selectively engage chemosensory neurons in the nasal cavity and induce rapid-onset pharmacologic and behavioral benefits. Specifically, each of our pherine product candidates is a distinct chemical entity that selectively modulates particular areas of the brain, such as the limbic amygdala (the main fear and anxiety center of the brain), the hypothalamus, the hippocampus, the locus ceruleus, and the prefrontal cortex. We believe each of our pherine product candidates has the potential to be a fast-acting therapy for one or more CNS disorders, including social anxiety disorder (fasedienol), major depressive disorder (itruvone), cognitive impairment (PH15), vasomotor syndrome (hot flashes) due to menopause, as well as migraine headaches (PH80) and disorders related to appetite loss (cachexia) (PH284), all without requiring apparent systemic uptake or binding to classic abuse liability receptors or steroidal hormone receptors.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Fasedienol Nasal Spray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Fasedienol (PH94B) is a synthetic investigational pherine from the androstane family in Phase 3 clinical development in the U.S. for treatment of social anxiety disorder (</w:t>
      </w:r>
      <w:r>
        <w:rPr>
          <w:rFonts w:ascii="Times New Roman" w:hAnsi="Times New Roman"/>
          <w:i/>
          <w:caps w:val="false"/>
          <w:smallCaps w:val="false"/>
          <w:sz w:val="20"/>
        </w:rPr>
        <w:t>SAD</w:t>
      </w:r>
      <w:r>
        <w:rPr>
          <w:rFonts w:ascii="Times New Roman" w:hAnsi="Times New Roman"/>
          <w:caps w:val="false"/>
          <w:smallCaps w:val="false"/>
          <w:sz w:val="20"/>
        </w:rPr>
        <w:t>). When administered intranasally in microgram doses, fasedienol activates receptors of peripheral nasal chemosensory neurons connected to subsets of neurons in the olfactory bulbs that, in turn, connect to neurons in the limbic amygdala involved in the pathophysiology of SAD and potentially other anxiety and mood disorders. Fasedienol is pharmacologically active without requiring apparent systemic uptake and distribution of the compound to the brain to achieve its rapid-onset and short duration of anxiolytic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proposed MOA of fasedienol is fundamentally differentiated from all currently approved anti-anxiety medications, including the three antidepressants approved by the FDA for the treatment of SAD, as well as all benzodiazepines and beta blockers, which, although not FDA-approved for the treatment of SAD, are prescribed for treatment of SAD on an off-label basis. Pre-clinical and Phase 2 clinical studies completed to date suggest that fasedienol has the potential to achieve rapid-onset anti-anxiety effects without systemic uptake or transport into the brain, significantly reducing the risk of side effects and other safety concerns such as potential drug-drug interactions, abuse, misuse and addiction associated with certain other systemic pharmaceuticals that act directly on the CNS and are sometimes prescribed for anxiety disorders.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SAD PALISADE Phase 3 Program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PALISADE-1.</w:t>
      </w:r>
      <w:r>
        <w:rPr>
          <w:rFonts w:ascii="Times New Roman" w:hAnsi="Times New Roman"/>
          <w:caps w:val="false"/>
          <w:smallCaps w:val="false"/>
          <w:sz w:val="20"/>
        </w:rPr>
        <w:t>    In May 2021, we initiated our PALISADE Phase 3 Program for fasedienol in SAD with PALISADE-1, a single-administration assessment Phase 3 public speaking challenge clinical study of fasedienol for the acute treatment of anxiety in adults with SAD. Following discussions with the FDA in mid-2020 during the acute phase of the COVID-19 pandemic, we agreed to design PALISADE-1 in a manner substantially similar to the single-administration assessment Phase 2 public speaking challenge study of fasedienol, which involved self-administration of only a single dose of fasedienol by subjects randomized to the treatment arm. All subjects were given an anxiety-provoking public speaking challenge, conducted only in a clinical setting, and their change in a SUDS score was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2022, we announced top line results from PALISADE-1. Although the safety and tolerability of fasedienol in PALISADE-1 were favorable and consistent with previously reported results from previous clinical trials, PALISADE-1 did not achieve its primary efficacy endpoint, as measured by change from baseline using the SUDS as compared to placebo. We believe the following hypotheses are potential explanations for the unexpected outcome in PALISADE-1: (i) the study was conducted during the acute phase of the COVID-19 pandemic, introducing significant systemic variability in terms of changing social dynamics, subject stress, study site and CRO personnel turnover and mask wearing regulations; (ii) given the foregoing, the public speaking challenge study design may not have been scalable to a large Phase 3 study, particularly during the acute phase of the COVID-19 pandemic; and (iii) some subjects in the study may have had reduced potential to respond to fasedienol due to impaired olfactory cell function potentially caused by the COVID-19 virus, nasal swab testing for COVID-19, RSV or influenza, and/or heavy cannabis use, smoking or vaping.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PALISADE-2.</w:t>
      </w:r>
      <w:r>
        <w:rPr>
          <w:rFonts w:ascii="Times New Roman" w:hAnsi="Times New Roman"/>
          <w:caps w:val="false"/>
          <w:smallCaps w:val="false"/>
          <w:sz w:val="20"/>
        </w:rPr>
        <w:t>   In October 2021, near the end of the acute phase of the COVID-19 pandemic, we initiated PALISADE-2, which involved the same clinic-based, single-administration assessment public speaking challenge study design and use of the SUDS as the primary efficacy endpoint as PALISADE-1. In July 2022, after receiving top line results from PALISADE-1, we paused recruitment and enrollment in PALISADE-2 to allow independent third-party biostatisticians to conduct an interim analysis of available data from subjects randomized in PALISADE-2 up to the date we paused the study. In September 2022, based on their review of unblinded data from the 140 subjects who had completed PALISADE-2, the independent third-party biostatisticians recommended that we continue PALISADE-2 as planned, without revealing the underlying data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the results of the interim analysis of PALISADE-2 indicated that continuation of the study would not be futile, after considering the expense, time, and challenges associated with PALISADE-1, as well as the potential methodological complexities involved in resuming PALISADE-2, we closed the PALISADE-2 study. Topline results from the 140 subjects who completed PALISADE-2 are expected in the second half of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PALISADE Open Label Study.</w:t>
      </w:r>
      <w:r>
        <w:rPr>
          <w:rFonts w:ascii="Times New Roman" w:hAnsi="Times New Roman"/>
          <w:caps w:val="false"/>
          <w:smallCaps w:val="false"/>
          <w:sz w:val="20"/>
        </w:rPr>
        <w:t>   The PALISADE OLS was a Phase 3, open-label safety trial designed to evaluate the safety and tolerability of multiple, as-needed administrations (up to four times a day) of fasedienol in adults with SAD. The PALISADE OLS also evaluated the change from baseline in monthly standard clinical measurements and behavioral assessment scales (LSAS, CGI-I, and PGI-C) in response to anxiety-provoking social situations in daily</w:t>
        <w:noBreakHyphen/>
        <w:t>life after the administration of fasedienol. The key exploratory efficacy endpoint in the study included evaluation of the change from baseline on the LSAS, which measures SAD patients’ response to anxiety-provoking social and performance situations experienced in their daily lives. Following the completion of PALISADE-1, we terminated the PALISADE OLS early, solely for strategic business reasons, and not due to any safety concerns with fasedienol.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Safety and tolerability of fasedienol were assessed and summarized during monthly visits from baseline to end of treatment in AEs, laboratory values, 12</w:t>
        <w:noBreakHyphen/>
        <w:t>lead electrocardiograms (</w:t>
      </w:r>
      <w:r>
        <w:rPr>
          <w:rFonts w:ascii="Times New Roman" w:hAnsi="Times New Roman"/>
          <w:i/>
          <w:caps w:val="false"/>
          <w:smallCaps w:val="false"/>
          <w:sz w:val="20"/>
        </w:rPr>
        <w:t>ECGs</w:t>
      </w:r>
      <w:r>
        <w:rPr>
          <w:rFonts w:ascii="Times New Roman" w:hAnsi="Times New Roman"/>
          <w:caps w:val="false"/>
          <w:smallCaps w:val="false"/>
          <w:sz w:val="20"/>
        </w:rPr>
        <w:t>), physical examinations, and vital sign assessments following exposure to fasedienol. Long-term administration of 3.2 µg of fasedienol, as-needed up to four times per day, was safe and well-tolerated, with no new safety findings or trends identified, regardless of the number of doses administered by each subject (safety population: n=481). Headache was the most common treatment-emergent adverse event (</w:t>
      </w:r>
      <w:r>
        <w:rPr>
          <w:rFonts w:ascii="Times New Roman" w:hAnsi="Times New Roman"/>
          <w:i/>
          <w:caps w:val="false"/>
          <w:smallCaps w:val="false"/>
          <w:sz w:val="20"/>
        </w:rPr>
        <w:t>TEAE</w:t>
      </w:r>
      <w:r>
        <w:rPr>
          <w:rFonts w:ascii="Times New Roman" w:hAnsi="Times New Roman"/>
          <w:caps w:val="false"/>
          <w:smallCaps w:val="false"/>
          <w:sz w:val="20"/>
        </w:rPr>
        <w:t>) (17.0%), and, except for COVID-19 TEAEs (11.4%) which were not considered related to fasedienol, no other TEAE occurred in more than 5.0% of subjects. Over 30,000 doses of fasedienol were administered by patients during the study, with a mean duration of four months and a maximum study duration of over ten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final data set from PALISADE OLS demonstrates clinically meaningful functional improvement, as measured by the LSAS, and total LSAS scores, in both men and women, continued to decline in consecutive months during the study, as follows:</w:t>
      </w:r>
    </w:p>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 1 month, the mean reduction on the LSAS was 16 points (n=385);</w:t>
            </w:r>
          </w:p>
        </w:tc>
      </w:tr>
    </w:tbl>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60"/>
        <w:gridCol w:w="170"/>
        <w:gridCol w:w="6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 2 months, the mean reduction on the LSAS was 20 points (n=324); and</w:t>
            </w:r>
          </w:p>
        </w:tc>
      </w:tr>
    </w:tbl>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60"/>
        <w:gridCol w:w="170"/>
        <w:gridCol w:w="58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 3 months, the mean reduction on the LSAS was 24 points (n=218).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subjects who continued in the study, total LSAS scores continued to decline from baseline, with improvements observed each month on the LSAS through nine months. The continued improvement in LSAS scores is indicative of the therapeutic potential of multiple, patient-tailored, as-needed administrations of fasedienol over time to help patients build confidence to engage in anxiety-provoking social and performance situations in their daily lives more frequently and with less fear and anxiety.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CGI-I results indicated 43% of the 218 patients assessed after three months were “much” or “very much” improved, and PGI-C results indicated 44% of the 218 patients assessed after three months considered themselves “much” or “very much” improved.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FDA Feedback on Path Forward; FEARLESS-1.</w:t>
      </w:r>
      <w:r>
        <w:rPr>
          <w:rFonts w:ascii="Times New Roman" w:hAnsi="Times New Roman"/>
          <w:caps w:val="false"/>
          <w:smallCaps w:val="false"/>
          <w:sz w:val="20"/>
        </w:rPr>
        <w:t>   We believe data from approximately 400 subjects in the PALISADE OLS over a period of one month and beyond, combined with the data from the previous Phase 2 randomized, double-blind, placebo-controlled, crossover study of fasedienol after two weeks of use, as discussed above, demonstrate the potential for fasedienol to achieve robust overall reduction in symptoms of SAD and improvement in severity of the disorder over time, as measured by the LSAS. These data also appear to suggest that studies involving multiple administrations of fasedienol over time on an as-needed basis, up to four times per day, when subjects experience daily, real-life, socially stressful situations may most accurately reflect the true efficacy of fasedienol in patients with SAD and represent the actual way in which they would use fasedienol, if approved. Utilizing the LSAS as the primary efficacy outcome measure in our next Phase 3 study is consistent with the pivotal registration trials for all three currently approved treatments for SAD. As those studies indicate, the LSAS is capable of measuring a drug’s efficacy in patients with SAD due to its ability to capture patient feedback on fear and anxiety regarding various social situations, as well avoidance of such situations. Hence, we believe using the LSAS as the primary efficacy endpoint for our further Phase 3 development of fasedienol has the potential to demonstrate its efficacy and true impact on patients’ lives.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first quarter of calendar 2023, we met with the FDA to discuss next steps in our Phase 3 development plan for fasedienol in SAD, which plan includes, among other things, conducting, on our own or  with collaborators, a multiple-assessment, randomized, double-blind, placebo-controlled Phase 3 study of fasedienol in adults in a real-world setting, using the LSAS as the primary efficacy outcome measure to evaluate the efficacy of fasedienol over time in patients with SAD to support a potential fasedienol New Drug Application (</w:t>
      </w:r>
      <w:r>
        <w:rPr>
          <w:rFonts w:ascii="Times New Roman" w:hAnsi="Times New Roman"/>
          <w:i/>
          <w:caps w:val="false"/>
          <w:smallCaps w:val="false"/>
          <w:sz w:val="20"/>
        </w:rPr>
        <w:t>NDA</w:t>
      </w:r>
      <w:r>
        <w:rPr>
          <w:rFonts w:ascii="Times New Roman" w:hAnsi="Times New Roman"/>
          <w:caps w:val="false"/>
          <w:smallCaps w:val="false"/>
          <w:sz w:val="20"/>
        </w:rPr>
        <w:t>). Positive feedback from the FDA at this meeting confirmed the acceptable use of the LSAS as a primary efficacy endpoint. Accordingly, we are positioned to finalize key components of FEARLESS, our potential NDA-enabling Phase 3 development program for fasedienol for treatment of SAD.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Unlike the PALISADE Phase 3 studies, which involved assessment of only a single, self- administered dose of fasedienol in a clinic-based public speaking challenge using the SUDS as the primary outcome measure, our FEARLESS program will assess multiple administrations of fasedienol, on a patient-tailored as-needed basis, up to six times per day, in a real-world setting over a multiple week period, with the LSAS as the primary efficacy endpoint, consistent with the FDA’s three precedent-setting approvals of antidepressants for treatment of SAD. Dr. Michael R. Liebowitz, a Columbia University psychiatrist, former director and founder of the Anxiety Disorders Clinic at the New York State Psychiatric Institute and current Managing Director of The Medical Research Network LLC in New York City, is the innovator of the LSAS and will be the Principal Investigator for our FEARLESS program in SAD.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Exploratory Phase 2A Study in AjDA and Future Development Opportunities.</w:t>
      </w:r>
      <w:r>
        <w:rPr>
          <w:rFonts w:ascii="Times New Roman" w:hAnsi="Times New Roman"/>
          <w:caps w:val="false"/>
          <w:smallCaps w:val="false"/>
          <w:sz w:val="20"/>
        </w:rPr>
        <w:t>    During the acute phase of the COVID-19 pandemic, we conducted a small exploratory Phase 2A clinical study of fasedienol designed to assess its therapeutic potential in adults experiencing adjustment disorder with anxiety (</w:t>
      </w:r>
      <w:r>
        <w:rPr>
          <w:rFonts w:ascii="Times New Roman" w:hAnsi="Times New Roman"/>
          <w:i/>
          <w:caps w:val="false"/>
          <w:smallCaps w:val="false"/>
          <w:sz w:val="20"/>
        </w:rPr>
        <w:t>AjDA</w:t>
      </w:r>
      <w:r>
        <w:rPr>
          <w:rFonts w:ascii="Times New Roman" w:hAnsi="Times New Roman"/>
          <w:caps w:val="false"/>
          <w:smallCaps w:val="false"/>
          <w:sz w:val="20"/>
        </w:rPr>
        <w:t>). Adjustment disorder (</w:t>
      </w:r>
      <w:r>
        <w:rPr>
          <w:rFonts w:ascii="Times New Roman" w:hAnsi="Times New Roman"/>
          <w:i/>
          <w:caps w:val="false"/>
          <w:smallCaps w:val="false"/>
          <w:sz w:val="20"/>
        </w:rPr>
        <w:t>AjD</w:t>
      </w:r>
      <w:r>
        <w:rPr>
          <w:rFonts w:ascii="Times New Roman" w:hAnsi="Times New Roman"/>
          <w:caps w:val="false"/>
          <w:smallCaps w:val="false"/>
          <w:sz w:val="20"/>
        </w:rPr>
        <w:t>) occurs within three months of exposure to a stressor as evidenced by marked distress that is out of proportion to the socially or culturally expected reactions to the stressor, or that represents significant impairment in social, occupational or other important areas of daily functioning. Our small exploratory study in AjDA is believed to be the first ever randomized, double-blind, placebo-controlled Phase 2A study in the U.S. aimed at exploring the pharmacological treatment of AjDA, and the first clinical trial that evaluated the effects of a fixed dosing regimen of fasedienol, involving intranasal administration of 3.2 µg of fasedienol four times per day over four weeks. A total of 71 subjects were screened for the study, 41 were randomized, 7 discontinued, and 34 completed four weeks of treatment. The study, which was not designed to achieve statistical significance, did not demonstrate a clinically significant difference between fasedienol and placebo as measured on the clinician-rated Hamilton Anxiety Scale (</w:t>
      </w:r>
      <w:r>
        <w:rPr>
          <w:rFonts w:ascii="Times New Roman" w:hAnsi="Times New Roman"/>
          <w:i/>
          <w:caps w:val="false"/>
          <w:smallCaps w:val="false"/>
          <w:sz w:val="20"/>
        </w:rPr>
        <w:t>HAM</w:t>
      </w:r>
      <w:r>
        <w:rPr>
          <w:rFonts w:ascii="Times New Roman" w:hAnsi="Times New Roman"/>
          <w:caps w:val="false"/>
          <w:smallCaps w:val="false"/>
          <w:sz w:val="20"/>
        </w:rPr>
        <w:t>-</w:t>
      </w:r>
      <w:r>
        <w:rPr>
          <w:rFonts w:ascii="Times New Roman" w:hAnsi="Times New Roman"/>
          <w:i/>
          <w:caps w:val="false"/>
          <w:smallCaps w:val="false"/>
          <w:sz w:val="20"/>
        </w:rPr>
        <w:t>A</w:t>
      </w:r>
      <w:r>
        <w:rPr>
          <w:rFonts w:ascii="Times New Roman" w:hAnsi="Times New Roman"/>
          <w:caps w:val="false"/>
          <w:smallCaps w:val="false"/>
          <w:sz w:val="20"/>
        </w:rPr>
        <w:t>). Site variances and both a high drug response rate and high placebo response rate were observed, likely related to the various aspects of AjDA that make it a challenging indication to study. The study of AjDA is complicated because the disorder is, by definition, temporary and self-resolving, making it difficult to identify the cause of clinical improvement or whether placebo played a role in any improvement observed. AjDA is a temporary stress reaction. The stress reaction typically starts within three months of an identifiable stressful situation, but because the disorder is directly linked to a stressor, once the stressor ends, the anxiety reaction may also end, with or without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Fixed dosing of fasedienol four times per day, over four weeks, was well tolerated, with no appreciable differences in TEAEs between fasedienol and placebo. All reported TEAEs were of mild or moderate severity, with no severe or serious TEAEs reported during the study. Headache was the most commonly reported TEAE, reported by 3 subjects (15.8%) on fasedienol and 2 subjects (9.1%) on placebo.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Despite the methodological challenges inherent in the exploratory Phase 2A study in AjDA, we believe fasedienol builds resilience against anxiety and reduces the cognitive and physical paralysis that occurs during moments of heightened anxiety and stressful situations. Results of the AjDA study may provide support for an as-needed fasedienol dosing approach over time as the preferred mode of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also have potential opportunities to explore the development of fasedienol for other anxiety-related disorders, including postpartum anxiety, post-traumatic stress disorder, panic disorder, and procedural anxiety.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Itruvone Nasal Spray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Itruvone (PH10) is an odorless, tasteless synthetic investigational pherine from the pregnane family with a novel, rapid-onset potential MOA that is fundamentally differentiated from the MOA of all currently approved treatments for depression disorders. Itruvone, which is administered as a nasal spray at microgram-level doses, is designed to engage and activate chemosensory neurons in the nasal cavity, which are connected to neural circuits in the brain that produce antidepressant effects. Specifically, in a manner similar to fasedienol, itruvone’s proposed MOA involves the regulation of the olfactory-amygdala neural circuits believed to increase activity of the limbic-hypothalamic sympathetic nervous system and increase the release of catecholamines. Importantly, unlike all currently approved oral antidepressants (</w:t>
      </w:r>
      <w:r>
        <w:rPr>
          <w:rFonts w:ascii="Times New Roman" w:hAnsi="Times New Roman"/>
          <w:i/>
          <w:caps w:val="false"/>
          <w:smallCaps w:val="false"/>
          <w:sz w:val="20"/>
        </w:rPr>
        <w:t>ADs</w:t>
      </w:r>
      <w:r>
        <w:rPr>
          <w:rFonts w:ascii="Times New Roman" w:hAnsi="Times New Roman"/>
          <w:caps w:val="false"/>
          <w:smallCaps w:val="false"/>
          <w:sz w:val="20"/>
        </w:rPr>
        <w:t>) and rapid-onset ketamine-based therapy, including both intravenous ketamine and intranasal ketamine (esketamine), we believe itruvone does not require systemic uptake and distribution of the compound to the brain to produce rapid-onset of antidepressant effects. In all clinical studies completed to date, itruvone has been well-tolerated and has not caused psychological side effects (such as dissociation and hallucinations) or other safety concerns that may be associated with ketamine-based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January 2023, we launched a small U.S. single center, randomized, double-blinded, placebo-controlled Phase 1 study to investigate the safety and tolerability of itruvone in healthy adult subjects (n=12). The study was designed to confirm the favorable safety profile of itruvone established in three previous clinical studies conducted in Mexico, as well as facilitate our plans for Phase 2B development of itruvone in the U.S. as a fast-acting stand-alone treatment for MDD. In June 2023, we announced positive data from this study. There were no reported SAEs or discontinuations due to adverse events in the trial. Two AEs were reported during the treatment period, fatigue and headache, which occurred in the same subject. Both AEs resolved without sequelae and were mild in severity. Following itruvone administration, there were no clinically significant findings in ECGs, vital signs, and laboratory parameters. Overall, itruvone was well-tolerated and continued to demonstrate a favorable safety profile.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has granted Fast Track designation for development of itruvone as a potential adjunctive treatment for MDD.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PH80 Nasal Spray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PH80 is an odorless, tasteless synthetic investigational pherine with a novel, rapid-onset potential MOA that is fundamentally differentiated from the MOA of all currently approved treatments for both vasomotor symptoms (hot flashes) due to menopause and migraine headaches. PH80, which is administered as a nasal spray at microgram-level doses, engages and activates chemosensory neurons in the nasal cavity, which are connected to neural circuits in the brain that modulate neural circuits in the basal forebrain associated with the control of body temperature, as well as premonitory and aura symptoms of migraines. Results from a previously unpublished exploratory randomized, double-blind, placebo-controlled Phase 2A study of PH80 for the acute treatment of vasomotor symptoms (hot flashes) due to menopause demonstrated a statistically significant reduction in the daily number of menopausal hot flashes compared to placebo at the end of the first week of treatment (p&lt;.001), and the improvement was maintained through each treatment week until the end of the four-week treatment period. We are currently preparing, on our own or with collaborators, to submit an U.S. IND for a Phase 2B clinical study of PH80 as a treatment for hot flashes due to menopause.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PH80 initiates neural impulses in the olfactory bulb transmitted by pathways that rapidly affect the function of multiple structures in the brain, including the amygdala and hypothalamus that have been linked to the pathology of migraine. Due to its MOA and a small proof of concept study, we believe PH80 may have therapeutic potential to relieve premonitory and aura symptoms of migraines.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PH15 Nasal Spray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PH15 is an odorless, tasteless synthetic investigational pherine with a novel, rapid-onset potential MOA that is fundamentally differentiated from the MOA of all currently approved treatments to improve cognitive impairment caused by mental fatigue and potentially other disorders. Early functional MRI studies in human volunteers at Stanford University revealed that intranasal administration of PH15 induced rapid activation of brain areas related to cognition (Sobel et al, Brain, 1999). In a small double blind, placebo-controlled study Phase 2 study of human subjects who were sleep deprived to induce mental fatigue, intranasal PH15 showed rapid and significant improvement in cognitive and psychomotor performance and improvement of reaction time that was better than the effect of a placebo and 400 mg of oral caffeine. We are currently evaluating the path forward to submitting an U.S. IND for a Phase 2 clinical study, on our own or with collaborators, and the appropriate indication for demonstrating improvement of cognitive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PH284 Nasal Spray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PH284 is an odorless, tasteless synthetic investigational pherine with a novel, rapid-onset potential MOA that is fundamentally differentiated from the MOA of all currently approved treatments for the loss of appetite associated with chronic disorders such as cancer. Cachexia is a serious but under recognized consequence of many chronic diseases with body mass loss of &gt;10% and a prevalence of 5 to 15 %. We believe PH284 may have therapeutic potential for improving subjective feelings of hunger in patients with cachexia.  We are currently evaluating the path forward to submitting an U.S. IND for cachexia, on our own or with collaborators, and the appropriate patient populations for demonstrating increase in appetite and weight gain in a second Phase 2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 xml:space="preserve">AV-101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AV-101 (4-Cl-KYN) is a novel, oral prodrug that targets the NMDAR (N-methyl-D-aspartate receptor), an ionotropic glutamate receptor in the brain. Abnormal NMDAR function is associated with numerous CNS diseases and disorders. The active metabolite of AV-101, 7-chloro-kynurenic acid (7-Cl-KYNA), is a potent and selective full antagonist of the glycine binding site of the NMDAR that inhibits the function of the NMDAR. Unlike ketamine and many other NMDAR antagonists, 7-Cl-KYNA is not an ion channel blocker. In clinical and nonclinical testing completed to date, AV-101 has demonstrated good oral bioavailability and an excellent pharmacokinetic (</w:t>
      </w:r>
      <w:r>
        <w:rPr>
          <w:rFonts w:ascii="Times New Roman" w:hAnsi="Times New Roman"/>
          <w:i/>
          <w:caps w:val="false"/>
          <w:smallCaps w:val="false"/>
          <w:sz w:val="20"/>
        </w:rPr>
        <w:t>PK</w:t>
      </w:r>
      <w:r>
        <w:rPr>
          <w:rFonts w:ascii="Times New Roman" w:hAnsi="Times New Roman"/>
          <w:caps w:val="false"/>
          <w:smallCaps w:val="false"/>
          <w:sz w:val="20"/>
        </w:rPr>
        <w:t>) profile. No binding of AV-101 or 7-Cl-KYNA to off-site targets was identified by an extensive receptor screening study. Moreover, in all clinical trials completed to date, AV-101 has been safe and very well-tolerated with no psychological side effects or safety concerns and no treatment-related serious adverse events that are often observed with classic channel-blocking NMDAR antagonists such as ketamine and amantadine. Nonclinical results also indicate that chronic administration of 4-Cl-KYN induces hippocampal neurogenesis, a hallmark of drugs that have antidepressive effects, and increases endogenous levels of KYNA, which also is a functional NMDAR glycine site antagonist.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observations and findings from preclinical studies, we believe AV-101 has the potential to become a new oral treatment alternative for multiple CNS disorders. We are currently preparing for Phase 2A development of AV-101, on our own or with collaborators,  as a treatment for one or more neurological disorders involving the NMDAR receptor.  Multiple studies have shown AV-101 to be safe and well-tolerated, and a range of preclinical studies indicate potential in multiple indications, including levodopa-induced dyskinesia, neuropathic pain, seizures, MDD, and suicidal ideation.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has granted Fast Track designation for development of AV-101 as a potential adjunctive treatment for MDD and as a non-opioid treatment for neuropathic 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Acquisition of Pherin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On December 20, 2022, we entered into an Agreement and Plan of Merger (the </w:t>
      </w:r>
      <w:r>
        <w:rPr>
          <w:rFonts w:ascii="Times New Roman" w:hAnsi="Times New Roman"/>
          <w:i/>
          <w:caps w:val="false"/>
          <w:smallCaps w:val="false"/>
          <w:sz w:val="20"/>
        </w:rPr>
        <w:t>Merger Agreement</w:t>
      </w:r>
      <w:r>
        <w:rPr>
          <w:rFonts w:ascii="Times New Roman" w:hAnsi="Times New Roman"/>
          <w:caps w:val="false"/>
          <w:smallCaps w:val="false"/>
          <w:sz w:val="20"/>
        </w:rPr>
        <w:t>) along with VTGN Merger Sub, Inc., our wholly owned subsidiary (</w:t>
      </w:r>
      <w:r>
        <w:rPr>
          <w:rFonts w:ascii="Times New Roman" w:hAnsi="Times New Roman"/>
          <w:i/>
          <w:caps w:val="false"/>
          <w:smallCaps w:val="false"/>
          <w:sz w:val="20"/>
        </w:rPr>
        <w:t>Merger Sub</w:t>
      </w:r>
      <w:r>
        <w:rPr>
          <w:rFonts w:ascii="Times New Roman" w:hAnsi="Times New Roman"/>
          <w:caps w:val="false"/>
          <w:smallCaps w:val="false"/>
          <w:sz w:val="20"/>
        </w:rPr>
        <w:t>), Pherin Pharmaceuticals, Inc. (</w:t>
      </w:r>
      <w:r>
        <w:rPr>
          <w:rFonts w:ascii="Times New Roman" w:hAnsi="Times New Roman"/>
          <w:i/>
          <w:caps w:val="false"/>
          <w:smallCaps w:val="false"/>
          <w:sz w:val="20"/>
        </w:rPr>
        <w:t>Pherin</w:t>
      </w:r>
      <w:r>
        <w:rPr>
          <w:rFonts w:ascii="Times New Roman" w:hAnsi="Times New Roman"/>
          <w:caps w:val="false"/>
          <w:smallCaps w:val="false"/>
          <w:sz w:val="20"/>
        </w:rPr>
        <w:t xml:space="preserve">), and Kevin McCarthy in his capacity of Stockholder Representative, to acquire Pherin (the </w:t>
      </w:r>
      <w:r>
        <w:rPr>
          <w:rFonts w:ascii="Times New Roman" w:hAnsi="Times New Roman"/>
          <w:i/>
          <w:caps w:val="false"/>
          <w:smallCaps w:val="false"/>
          <w:sz w:val="20"/>
        </w:rPr>
        <w:t>Pherin Acquisition</w:t>
      </w:r>
      <w:r>
        <w:rPr>
          <w:rFonts w:ascii="Times New Roman" w:hAnsi="Times New Roman"/>
          <w:caps w:val="false"/>
          <w:smallCaps w:val="false"/>
          <w:sz w:val="20"/>
        </w:rPr>
        <w:t xml:space="preserve">). On February 2, 2023 (the </w:t>
      </w:r>
      <w:r>
        <w:rPr>
          <w:rFonts w:ascii="Times New Roman" w:hAnsi="Times New Roman"/>
          <w:i/>
          <w:caps w:val="false"/>
          <w:smallCaps w:val="false"/>
          <w:sz w:val="20"/>
        </w:rPr>
        <w:t>Closing Date</w:t>
      </w:r>
      <w:r>
        <w:rPr>
          <w:rFonts w:ascii="Times New Roman" w:hAnsi="Times New Roman"/>
          <w:caps w:val="false"/>
          <w:smallCaps w:val="false"/>
          <w:sz w:val="20"/>
        </w:rPr>
        <w:t>), we completed the Pherin Acquisition and Pherin is now a wholly owned subsidiary of the Company. Immediately prior to the consummation of the Pherin Acquisition, each of Pherin’s directors and officers resigned, and no employees or other affiliates of Pherin on the Closing Date are serving or will serve in their previous roles or in any other capacity with Pherin or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consideration for the Pherin Acquisition, we (i) issued an aggregate of 413,670 unregistered shares of our common stock to the exchange agent for the Pherin Acquisition, which shares were issued to approximately 96.07% of Pherin stockholders eligible to receive common stock in exchange for their outstanding shares of Pherin common stock (the </w:t>
      </w:r>
      <w:r>
        <w:rPr>
          <w:rFonts w:ascii="Times New Roman" w:hAnsi="Times New Roman"/>
          <w:i/>
          <w:caps w:val="false"/>
          <w:smallCaps w:val="false"/>
          <w:sz w:val="20"/>
        </w:rPr>
        <w:t>Stock Consideration</w:t>
      </w:r>
      <w:r>
        <w:rPr>
          <w:rFonts w:ascii="Times New Roman" w:hAnsi="Times New Roman"/>
          <w:caps w:val="false"/>
          <w:smallCaps w:val="false"/>
          <w:sz w:val="20"/>
        </w:rPr>
        <w:t xml:space="preserve">), and (ii) paid to the exchange agent for the Pherin Acquisition, an aggregate of approximately $126,100 for the approximately 3.93% remaining Pherin stockholders who were not eligible to receive Stock Consideration in exchange for their outstanding shares of Pherin common stock (the </w:t>
      </w:r>
      <w:r>
        <w:rPr>
          <w:rFonts w:ascii="Times New Roman" w:hAnsi="Times New Roman"/>
          <w:i/>
          <w:caps w:val="false"/>
          <w:smallCaps w:val="false"/>
          <w:sz w:val="20"/>
        </w:rPr>
        <w:t>Cash Consideration</w:t>
      </w:r>
      <w:r>
        <w:rPr>
          <w:rFonts w:ascii="Times New Roman" w:hAnsi="Times New Roman"/>
          <w:caps w:val="false"/>
          <w:smallCaps w:val="false"/>
          <w:sz w:val="20"/>
        </w:rPr>
        <w:t xml:space="preserve"> and, together with the Stock Consideration, the </w:t>
      </w:r>
      <w:r>
        <w:rPr>
          <w:rFonts w:ascii="Times New Roman" w:hAnsi="Times New Roman"/>
          <w:i/>
          <w:caps w:val="false"/>
          <w:smallCaps w:val="false"/>
          <w:sz w:val="20"/>
        </w:rPr>
        <w:t>Merger Consideration</w:t>
      </w:r>
      <w:r>
        <w:rPr>
          <w:rFonts w:ascii="Times New Roman" w:hAnsi="Times New Roman"/>
          <w:caps w:val="false"/>
          <w:smallCaps w:val="false"/>
          <w:sz w:val="20"/>
        </w:rPr>
        <w:t>). We have accounted for the Pherin Acquisition as an asset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the completion of the Pherin Acquisition, we now have full ownership of intellectual property rights to fasedienol and itruvone, as well as PH15, PH80 and PH284.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Critical Accounting Policies and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consider certain accounting policies related to revenue recognition, determination of right-of-use assets under lease transactions and related lease obligations,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Times New Roman" w:hAnsi="Times New Roman"/>
          <w:i/>
          <w:caps w:val="false"/>
          <w:smallCaps w:val="false"/>
          <w:sz w:val="20"/>
        </w:rPr>
        <w:t>U.S. GAAP</w:t>
      </w:r>
      <w:r>
        <w:rPr>
          <w:rFonts w:ascii="Times New Roman" w:hAnsi="Times New Roman"/>
          <w:caps w:val="false"/>
          <w:smallCaps w:val="false"/>
          <w:sz w:val="20"/>
        </w:rPr>
        <w:t>) requires us to make estimates and assumptions that affect the amounts reported in the financial statements and accompanying notes to the consolidated financial statements. These estimates include, but are not limited to, those relating to stock-based compensation, revenue recognition, research and development expenses, determination of right-of-use assets under lease transactions and related lease obligations, and the assumptions used to value warrants, warrant modifications, and useful lives for property and equipment and related depreciation calculations. Our actual results could differ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AffaMed Agreement, involving clinical development and commercialization of fasedienol for acute treatment of anxiety in adults with SAD, and potentially other anxiety-related disorders, in Greater China, South Korea, and Southeast Asia, has been the basis of our reported revenue for both our fiscal year ending March 31, 20232 (</w:t>
      </w:r>
      <w:r>
        <w:rPr>
          <w:rFonts w:ascii="Times New Roman" w:hAnsi="Times New Roman"/>
          <w:i/>
          <w:caps w:val="false"/>
          <w:smallCaps w:val="false"/>
          <w:sz w:val="20"/>
        </w:rPr>
        <w:t>Fiscal 2023</w:t>
      </w:r>
      <w:r>
        <w:rPr>
          <w:rFonts w:ascii="Times New Roman" w:hAnsi="Times New Roman"/>
          <w:caps w:val="false"/>
          <w:smallCaps w:val="false"/>
          <w:sz w:val="20"/>
        </w:rPr>
        <w:t>) and 2022 (</w:t>
      </w:r>
      <w:r>
        <w:rPr>
          <w:rFonts w:ascii="Times New Roman" w:hAnsi="Times New Roman"/>
          <w:i/>
          <w:caps w:val="false"/>
          <w:smallCaps w:val="false"/>
          <w:sz w:val="20"/>
        </w:rPr>
        <w:t>Fiscal 2022</w:t>
      </w:r>
      <w:r>
        <w:rPr>
          <w:rFonts w:ascii="Times New Roman" w:hAnsi="Times New Roman"/>
          <w:caps w:val="false"/>
          <w:smallCaps w:val="false"/>
          <w:sz w:val="20"/>
        </w:rPr>
        <w:t>). In prior years, we occasionally generated revenue from collaborative research and development arrangements, licensing and technology access fees and government grants. We recognize revenue following the guidance of Accounting Standards Update (</w:t>
      </w:r>
      <w:r>
        <w:rPr>
          <w:rFonts w:ascii="Times New Roman" w:hAnsi="Times New Roman"/>
          <w:i/>
          <w:caps w:val="false"/>
          <w:smallCaps w:val="false"/>
          <w:sz w:val="20"/>
        </w:rPr>
        <w:t>ASU</w:t>
      </w:r>
      <w:r>
        <w:rPr>
          <w:rFonts w:ascii="Times New Roman" w:hAnsi="Times New Roman"/>
          <w:caps w:val="false"/>
          <w:smallCaps w:val="false"/>
          <w:sz w:val="20"/>
        </w:rPr>
        <w:t xml:space="preserve">) No. 2014-09, </w:t>
      </w:r>
      <w:r>
        <w:rPr>
          <w:rFonts w:ascii="Times New Roman" w:hAnsi="Times New Roman"/>
          <w:i/>
          <w:caps w:val="false"/>
          <w:smallCaps w:val="false"/>
          <w:sz w:val="20"/>
        </w:rPr>
        <w:t xml:space="preserve">Revenue from Contracts with Customers (Topic 606) </w:t>
      </w:r>
      <w:r>
        <w:rPr>
          <w:rFonts w:ascii="Times New Roman" w:hAnsi="Times New Roman"/>
          <w:caps w:val="false"/>
          <w:smallCaps w:val="false"/>
          <w:sz w:val="20"/>
        </w:rPr>
        <w:t>and its related amendments, collectively referred to as ASC (</w:t>
      </w:r>
      <w:r>
        <w:rPr>
          <w:rFonts w:ascii="Times New Roman" w:hAnsi="Times New Roman"/>
          <w:i/>
          <w:caps w:val="false"/>
          <w:smallCaps w:val="false"/>
          <w:sz w:val="20"/>
        </w:rPr>
        <w:t>Accounting Standards Codification</w:t>
      </w:r>
      <w:r>
        <w:rPr>
          <w:rFonts w:ascii="Times New Roman" w:hAnsi="Times New Roman"/>
          <w:caps w:val="false"/>
          <w:smallCaps w:val="false"/>
          <w:sz w:val="20"/>
        </w:rPr>
        <w:t>) Topic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ASC Topic 606, we recognize revenue when our customer obtains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Once a contract is determined to be within the scope of Topic 606, we assess the goods or services promised within each contract and determine those that are performance obligations. Arrangements that include rights to additional goods or services that are exercisable at a customer’s discretion are generally considered options. We assess whether these options provide a material right to the customer and if so, they are considered performance obligations. The exercise of a material right may be accounted for as a contract modification or as a continuation of the contract for accounting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our promise to transfer the good or service to the customer is separately identifiable from other promises in the contract (that is, the promise to transfer the good or service is distinct within the context of the contract). In assessing whether a promised good or service is distinct in the evaluation of a collaboration arrangement subject to Topic 606, we consider factors such as the research, manufacturing and commercialization capabilities of the collaboration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we are required to combine that good or service with other promised goods or services until we identify a bundle of goods or services that is distinct.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transaction price is then determined and allocated to the identified performance obligations in proportion to their standalone selling prices (</w:t>
      </w:r>
      <w:r>
        <w:rPr>
          <w:rFonts w:ascii="Times New Roman" w:hAnsi="Times New Roman"/>
          <w:i/>
          <w:caps w:val="false"/>
          <w:smallCaps w:val="false"/>
          <w:sz w:val="20"/>
        </w:rPr>
        <w:t>SSP</w:t>
      </w:r>
      <w:r>
        <w:rPr>
          <w:rFonts w:ascii="Times New Roman" w:hAnsi="Times New Roman"/>
          <w:caps w:val="false"/>
          <w:smallCaps w:val="false"/>
          <w:sz w:val="20"/>
        </w:rPr>
        <w:t>) on a relative SSP basis. SSP is determined at contract inception and is not updated to reflect changes between contract inception and satisfaction of the performance obligations. Determining the SSP for performance obligations requires significant judgment. In developing the SSP for a performance obligation, we consider applicable market conditions and relevant Company-specific factors, including factors that were contemplated in negotiating the agreement with the customer and estimated costs. In certain circumstances, we may apply the residual method to determine the SSP of a good or service if the standalone selling price is considered highly variable or uncertain. We validate the SSP for performance obligations by evaluating whether changes in the key assumptions used to determine the SSP will have a significant effect on the allocation of arrangement consideration between multiple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 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then recognize as revenue the amount of the transaction price that is allocated to the respective performance obligation when (or as) each performance obligation is satisfied at a point in time or over time, and if over time, based on the use of an output or input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Right-of-use Assets and Lease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account for our leases following the guidance of Accounting Standards Update No. 2016-02, “</w:t>
      </w:r>
      <w:r>
        <w:rPr>
          <w:rFonts w:ascii="Times New Roman" w:hAnsi="Times New Roman"/>
          <w:i/>
          <w:caps w:val="false"/>
          <w:smallCaps w:val="false"/>
          <w:sz w:val="20"/>
        </w:rPr>
        <w:t>Leases (Topic 842)</w:t>
      </w:r>
      <w:r>
        <w:rPr>
          <w:rFonts w:ascii="Times New Roman" w:hAnsi="Times New Roman"/>
          <w:caps w:val="false"/>
          <w:smallCaps w:val="false"/>
          <w:sz w:val="20"/>
        </w:rPr>
        <w:t>” (</w:t>
      </w:r>
      <w:r>
        <w:rPr>
          <w:rFonts w:ascii="Times New Roman" w:hAnsi="Times New Roman"/>
          <w:i/>
          <w:caps w:val="false"/>
          <w:smallCaps w:val="false"/>
          <w:sz w:val="20"/>
        </w:rPr>
        <w:t>ASU 2016-02</w:t>
      </w:r>
      <w:r>
        <w:rPr>
          <w:rFonts w:ascii="Times New Roman" w:hAnsi="Times New Roman"/>
          <w:caps w:val="false"/>
          <w:smallCaps w:val="false"/>
          <w:sz w:val="20"/>
        </w:rPr>
        <w:t>). ASU 2016-02 requires that we determine, at the inception of an arrangement, whether the arrangement is or contains a lease, based on the unique facts and circumstances present. Operating lease assets represent our right to use an underlying asset for the lease term (</w:t>
      </w:r>
      <w:r>
        <w:rPr>
          <w:rFonts w:ascii="Times New Roman" w:hAnsi="Times New Roman"/>
          <w:i/>
          <w:caps w:val="false"/>
          <w:smallCaps w:val="false"/>
          <w:sz w:val="20"/>
        </w:rPr>
        <w:t>Right of use assets</w:t>
      </w:r>
      <w:r>
        <w:rPr>
          <w:rFonts w:ascii="Times New Roman" w:hAnsi="Times New Roman"/>
          <w:caps w:val="false"/>
          <w:smallCaps w:val="false"/>
          <w:sz w:val="20"/>
        </w:rPr>
        <w:t>) and operating lease liabilities represent our obligation to make lease payments arising from the lease. Right-of-use assets and operating lease liabilities are recognized at the commencement date of the lease based upon the present value of lease payments over the lease term. When determining the lease term, we include options to extend or terminate the lease when it is reasonably certain, at inception, that we will exercise that option. The interest rate implicit in lease contracts is typically not readily determinable; accordingly, we use our incremental borrowing rate, which is the rate that would be incurred to borrow on a collateralized basis over a similar term an amount equal to the lease payments in a similar economic environment, based upon the information available at the commencement date. The lease payments used to determine our operating lease assets may include lease incentives, stated rent increases and escalation clauses linked to rates of inflation, when determinable, and are recognized in determining our Right-of-use assets. Our operating lease is reflected in the right-of-use asset – operating lease; operating lease obligation – current portion; and operating lease obligation – non-current portion in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 Variable lease payments are amounts owed by us to a lessor that are not fixed, such as reimbursement for common area maintenance costs for our facility lease; and are expensed when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Financing leases, formerly referred to as capitalized leases, are treated similarly to operating leases except that the asset subject to the lease is included in the appropriate fixed asset category, rather than recorded as a Right-of-use asset, and depreciated over its estimated useful life, or lease term, if shorter.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ASC 360-10</w:t>
      </w:r>
      <w:r>
        <w:rPr>
          <w:rFonts w:ascii="Times New Roman" w:hAnsi="Times New Roman"/>
          <w:i/>
          <w:caps w:val="false"/>
          <w:smallCaps w:val="false"/>
          <w:sz w:val="20"/>
        </w:rPr>
        <w:t>, Property, Plant &amp; Equipment</w:t>
      </w:r>
      <w:r>
        <w:rPr>
          <w:rFonts w:ascii="Times New Roman" w:hAnsi="Times New Roman"/>
          <w:caps w:val="false"/>
          <w:smallCaps w:val="false"/>
          <w:sz w:val="20"/>
        </w:rPr>
        <w:t>—</w:t>
      </w:r>
      <w:r>
        <w:rPr>
          <w:rFonts w:ascii="Times New Roman" w:hAnsi="Times New Roman"/>
          <w:i/>
          <w:caps w:val="false"/>
          <w:smallCaps w:val="false"/>
          <w:sz w:val="20"/>
        </w:rPr>
        <w:t>Overall</w:t>
      </w:r>
      <w:r>
        <w:rPr>
          <w:rFonts w:ascii="Times New Roman" w:hAnsi="Times New Roman"/>
          <w:caps w:val="false"/>
          <w:smallCaps w:val="false"/>
          <w:sz w:val="20"/>
        </w:rPr>
        <w:t>, we review long-lived assets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such cash flows are not expected to be sufficient to recover the carrying amount of the assets, we write down the assets to their estimated fair values and recognize the loss in the Consolidated Statements of Operations and Comprehensive Loss. We do not carry any capitalized intellectual property or product licenses as assets subject to impairment on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fasedienol, itruvone, and AV-101. All such costs are charged to expense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record accruals for estimated ongoing clinical trial costs. Clinical trial costs represent costs incurred by CROs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in determining the clinical trial accrual in any reporting period. Actual results could differ from those estimates under different assumptions. Revisions are charged to research and development expense in the period in which the facts that give rise to the revision become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incurred in obtaining product or technology licenses are charged immediately to research and development expense if, at acquisition, the product or technology licensed has not achieved regulatory approval or reached technical feasibility and has no alternative future uses. We treated the Pherin Acquisition as an acquisition of assets for accounting purposes. Since, at the date of the acquisition, neither fasedienol, itruvone nor the other three pherines acquired had achieved regulatory approval and each required significant additional development and expense and were without alternative future use, we recorded the costs related to acquiring the assets as research and development expense in our Consolidated Statement of Operations and Comprehensive Loss for our fiscal year ended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 compensation cost for all stock-based awards to employees and non-employee consultants based on the grant date fair value of the award.  We record stock-based compensation expense over the period during which the employee or other grantee is required to perform services in exchange for the award, which generally represents the scheduled vesting period. We have not granted restricted stock awards to employees or consultants, nor do we have any awards with market or performance conditions. Noncash expense attributable to compensatory grants of our common stock to non-employees is determined by the quoted market price of the stock on the date of grant and is either recognized as fully-earned at the time of the grant or expensed ratably over the term of the related service agreement, depending on the terms of the specific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in accordance with guidance provided by the Securities and Exchange Commission (</w:t>
      </w:r>
      <w:r>
        <w:rPr>
          <w:rFonts w:ascii="Times New Roman" w:hAnsi="Times New Roman"/>
          <w:i/>
          <w:caps w:val="false"/>
          <w:smallCaps w:val="false"/>
          <w:sz w:val="20"/>
        </w:rPr>
        <w:t>SEC</w:t>
      </w:r>
      <w:r>
        <w:rPr>
          <w:rFonts w:ascii="Times New Roman" w:hAnsi="Times New Roman"/>
          <w:caps w:val="false"/>
          <w:smallCaps w:val="false"/>
          <w:sz w:val="20"/>
        </w:rPr>
        <w:t>) to estimate the expected term as an input into the Black-Scholes option pricing model. We determine expected volatility using the historical method based on the historical daily trading data of the common stock of a peer group of public companies over the expected term of the option, as we do not believe that the historical volatility of our common stock will be indicative of its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Warrants Issued in Connection with Equity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evaluate the appropriate balance sheet classification of warrants we issue as either equity or as a derivative liability. In accordance with ASC 815-40, </w:t>
      </w:r>
      <w:r>
        <w:rPr>
          <w:rFonts w:ascii="Times New Roman" w:hAnsi="Times New Roman"/>
          <w:i/>
          <w:caps w:val="false"/>
          <w:smallCaps w:val="false"/>
          <w:sz w:val="20"/>
        </w:rPr>
        <w:t>Derivatives and Hedging-Contracts in the Entity</w:t>
      </w:r>
      <w:r>
        <w:rPr>
          <w:rFonts w:ascii="Times New Roman" w:hAnsi="Times New Roman"/>
          <w:caps w:val="false"/>
          <w:smallCaps w:val="false"/>
          <w:sz w:val="20"/>
        </w:rPr>
        <w:t>’</w:t>
      </w:r>
      <w:r>
        <w:rPr>
          <w:rFonts w:ascii="Times New Roman" w:hAnsi="Times New Roman"/>
          <w:i/>
          <w:caps w:val="false"/>
          <w:smallCaps w:val="false"/>
          <w:sz w:val="20"/>
        </w:rPr>
        <w:t>s Own Equity</w:t>
      </w:r>
      <w:r>
        <w:rPr>
          <w:rFonts w:ascii="Times New Roman" w:hAnsi="Times New Roman"/>
          <w:caps w:val="false"/>
          <w:smallCaps w:val="false"/>
          <w:sz w:val="20"/>
        </w:rPr>
        <w:t xml:space="preserve"> (</w:t>
      </w:r>
      <w:r>
        <w:rPr>
          <w:rFonts w:ascii="Times New Roman" w:hAnsi="Times New Roman"/>
          <w:i/>
          <w:caps w:val="false"/>
          <w:smallCaps w:val="false"/>
          <w:sz w:val="20"/>
        </w:rPr>
        <w:t>ASC 815-40</w:t>
      </w:r>
      <w:r>
        <w:rPr>
          <w:rFonts w:ascii="Times New Roman" w:hAnsi="Times New Roman"/>
          <w:caps w:val="false"/>
          <w:smallCaps w:val="false"/>
          <w:sz w:val="20"/>
        </w:rPr>
        <w:t xml:space="preserve">), we classify a warrant as equity if it is “indexed to the Company’s equity” and meets several specific conditions for equity classification. A warrant is not considered “indexed to the Company’s equity,” in general, when it contains certain types of exercise contingencies or potential adjustments to its exercise price. If a warrant is not indexed to the Company’s equity or it has net cash settlement that results in the warrants to be accounted for under ASC 480, </w:t>
      </w:r>
      <w:r>
        <w:rPr>
          <w:rFonts w:ascii="Times New Roman" w:hAnsi="Times New Roman"/>
          <w:i/>
          <w:caps w:val="false"/>
          <w:smallCaps w:val="false"/>
          <w:sz w:val="20"/>
        </w:rPr>
        <w:t>Distinguishing Liabilities from Equity</w:t>
      </w:r>
      <w:r>
        <w:rPr>
          <w:rFonts w:ascii="Times New Roman" w:hAnsi="Times New Roman"/>
          <w:caps w:val="false"/>
          <w:smallCaps w:val="false"/>
          <w:sz w:val="20"/>
        </w:rPr>
        <w:t xml:space="preserve"> or ASC 815-40, it is classified as a derivative liability which is carried on the consolidated balance sheet at fair value with any changes in its fair value recognized immediately in the Statement of Operations and Comprehensive Loss. At March 31, 2023 and 2022, we had both investor warrants and share-based compensation warrants outstanding that were classified as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account for income taxes using the asset and liability approach promulgated by ASC 740, </w:t>
      </w:r>
      <w:r>
        <w:rPr>
          <w:rFonts w:ascii="Times New Roman" w:hAnsi="Times New Roman"/>
          <w:i/>
          <w:caps w:val="false"/>
          <w:smallCaps w:val="false"/>
          <w:sz w:val="20"/>
        </w:rPr>
        <w:t>Income Taxes</w:t>
      </w:r>
      <w:r>
        <w:rPr>
          <w:rFonts w:ascii="Times New Roman" w:hAnsi="Times New Roman"/>
          <w:caps w:val="false"/>
          <w:smallCaps w:val="false"/>
          <w:sz w:val="20"/>
        </w:rPr>
        <w:t>,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Note 3 to the Consolidated Financial Statements included in Item 8 in this Report (</w:t>
      </w:r>
      <w:r>
        <w:rPr>
          <w:rFonts w:ascii="Times New Roman" w:hAnsi="Times New Roman"/>
          <w:i/>
          <w:caps w:val="false"/>
          <w:smallCaps w:val="false"/>
          <w:sz w:val="20"/>
        </w:rPr>
        <w:t>Financial Statements</w:t>
      </w:r>
      <w:r>
        <w:rPr>
          <w:rFonts w:ascii="Times New Roman" w:hAnsi="Times New Roman"/>
          <w:caps w:val="false"/>
          <w:smallCaps w:val="false"/>
          <w:sz w:val="20"/>
        </w:rPr>
        <w:t>) for information on 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Operations Overview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Net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not yet achieved recurring revenue-generating status from any of our product candidates or technologies in amounts sufficient to sustain our operations and enable our strategic business plans. Since acquiring our exclusive worldwide licenses in 2018, we have devoted substantial resources to advance initiatives related to research, development, and contract manufacturing of our intranasal investigational product candidates, fasedienol (PH94B) and itruvone (PH10), including initiatives related to manufacturing processes, analytical methods and production programs for drug substance and finished drug product, as well as for preclinical studies and clinical studies focused on potential commercialization of these product candidates for neuropsychiatry indications. During Fiscal 2022 and Fiscal 2023, we allocated significant resources to our PALISADE Phase 3 Program evaluating fasedienol for the acute treatment of anxiety in adults with SAD. We conducted, and are continuing to conduct, various preclinical studies and manufacturing activities that enabled submission of our U.S. IND for itruvone in MDD in late September 2022 and our initiation of a small Phase 1 clinical study of itruvone in December 2022 to facilitate potential Phase 2B clinical development of itruvone in the U.S. as a stand-alone treatment for MDD. With respect to AV-101, our current focus is evaluating AV-101 in combination with probenecid, which may provide opportunities to explore the therapeutic potential of the combination for certain CNS indications involving the NMDAR. We have on-going initiatives for creating, protecting and patenting intellectual property (</w:t>
      </w:r>
      <w:r>
        <w:rPr>
          <w:rFonts w:ascii="Times New Roman" w:hAnsi="Times New Roman"/>
          <w:i/>
          <w:caps w:val="false"/>
          <w:smallCaps w:val="false"/>
          <w:sz w:val="20"/>
        </w:rPr>
        <w:t>IP</w:t>
      </w:r>
      <w:r>
        <w:rPr>
          <w:rFonts w:ascii="Times New Roman" w:hAnsi="Times New Roman"/>
          <w:caps w:val="false"/>
          <w:smallCaps w:val="false"/>
          <w:sz w:val="20"/>
        </w:rPr>
        <w:t>) related to our product candidates and technologies and raising sufficient working capital to fund these studies, initiatives and other activities. At March 31, 2023, we had an accumulated deficit of approximately $326.9 million. Our net loss for Fiscal 2023 and Fiscal 2022 was approximately $59.2 million and $47.8 million, respectively. We expect losses to continue for the foreseeable future as we engage in further research, development and regulatory activities related to fasedienol, itruvone and AV-101 and, potentially, the new pherines acquired in the Pherin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Summary of the Fiscal Year Ended March 31,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Throughout Fiscal 2022 and Fiscal 2023, we have continued to advance our nonclinical and clinical development, manufacturing, and regulatory activities necessary for (i) Phase 3 clinical development of fasedienol as a potential treatment of anxiety in adults with SAD, (ii) advancing our Phase 2A clinical study of fasedienol in adults experiencing AjDA, (iii) submitting our itruvone IND and initiating a small Phase 1 study of itruvone in the U.S. to facilitate potential Phase 2B development as a stand-alone treatment of MDD and (iv) exploratory Phase 1B development of AV-101 in combination with probenecid to assess potential opportunities to develop the combination for treatment of certain CNS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initiated our PALISADE Phase 3 Program for fasedienol in SAD with PALISADE-1 in May 2021 and PALISADE-2 in August 2021. During Fiscal 2022, we also initiated the PALISADE OLS and advanced our Phase 2A clinical study of fasedienol in adults experiencing AjDA. We achieved last patient out of PALISADE-1 in June 2022 and commenced analysis of the data generated throughout the study. As noted above, in July 2022 we determined that PALISADE-1 did not achieve its primary efficacy endpoint. Accordingly, we have actively investigated, on multiple fronts, potential contributors to that outcome and will apply our learnings to all future clinical studies of fasedienol in SAD and/or other anxiety indications. In July 2022, after receiving the results from PALISADE-1, we paused recruitment and enrollment in PALISADE-2 to allow independent biostatisticians to conduct an interim analysis of available data from 140 subjects randomized in PALISADE-2 up to the date we paused the study and subsequently closed the study. We also ended enrollment in our PALISADE OLS in August 2022. In February 2023, we met with the FDA to discuss our broader Phase 3 development plan for fasedienol, which includes a multiple-assessment, randomized, double-blind, placebo-controlled Phase 3 study of fasedienol in adults, using the LSAS as the primary outcome measure to evaluate the efficacy of fasedienol over time in patients with SAD. FDA feedback confirmed the acceptable use of the LSAS as a primary efficacy endpoint in future fasedienol studies. Near-term, we plan to focus our resources primarily on the planning and preparation for FEARLESS-1, an LSAS-based Phase 3 study of fasedienol for treatment of SAD. We believe data from the earlier Phase 2 study of fasedienol and unpublished preliminary data from PALISADE OLS support continued late-stage clinical development of fasedienol as a potential treatment for SAD when used as-needed, over an extended period of time in an outpatient (real world)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Throughout Fiscal 2022 and Fiscal 2023, we have expanded our employee infrastructure with experienced personnel across multiple functional areas, including clinical operations, clinical research, data management, chemistry, manufacturing and controls (</w:t>
      </w:r>
      <w:r>
        <w:rPr>
          <w:rFonts w:ascii="Times New Roman" w:hAnsi="Times New Roman"/>
          <w:i/>
          <w:caps w:val="false"/>
          <w:smallCaps w:val="false"/>
          <w:sz w:val="20"/>
        </w:rPr>
        <w:t>CMC</w:t>
      </w:r>
      <w:r>
        <w:rPr>
          <w:rFonts w:ascii="Times New Roman" w:hAnsi="Times New Roman"/>
          <w:caps w:val="false"/>
          <w:smallCaps w:val="false"/>
          <w:sz w:val="20"/>
        </w:rPr>
        <w:t>) and quality assurance, biostatistics and clinical analytics, regulatory affairs, medical affairs, translational medicine, legal, contracts and corporate affairs, development operations, and investor and public relations. We have paused further additions to our employee base until we are able to secure additional financial resources and finalize our broader Phase 3 development plan for fasedienol in SAD.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Throughout Fiscal 2022 and during Fiscal 2023, strains of SARS-CoV-2, commonly referred to as COVID-19 and multiple variants of the virus, have spread globally and the outbreak was declared a pandemic by the World Health Organization and a public health emergency in the U.S. by the U.S. Secretary of Health and Human Services. Operations at our headquarters in South San Francisco were significantly curtailed during the first half of Fiscal 2022, and, to some extent, periodically thereafter, while state and local restrictions required remote working conditions. Most of our employee additions during Fiscal 2022 and thereafter are geographically located away from our headquarters facility in South San Francisco and routinely work remotely. Our employees have worked efficiently and productively while remotely located and working from home, whether as a result of the COVID-19 pandemic or otherwise. From time to time during the COVID-19 pandemic, however, the efficiency and productivity of certain preclinical and clinical development programs and our third-party collaborators, including, among others, CROs, CMOs and other third-party service providers have been impacted by surges in the spread of variants of COVID-19, such as spreads induced by the Delta and Omicron variants and their sub-variants during Fiscal 2022 and thereafter, shelter-in-place orders, social distancing measures, travel bans and restrictions, and certain business and government closures or reductions in service. Moreover, during the COVID-19 pandemic, we experienced delays in the delivery of supplies of active pharmaceutical product (</w:t>
      </w:r>
      <w:r>
        <w:rPr>
          <w:rFonts w:ascii="Times New Roman" w:hAnsi="Times New Roman"/>
          <w:i/>
          <w:caps w:val="false"/>
          <w:smallCaps w:val="false"/>
          <w:sz w:val="20"/>
        </w:rPr>
        <w:t>API</w:t>
      </w:r>
      <w:r>
        <w:rPr>
          <w:rFonts w:ascii="Times New Roman" w:hAnsi="Times New Roman"/>
          <w:caps w:val="false"/>
          <w:smallCaps w:val="false"/>
          <w:sz w:val="20"/>
        </w:rPr>
        <w:t>) or other key materials required to continue development of fasedienol and itruvone, as well as temporary disruptions in the availability of third-party personnel and others involved in the conduct of our preclinical and clinical programs. In addition, we believe conditions resulting from the COVID-19 pandemic may have negatively impacted the outcome of at least PALISADE-1. Future unexpected delays may result in a significant, material delay or disruption to our current clinical and nonclinical development plans, programs,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did not complete any capital-raising or other significant financing activities during Fiscal 2023. In May 2021, we entered into an Open Market Sale Agreement SM (the </w:t>
      </w:r>
      <w:r>
        <w:rPr>
          <w:rFonts w:ascii="Times New Roman" w:hAnsi="Times New Roman"/>
          <w:i/>
          <w:caps w:val="false"/>
          <w:smallCaps w:val="false"/>
          <w:sz w:val="20"/>
        </w:rPr>
        <w:t>Sales Agreement</w:t>
      </w:r>
      <w:r>
        <w:rPr>
          <w:rFonts w:ascii="Times New Roman" w:hAnsi="Times New Roman"/>
          <w:caps w:val="false"/>
          <w:smallCaps w:val="false"/>
          <w:sz w:val="20"/>
        </w:rPr>
        <w:t>) with Jefferies LLC (</w:t>
      </w:r>
      <w:r>
        <w:rPr>
          <w:rFonts w:ascii="Times New Roman" w:hAnsi="Times New Roman"/>
          <w:i/>
          <w:caps w:val="false"/>
          <w:smallCaps w:val="false"/>
          <w:sz w:val="20"/>
        </w:rPr>
        <w:t>Jefferies</w:t>
      </w:r>
      <w:r>
        <w:rPr>
          <w:rFonts w:ascii="Times New Roman" w:hAnsi="Times New Roman"/>
          <w:caps w:val="false"/>
          <w:smallCaps w:val="false"/>
          <w:sz w:val="20"/>
        </w:rPr>
        <w:t xml:space="preserve">) as sales agent, with respect to an at-the-market offering program (the </w:t>
      </w:r>
      <w:r>
        <w:rPr>
          <w:rFonts w:ascii="Times New Roman" w:hAnsi="Times New Roman"/>
          <w:i/>
          <w:caps w:val="false"/>
          <w:smallCaps w:val="false"/>
          <w:sz w:val="20"/>
        </w:rPr>
        <w:t>ATM</w:t>
      </w:r>
      <w:r>
        <w:rPr>
          <w:rFonts w:ascii="Times New Roman" w:hAnsi="Times New Roman"/>
          <w:caps w:val="false"/>
          <w:smallCaps w:val="false"/>
          <w:sz w:val="20"/>
        </w:rPr>
        <w:t xml:space="preserve">) under which we may, at our option, offer and sell, from time to time, shares of our common stock having an aggregate offering price of up to $75.0 million through Jefferies as our sales agent. During September and early October 2021, we sold an aggregate of 50,593 shares of our common stock and received gross cash proceeds of approximately $4.45 million under the ATM. We did not sell any shares of our common stock under the ATM during Fiscal 2023. From June 12, 2023 through the date of this Report we sold an aggregate of 561,418 shares of our common stock and received approximately $1.15 million in gross proceeds under the ATM. Subject to certain restrictions, our Registration Statement on Form S-3 (the </w:t>
      </w:r>
      <w:r>
        <w:rPr>
          <w:rFonts w:ascii="Times New Roman" w:hAnsi="Times New Roman"/>
          <w:i/>
          <w:caps w:val="false"/>
          <w:smallCaps w:val="false"/>
          <w:sz w:val="20"/>
        </w:rPr>
        <w:t>S-3 Shelf Registration Statement</w:t>
      </w:r>
      <w:r>
        <w:rPr>
          <w:rFonts w:ascii="Times New Roman" w:hAnsi="Times New Roman"/>
          <w:caps w:val="false"/>
          <w:smallCaps w:val="false"/>
          <w:sz w:val="20"/>
        </w:rPr>
        <w:t>) remains available for future sales of our equity securities in one or more public offerings, including under the ATM,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 we received the results of PALISADE-1, we have been carefully monitoring our cash resources and critically evaluating our internal and external research and development and general and administrative expenditures, which has  included (i) reassessing our Phase 3 clinical development plan for fasedienol in SAD, (ii) terminating the PALISADE OLS study of fasedienol, (iii) continuing to completion our Phase 2A clinical study of fasedienol in adults experiencing AjDA and (iv) commencing and completing our Phase 1 clinical study of itruvone as a treatment for adults suffering from MDD.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Fiscal Years Ended March 31,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results of our operations for the fiscal years ended March 31, 2023 and 2022 (amounts in thousands).</w:t>
      </w:r>
    </w:p>
    <w:p>
      <w:pPr>
        <w:pStyle w:val="TextBody"/>
        <w:bidi w:val="0"/>
        <w:spacing w:before="0" w:after="0"/>
        <w:ind w:left="0" w:right="0" w:hanging="0"/>
        <w:jc w:val="left"/>
        <w:rPr>
          <w:caps w:val="false"/>
          <w:smallCaps w:val="false"/>
        </w:rPr>
      </w:pPr>
      <w:r>
        <w:rPr>
          <w:caps w:val="false"/>
          <w:smallCaps w:val="false"/>
        </w:rPr>
        <w:t> </w:t>
      </w:r>
    </w:p>
    <w:tbl>
      <w:tblPr>
        <w:tblW w:w="6386" w:type="dxa"/>
        <w:jc w:val="left"/>
        <w:tblInd w:w="0" w:type="dxa"/>
        <w:tblLayout w:type="fixed"/>
        <w:tblCellMar>
          <w:top w:w="0" w:type="dxa"/>
          <w:left w:w="0" w:type="dxa"/>
          <w:bottom w:w="0" w:type="dxa"/>
          <w:right w:w="0" w:type="dxa"/>
        </w:tblCellMar>
      </w:tblPr>
      <w:tblGrid>
        <w:gridCol w:w="3710"/>
        <w:gridCol w:w="60"/>
        <w:gridCol w:w="187"/>
        <w:gridCol w:w="976"/>
        <w:gridCol w:w="120"/>
        <w:gridCol w:w="90"/>
        <w:gridCol w:w="187"/>
        <w:gridCol w:w="976"/>
        <w:gridCol w:w="80"/>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Fiscal Year Ended March 31, </w:t>
            </w:r>
          </w:p>
        </w:tc>
        <w:tc>
          <w:tcPr>
            <w:tcW w:w="80"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Sublicense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p>
        </w:tc>
        <w:tc>
          <w:tcPr>
            <w:tcW w:w="1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1,109</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44,377</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35,408</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14,664</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13,480</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59,041</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48,888</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(59,268</w:t>
            </w:r>
          </w:p>
        </w:tc>
        <w:tc>
          <w:tcPr>
            <w:tcW w:w="1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net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(59,242</w:t>
            </w:r>
          </w:p>
        </w:tc>
        <w:tc>
          <w:tcPr>
            <w:tcW w:w="1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(47,759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1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(59,248</w:t>
            </w:r>
          </w:p>
        </w:tc>
        <w:tc>
          <w:tcPr>
            <w:tcW w:w="1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dividend on Series B Preferred Stock</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attributable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(59,248</w:t>
            </w:r>
          </w:p>
        </w:tc>
        <w:tc>
          <w:tcPr>
            <w:tcW w:w="1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(48,707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Revenue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derecognized $227,300 in sublicense revenue pursuant to the AffaMed Agreement during Fiscal 2023 compared to recognizing revenue of $1,108,900 during Fiscal 2022. As described more completely in Note 3 and Note 11 to our Financial Statements in Item 8 of this Report, on June 24, 2020, we entered into the AffaMed Agreement, pursuant to which we received a non-refundable upfront license fee payment of $5.0 million on August 3, 2020, which payment commenced our revenue recognition under the AffaMed Agreement. We recognize revenue on a straight-line basis over the period during which we expect to perform our obligation under the AffaMed Agreement, essentially the development and regulatory approval in the U.S. of fasedienol in adults with SAD. Revenue related to our performance obligation, which is satisfied over time, could be materially impacted because of changes in our estimates of the time or effort necessary to satisfy the performance obligation. Due to the failure of PALISADE-1 to meet its primary efficacy endpoint and the resulting anticipated delays in subsequent clinical and regulatory processes for fasedienol in SAD, at September 30, 2022, we estimated that completion of our performance obligation under the AffaMed Agreement would be delayed until mid-calendar 2027. As a result of the change in our estimate of the time required to complete our performance obligation under the AffaMed Agreement, we recorded a cumulative catch-up adjustment at September 30, 2022 pursuant to which we derecognized previously recorded revenue of $892,500, resulting in negative revenue of $227,300 for Fiscal 2023. Following the cumulative catch-up adjustment, through March 31, 2023, we have recognized an aggregate of $1,971,100 as revenue under the AffaMed Agreement and expect to recognize the remaining $3,028,900 as revenue over the estimated performance period as our obligation is completed. We have not subsequently modified our September 30, 2022 estimate of the timing to complete our performance obligation, however, we will adjust our estimates, as necessary, in subsequent periods should more definitive information on which to base our projections become available. While we may potentially receive additional cash payments and royalties in the future under the AffaMed Agreement in the event certain performance-based milestones and commercial sales are achieved, there can be no assurance that the AffaMed Agreement will provide any additional revenue beyond that noted or cash payments to us in the near term,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2016, we entered into an Exclusive License and Sublicense Agreement with BlueRock Therapeutics, LP, a regenerative medicine company established in December 2016 by Bayer AG and Versant Ventures (</w:t>
      </w:r>
      <w:r>
        <w:rPr>
          <w:rFonts w:ascii="Times New Roman" w:hAnsi="Times New Roman"/>
          <w:i/>
          <w:caps w:val="false"/>
          <w:smallCaps w:val="false"/>
          <w:sz w:val="20"/>
        </w:rPr>
        <w:t>BlueRock Therapeutics</w:t>
      </w:r>
      <w:r>
        <w:rPr>
          <w:rFonts w:ascii="Times New Roman" w:hAnsi="Times New Roman"/>
          <w:caps w:val="false"/>
          <w:smallCaps w:val="false"/>
          <w:sz w:val="20"/>
        </w:rPr>
        <w:t>), pursuant to which BlueRock Therapeutics received exclusive rights to utilize certain technologies exclusively licensed by us from University Health Network (</w:t>
      </w:r>
      <w:r>
        <w:rPr>
          <w:rFonts w:ascii="Times New Roman" w:hAnsi="Times New Roman"/>
          <w:i/>
          <w:caps w:val="false"/>
          <w:smallCaps w:val="false"/>
          <w:sz w:val="20"/>
        </w:rPr>
        <w:t>UHN</w:t>
      </w:r>
      <w:r>
        <w:rPr>
          <w:rFonts w:ascii="Times New Roman" w:hAnsi="Times New Roman"/>
          <w:caps w:val="false"/>
          <w:smallCaps w:val="false"/>
          <w:sz w:val="20"/>
        </w:rPr>
        <w:t>) for the production of cardiac stem cells for the treatment of heart disease. We recognized $1.25 million in sublicense revenue in our fiscal year ended March 31, 2017, under the agreement. In May 2023, BlueRock Therapeutics notified us that the Exclusive License and Sublicense Agreement would be terminated effective July 10,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Research and Development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w:t>
      </w:r>
      <w:r>
        <w:rPr>
          <w:rFonts w:ascii="Times New Roman" w:hAnsi="Times New Roman"/>
          <w:i/>
          <w:caps w:val="false"/>
          <w:smallCaps w:val="false"/>
          <w:sz w:val="20"/>
        </w:rPr>
        <w:t>R&amp;D</w:t>
      </w:r>
      <w:r>
        <w:rPr>
          <w:rFonts w:ascii="Times New Roman" w:hAnsi="Times New Roman"/>
          <w:caps w:val="false"/>
          <w:smallCaps w:val="false"/>
          <w:sz w:val="20"/>
        </w:rPr>
        <w:t>) expense increased by approximately $9.0 million, from $35.4 million in Fiscal 2022 to $44.4 million in Fiscal 2023. Activities related to our PALISADE Phase 3 Program for fasedienol, including PALISADE-1, PALISADE-2 and the PALISADE OLS study, and the fasedienol Phase 2 Study in AjDA, as well as nonclinical development, outsourced manufacturing and regulatory activities for both fasedienol and itruvone, accounted for increased expenses of approximately $5.1 million during Fiscal 2023 in comparison to the activities conducted during Fiscal 2022. Additionally, we expensed approximately $3.6 million of costs related to the Pherin Acquisition, including approximately $3.1 million representing the fair market value of the common stock issued in the Pherin Acquisition. In addition to the noncash fair value of the common stock issued in the Pherin Acquisition in Fiscal 2023, other noncash research and development expenses, primarily stock-based compensation and depreciation in both periods, accounted for approximately $1.5 million in both Fiscal 2023 and Fiscal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indicates the primary components of R&amp;D expense for each of the periods (amounts in thousands):</w:t>
      </w:r>
    </w:p>
    <w:p>
      <w:pPr>
        <w:pStyle w:val="TextBody"/>
        <w:bidi w:val="0"/>
        <w:spacing w:before="0" w:after="0"/>
        <w:ind w:left="0" w:right="0" w:hanging="0"/>
        <w:jc w:val="left"/>
        <w:rPr>
          <w:caps w:val="false"/>
          <w:smallCaps w:val="false"/>
        </w:rPr>
      </w:pPr>
      <w:r>
        <w:rPr>
          <w:caps w:val="false"/>
          <w:smallCaps w:val="false"/>
        </w:rPr>
        <w:t> </w:t>
      </w:r>
    </w:p>
    <w:tbl>
      <w:tblPr>
        <w:tblW w:w="7642" w:type="dxa"/>
        <w:jc w:val="left"/>
        <w:tblInd w:w="0" w:type="dxa"/>
        <w:tblLayout w:type="fixed"/>
        <w:tblCellMar>
          <w:top w:w="0" w:type="dxa"/>
          <w:left w:w="0" w:type="dxa"/>
          <w:bottom w:w="0" w:type="dxa"/>
          <w:right w:w="0" w:type="dxa"/>
        </w:tblCellMar>
      </w:tblPr>
      <w:tblGrid>
        <w:gridCol w:w="4910"/>
        <w:gridCol w:w="60"/>
        <w:gridCol w:w="210"/>
        <w:gridCol w:w="995"/>
        <w:gridCol w:w="101"/>
        <w:gridCol w:w="101"/>
        <w:gridCol w:w="210"/>
        <w:gridCol w:w="995"/>
        <w:gridCol w:w="60"/>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Fiscal Years Ended March 31, </w:t>
            </w:r>
          </w:p>
        </w:tc>
        <w:tc>
          <w:tcPr>
            <w:tcW w:w="6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1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49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Salaries and benefits</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6,255</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9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1,365</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9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Consulting and other professional services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817</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9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Clinical and nonclinical studies and development expenses: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Fasedienol and Itruvone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30,326</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25,184</w:t>
            </w:r>
          </w:p>
        </w:tc>
        <w:tc>
          <w:tcPr>
            <w:tcW w:w="6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AV-101</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1,163</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999</w:t>
            </w:r>
          </w:p>
        </w:tc>
        <w:tc>
          <w:tcPr>
            <w:tcW w:w="6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All other</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6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31,561</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26,312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9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Pherin Acquisition as an asset purchase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3,559</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9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Rent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9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9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9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Research and Development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44,377</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35,408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increase in salaries and benefits expense in Fiscal 2023 primarily reflects the addition of seven new management and staff positions across multiple functional disciplines, including biostatistics and clinical analytics, clinical operations, chemistry, manufacturing and controls, and regulatory affairs since the end of Fiscal 2022, as well as the impact of salary increases effective in January 2022 granted to our R&amp;D management and staff. These increases are partially offset by the impact of six terminations during Fiscal 2023. Further, there were no payments or accruals of additional compensation expense for R&amp;D officers and employees as a result of the outcome of the PALISADE-1 study and delay or termination of other clinical trials and nonclinical activities related to calendar year 2022 corporate operational objectives, compared to approximately $1,075,800 of expense in Fiscal 2022 related to attainment of calendar year 2021 corporate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Stock-based compensation expense for Fiscal 2023 reflects the amortization of option grants made to our R&amp;D staff and certain clinical and scientific consultants since May 2019, in addition to grants to new employees as indicated above. All outstanding options granted to R&amp;D employees and consultants prior to May 2019 became fully vested and amortized during or prior to the end of Fiscal 2022 and the May 2019 grants became fully vested during Fiscal 2023. Grants awarded during Fiscal 2023, including those granted to new employees, account for approximately $89,000 of expense during Fiscal 2023, offset by an expense reduction of approximately $294,000 attributable to certain options granted between May 2019 and May December 2020 that became fully vested and amortized prior to or during Fiscal 2023. Grants made during Fiscal 2022 reflected a full twelve months of vesting and amortization during Fiscal 2023, or became fully vested and amortized, decreasing expense for such options by approximately $47,000. FY 2023 expense was reduced by approximately $47,000 as a result of employee terminations noted earlier. The extension of option exercisability by approximately six months for a terminated employee accounted for approximately $109,000 of additional expense during Fiscal 2023. 2019 ESPP expense in Fiscal 2023 decreased by approximately $10,000 compared to Fiscal 2022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Consulting and other professional services in both periods reflects fees incurred, generally on an as-needed basis, for project-based scientific, CMC, nonclinical and clinical development and regulatory advisory and analytical services rendered to us by third parties, primarily in support of our fasedienol and itruvone development initiatives. Expense in both periods includes contract recruiting services for certain specialized R&amp;D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Fasedienol and itruvone project expenses increased by approximately $5.1 million in Fiscal 2023 compared to Fiscal 2022. Fasedienol expense for Fiscal 2023 reflects (i) the costs associated with conducting and completing the PALISADE-1 study, including data analysis, site closures and root cause investigations, (ii) costs associated with the PALISADE-2 study both during its conduct, for the interim analysis of PALISADE-2 data and during its pause from August 2022 through March 2023, when it was closed, (iii) costs associated with the PALISADE OLS study during its conduct and following its termination, including site closure costs, and (iv) costs for conducting the Phase 2A study of fasedienol in AjDA which was completed late in the third quarter of Fiscal 2023, as well as various other clinical, nonclinical, regulatory and manufacturing activities. The PALISADE OLS study commenced in July 2021, PALISADE-2 commenced in August 2021 and the fasedienol AjDA study commenced in mid-June 2021, and each of those studies was actively enrolling during at least a portion of Fiscal 2022. Throughout both Fiscal 2023 and 2022, manufacturing, formulation, process validation and analysis of sufficient quantities of drug substance and drug product for clinical trials and other developmental requirements were significant initiatives for advancing both fasedienol and itruvone. Additionally, there was significant regulatory activity during the second quarter of Fiscal 2023 leading to the late-September 2022 submission to the FDA of the IND for itruvone in MDD, followed by the small Phase 1 study conducted during the fourth quarter of Fiscal 2023. Due to its later stage of development, costs for fasedienol initiatives have significantly exceeded those for itruvone during both Fiscal 2023 and Fiscal 2022. In both Fiscal 2023 and Fiscal 2022, AV-101 project expense includes costs for certain preclinical and nonclinical studies related to the use of AV-101 with adjunctive probenecid and certain AV-101 manufacturing stability studies. Fiscal 2023 expense also includes the costs of our ongoing exploratory Phase 1B AV-101 and probenecid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Rent expense for both Fiscal 2023 and Fiscal 2022 reflects our implementation of ASC 842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14, </w:t>
      </w:r>
      <w:r>
        <w:rPr>
          <w:rFonts w:ascii="Times New Roman" w:hAnsi="Times New Roman"/>
          <w:i/>
          <w:caps w:val="false"/>
          <w:smallCaps w:val="false"/>
          <w:sz w:val="20"/>
        </w:rPr>
        <w:t>Commitments and Contingencies,</w:t>
      </w:r>
      <w:r>
        <w:rPr>
          <w:rFonts w:ascii="Times New Roman" w:hAnsi="Times New Roman"/>
          <w:caps w:val="false"/>
          <w:smallCaps w:val="false"/>
          <w:sz w:val="20"/>
        </w:rPr>
        <w:t xml:space="preserve"> in the Financial Statements in Item 8 of this Report,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w:t>
      </w:r>
      <w:r>
        <w:rPr>
          <w:rFonts w:ascii="Times New Roman" w:hAnsi="Times New Roman"/>
          <w:i/>
          <w:caps w:val="false"/>
          <w:smallCaps w:val="false"/>
          <w:sz w:val="20"/>
        </w:rPr>
        <w:t>G&amp;A</w:t>
      </w:r>
      <w:r>
        <w:rPr>
          <w:rFonts w:ascii="Times New Roman" w:hAnsi="Times New Roman"/>
          <w:caps w:val="false"/>
          <w:smallCaps w:val="false"/>
          <w:sz w:val="20"/>
        </w:rPr>
        <w:t>) expense increased by approximately $1.2 million to approximately $14.7 million in Fiscal 2023 compared to approximately $13.5 million in Fiscal 2022. Primary components of the change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Expensing professional services incurred in anticipation of a potential credit facility offering that we opted to forego as a result of the PALISADE-1 outcome;</w:t>
            </w:r>
          </w:p>
        </w:tc>
      </w:tr>
    </w:tbl>
    <w:tbl>
      <w:tblPr>
        <w:tblW w:w="7510" w:type="dxa"/>
        <w:jc w:val="left"/>
        <w:tblInd w:w="0" w:type="dxa"/>
        <w:tblLayout w:type="fixed"/>
        <w:tblCellMar>
          <w:top w:w="0" w:type="dxa"/>
          <w:left w:w="0" w:type="dxa"/>
          <w:bottom w:w="0" w:type="dxa"/>
          <w:right w:w="0" w:type="dxa"/>
        </w:tblCellMar>
      </w:tblPr>
      <w:tblGrid>
        <w:gridCol w:w="60"/>
        <w:gridCol w:w="260"/>
        <w:gridCol w:w="719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71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insurance coverage limits and new coverages added to our insurance portfolio;</w:t>
            </w:r>
          </w:p>
        </w:tc>
      </w:tr>
    </w:tbl>
    <w:tbl>
      <w:tblPr>
        <w:tblW w:w="6535" w:type="dxa"/>
        <w:jc w:val="left"/>
        <w:tblInd w:w="0" w:type="dxa"/>
        <w:tblLayout w:type="fixed"/>
        <w:tblCellMar>
          <w:top w:w="0" w:type="dxa"/>
          <w:left w:w="0" w:type="dxa"/>
          <w:bottom w:w="0" w:type="dxa"/>
          <w:right w:w="0" w:type="dxa"/>
        </w:tblCellMar>
      </w:tblPr>
      <w:tblGrid>
        <w:gridCol w:w="60"/>
        <w:gridCol w:w="320"/>
        <w:gridCol w:w="6155"/>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6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Expanded investor and public relations and corporate awareness initiatives;</w:t>
            </w:r>
          </w:p>
        </w:tc>
      </w:tr>
    </w:tbl>
    <w:tbl>
      <w:tblPr>
        <w:tblW w:w="10205" w:type="dxa"/>
        <w:jc w:val="left"/>
        <w:tblInd w:w="0" w:type="dxa"/>
        <w:tblLayout w:type="fixed"/>
        <w:tblCellMar>
          <w:top w:w="0" w:type="dxa"/>
          <w:left w:w="0" w:type="dxa"/>
          <w:bottom w:w="0" w:type="dxa"/>
          <w:right w:w="0" w:type="dxa"/>
        </w:tblCellMar>
      </w:tblPr>
      <w:tblGrid>
        <w:gridCol w:w="60"/>
        <w:gridCol w:w="262"/>
        <w:gridCol w:w="9883"/>
      </w:tblGrid>
      <w:tr>
        <w:trPr/>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98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new G&amp;A employees hired since the end of Fiscal 2022, offset by the absence of payment or accrual for additional compensation expense for G&amp;A officers and employees as a result of the outcome of PALISADE-1 and the delay or conclusion of other clinical trials and nonclinical activities related to calendar year 2022 corporate operational objectives; offset by</w:t>
            </w:r>
          </w:p>
        </w:tc>
      </w:tr>
    </w:tbl>
    <w:tbl>
      <w:tblPr>
        <w:tblW w:w="10205" w:type="dxa"/>
        <w:jc w:val="left"/>
        <w:tblInd w:w="0" w:type="dxa"/>
        <w:tblLayout w:type="fixed"/>
        <w:tblCellMar>
          <w:top w:w="0" w:type="dxa"/>
          <w:left w:w="0" w:type="dxa"/>
          <w:bottom w:w="0" w:type="dxa"/>
          <w:right w:w="0" w:type="dxa"/>
        </w:tblCellMar>
      </w:tblPr>
      <w:tblGrid>
        <w:gridCol w:w="60"/>
        <w:gridCol w:w="205"/>
        <w:gridCol w:w="9940"/>
      </w:tblGrid>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w:t>
            </w:r>
          </w:p>
        </w:tc>
        <w:tc>
          <w:tcPr>
            <w:tcW w:w="9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Customary pre-commercialization studies, analyses, projections, strategic modeling and awareness services, primarily for fasedienol in SAD, initiated in Fiscal 2022 in expectation of positive clinical trial results from the PALISADE Phase 3 program and curtailed in Fiscal 2023 as a result of the PALISADE-1 outcome.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Noncash general and administrative expenses, approximately $2,065,000 and $2,379,000 in Fiscal 2023 and Fiscal 2022, respectively, primarily reflect stock-based compensation and depreciation in both periods, expense attributable to the modification of an outstanding warrant to purchase our common stock in Fiscal 2023 and the write-off of deferred offering costs in Fiscal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indicates the primary components of G&amp;A expense for each of the periods (amounts in thousands):</w:t>
      </w:r>
    </w:p>
    <w:p>
      <w:pPr>
        <w:pStyle w:val="TextBody"/>
        <w:bidi w:val="0"/>
        <w:spacing w:before="0" w:after="0"/>
        <w:ind w:left="0" w:right="0" w:hanging="0"/>
        <w:jc w:val="left"/>
        <w:rPr>
          <w:caps w:val="false"/>
          <w:smallCaps w:val="false"/>
        </w:rPr>
      </w:pPr>
      <w:r>
        <w:rPr>
          <w:caps w:val="false"/>
          <w:smallCaps w:val="false"/>
        </w:rPr>
        <w:t> </w:t>
      </w:r>
    </w:p>
    <w:tbl>
      <w:tblPr>
        <w:tblW w:w="6862" w:type="dxa"/>
        <w:jc w:val="left"/>
        <w:tblInd w:w="0" w:type="dxa"/>
        <w:tblLayout w:type="fixed"/>
        <w:tblCellMar>
          <w:top w:w="0" w:type="dxa"/>
          <w:left w:w="0" w:type="dxa"/>
          <w:bottom w:w="0" w:type="dxa"/>
          <w:right w:w="0" w:type="dxa"/>
        </w:tblCellMar>
      </w:tblPr>
      <w:tblGrid>
        <w:gridCol w:w="4130"/>
        <w:gridCol w:w="60"/>
        <w:gridCol w:w="208"/>
        <w:gridCol w:w="982"/>
        <w:gridCol w:w="133"/>
        <w:gridCol w:w="99"/>
        <w:gridCol w:w="208"/>
        <w:gridCol w:w="982"/>
        <w:gridCol w:w="60"/>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Fiscal Years Ended March 31, </w:t>
            </w:r>
          </w:p>
        </w:tc>
        <w:tc>
          <w:tcPr>
            <w:tcW w:w="6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3"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Salaries and benefits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4,313</w:t>
            </w:r>
          </w:p>
        </w:tc>
        <w:tc>
          <w:tcPr>
            <w:tcW w:w="133"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4,082</w:t>
            </w:r>
          </w:p>
        </w:tc>
        <w:tc>
          <w:tcPr>
            <w:tcW w:w="6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1,972</w:t>
            </w:r>
          </w:p>
        </w:tc>
        <w:tc>
          <w:tcPr>
            <w:tcW w:w="133"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fees and other consulting services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w:t>
            </w:r>
          </w:p>
        </w:tc>
        <w:tc>
          <w:tcPr>
            <w:tcW w:w="133"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p>
        </w:tc>
        <w:tc>
          <w:tcPr>
            <w:tcW w:w="6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accounting and other professional fees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2,424</w:t>
            </w:r>
          </w:p>
        </w:tc>
        <w:tc>
          <w:tcPr>
            <w:tcW w:w="133"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1,791</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Investor and public relations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1,160</w:t>
            </w:r>
          </w:p>
        </w:tc>
        <w:tc>
          <w:tcPr>
            <w:tcW w:w="133"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707</w:t>
            </w:r>
          </w:p>
        </w:tc>
        <w:tc>
          <w:tcPr>
            <w:tcW w:w="6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Pre-launch marketing studies and analyses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1,904</w:t>
            </w:r>
          </w:p>
        </w:tc>
        <w:tc>
          <w:tcPr>
            <w:tcW w:w="133"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2,796</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Insurance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1,379</w:t>
            </w:r>
          </w:p>
        </w:tc>
        <w:tc>
          <w:tcPr>
            <w:tcW w:w="133"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578</w:t>
            </w:r>
          </w:p>
        </w:tc>
        <w:tc>
          <w:tcPr>
            <w:tcW w:w="6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Travel expenses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133"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Rent and utilities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w:t>
            </w:r>
          </w:p>
        </w:tc>
        <w:tc>
          <w:tcPr>
            <w:tcW w:w="133"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w:t>
            </w:r>
          </w:p>
        </w:tc>
        <w:tc>
          <w:tcPr>
            <w:tcW w:w="6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Sublicense contract amortized acquisition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13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 modification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133"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Write off of deferred offering costs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33"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expenses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w:t>
            </w:r>
          </w:p>
        </w:tc>
        <w:tc>
          <w:tcPr>
            <w:tcW w:w="133"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w:t>
            </w:r>
          </w:p>
        </w:tc>
        <w:tc>
          <w:tcPr>
            <w:tcW w:w="6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14,664</w:t>
            </w:r>
          </w:p>
        </w:tc>
        <w:tc>
          <w:tcPr>
            <w:tcW w:w="133"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increase in salaries and benefits expense for Fiscal 2023 primarily reflects the addition of four additional management and staff positions including our Vice President, Human Resources in January 2022, our Chief Legal Officer in May 2022, our Vice President, Associate General Counsel in August 2022 and an additional administrative employee, as well as the impact of salary increases effective in January 2022 granted to our G&amp;A management and staff. These increases are offset by (i) the absence in Fiscal 2023 of payment or accrual for additional compensation expense for G&amp;A officers and employees as a result of the outcome of the PALISADE-1 study and the delay or conclusion of other clinical trials and nonclinical activities related to calendar year 2022 corporate objectives compared to payment of approximately $938,000 in Fiscal 2022 related to achievement of calendar 2021 corporate objectives, and (ii) the impact of the voluntary resignation in November 2022 of our Chief Commercial Officer, who remains a member of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Fiscal 2023 stock-based compensation expense reflects the amortization of option grants made to our internal management and administrative staff, independent members of our Board and certain consultants since May 2019, in addition to grants to new senior management and other new employees as indicated above. All outstanding options granted to G&amp;A employees, Board members and consultants prior to May 2019 were fully vested and amortized at the end of Fiscal 2022. Options granted in May 2019, September 2019 and April 2020 became fully vested and amortized in May 2022, September 2022 and April 2022, respectively, so that all outstanding options granted to G&amp;A employees and consultants prior to October 2020 are fully vested and amortized at the end of Fiscal 2023. Grants awarded after March 31, 2022, including those granted to new employees indicated above, account for approximately $78,000 of Fiscal 2023 expense, offset by an expense reduction of approximately $791,000 attributable to certain options granted between May 2019 and June 2020 that became fully vested and amortized in Fiscal 2023. Grants made in March 2022 reflected a full year of expense during Fiscal 2023 increasing Fiscal 2023 expense by approximately $498,000 compared to the expense in Fiscal 2022. Other than the new-hire grant to our Chief Legal Officer, there were no option grants to senior executives or independent members of our Board in Fiscal 2023. Except for grants to new employees, expense attributable to recent option grants is generally being amortized over two-year to three-year vesting periods, with essentially all of the grants made since May 2019, including those made in Fiscal 2023 and Fiscal 2022, being 25% vested and expensed upon grant, in accordance with the terms of the respective grants. Grants to new employees generally vest 25% on the first anniversary of the grant date and ratably monthly over the next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Board fees and other consulting services represents, in both periods, fees paid as consideration for Board and Board Committee services to the independent members of our Board of Directors. We modified our cash compensation policy for our independent Board members at the beginning of Fiscal 2022, increasing payments to reflect current market conditions and we added one new independent Board member in April 2021 and two additional independent members during July 2021. Expenses for Fiscal 2023 also include recruiting fees for certain administrative positions and fees paid to our former Chief Commercial Officer pursuant to a consulting agreement following her voluntary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Legal, accounting and other professional fees for Fiscal 2023 and Fiscal 2022 includes expense related to routine corporate legal and compliance fees as well as legal counsel and other costs related to patent prosecution and protection pursuant to our stem cell technology license agreements, our AV-101 patents, or patents that we have elected to pursue for commercial purposes, as well as recurring annual license fees. These costs do not necessarily occur ratably throughout the year or between years. In both Fiscal 2023 and Fiscal 2022, this expense includes legal counsel and other costs we have incurred to advance various patent applications in the U.S. and numerous foreign countries, primarily with respect to AV-101 and our stem cell technology platform, but also nominally with respect to our fasedienol and itruvone intellectual property portfolios. Accounting expenses include costs related to the annual audit of our prior year financial statements and the three quarterly reviews of our current year financial statements. Fiscal 2023 and Fiscal 2022 accounting expense also includes the cost of certain outsourced financial and accounting services which commenced at the beginning of Fiscal 2022 and, in Fiscal 2022, implementation of new accounting software. Both years reflect expense related to an expanded service level from our information technology service provider and a contracted head of Information Technology, all of which commenced at the beginning of Fiscal 2022. Both years also reflect certain recruiting fees incurred in connection with searches for certain specialized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Investor and public relations expense in both Fiscal 2023 and Fiscal 2022 includes the fees of our various external service providers for a broad spectrum of investor relations, public relations and social media services, and, particularly in Fiscal 2023, additional market awareness and strategic advisory and support functions and initiatives. During both years, we conducted numerous virtual meetings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Throughout Fiscal 2022 and through the second quarter of Fiscal 2023, we incurred expenses for a number of customary pre-commercialization studies, analyses, projections, strategic modeling and awareness services, primarily attributable to Fasedienol as a potential acute treatment of anxiety in adults with SAD. Given the outcome of PALISADE-1 and the resulting delay to our anticipated commercialization timeline for fasedienol, these activities were significantly reduced during the third and fourth quarters of Fiscal 2023. We have evaluated the extent and timing of such future activities, and anticipate that such expenditures will, for the short term, remain at the modest level similar to that expended during the second half of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increase in Fiscal 2023 insurance expense is primarily attributable to the increased coverage obtained under our directors’ and officers’ liability insurance upon renewal of our policy in May 2022 and additional coverages, including cybersecurity and employment practices liability, added to our insurance program during Fiscal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of periodic shelter-in-place restrictions and travel and workplace precautions and restrictions associated with the COVID-19 pandemic during calendar 2020 and 2021, management presentations and historically in-person meetings held in multiple U.S. markets and certain international markets with existing and potential individual and institutional investors, investment professionals and advisors, media, and securities analysts, as well as various investor relations, market awareness and corporate development and partnering initiatives, generally occurred remotely without requiring in-person business travel by our executives. During Fiscal 2023, we incurred modest travel expense for attendance at seminars, and for vendor audits, clinical trial site visits and certain investor-focused events, as conditions have permitted, with in-person travel still reasonably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Rent expense for both Fiscal 2023 and Fiscal 2022 reflects our implementation of ASC 842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14, </w:t>
      </w:r>
      <w:r>
        <w:rPr>
          <w:rFonts w:ascii="Times New Roman" w:hAnsi="Times New Roman"/>
          <w:i/>
          <w:caps w:val="false"/>
          <w:smallCaps w:val="false"/>
          <w:sz w:val="20"/>
        </w:rPr>
        <w:t>Commitments and Contingencies,</w:t>
      </w:r>
      <w:r>
        <w:rPr>
          <w:rFonts w:ascii="Times New Roman" w:hAnsi="Times New Roman"/>
          <w:caps w:val="false"/>
          <w:smallCaps w:val="false"/>
          <w:sz w:val="20"/>
        </w:rPr>
        <w:t xml:space="preserve"> in the Financial Statements included in Item 8 of this Report,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years, rent expense includes charges for such items as common area maintenance fees, taxes and insurance which are generally assessed to us by our landlord.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Beginning in the quarter ended September 30, 2020, we began to amortize the deferred contract acquisition costs related to our acquisition of the AffaMed Agreement, composed of the cash payment of $220,000 for sublicense fees which we were obligated to make pursuant to our PH94B license from Pherin, and the $125,000 cash payment and $125,000 fair value of common stock issued for consulting services, in each case exclusively related to our acquisition of the AffaMed Agreement. The contract acquisition costs are amortized over the expected term of the services to be provided under the AffaMed Agreement. As described above in the section entitled </w:t>
      </w:r>
      <w:r>
        <w:rPr>
          <w:rFonts w:ascii="Times New Roman" w:hAnsi="Times New Roman"/>
          <w:i/>
          <w:caps w:val="false"/>
          <w:smallCaps w:val="false"/>
          <w:sz w:val="20"/>
        </w:rPr>
        <w:t>Revenue</w:t>
      </w:r>
      <w:r>
        <w:rPr>
          <w:rFonts w:ascii="Times New Roman" w:hAnsi="Times New Roman"/>
          <w:caps w:val="false"/>
          <w:smallCaps w:val="false"/>
          <w:sz w:val="20"/>
        </w:rPr>
        <w:t>, the outcome of the PALISADE-1 study resulted in an estimated extension of the period over which we will recognize both revenue under the AffaMed Agreement and the period over which we will amortize the deferred contract acquisition costs. Our extended estimate of the time required to satisfy our performance obligation required a cumulative catch-up adjustment to amortization of the contract acquisition costs at September 30, 2022, pursuant to which we reversed previously recorded expense of approximately $84,000, resulting in negative contract acquisition amortization expense of $21,000 for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2022, we modified outstanding warrants to purchase an aggregate of 33,333 registered shares of our common stock exercisable at $15.00 per share that were due to expire during December 2022 to extend the exercisability of such warrants for a period of two years. No other term of the warrants, including exercise price, was modified. We recognized the incremental fair value of $77,400 resulting from the modification as a noncash warrant modification expense in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2021, we terminated a financing arrangement pursuant to which we had recorded legal, accounting and securities registration filing fees as deferred offering costs. Upon termination of the agreement, we expensed the remaining $232,100 of deferred offering costs related to the agreement as a noncash charge to G&amp;A expense in Fiscal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Interest and Other Income, Net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income, net totaled $26,200 in Fiscal 2023 compared to $19,900 in Fiscal 2022. The following table indicates the primary components of interest income and expense for each of the periods (amounts in thousands):</w:t>
      </w:r>
    </w:p>
    <w:p>
      <w:pPr>
        <w:pStyle w:val="TextBody"/>
        <w:bidi w:val="0"/>
        <w:spacing w:before="0" w:after="0"/>
        <w:ind w:left="0" w:right="0" w:hanging="0"/>
        <w:jc w:val="left"/>
        <w:rPr>
          <w:caps w:val="false"/>
          <w:smallCaps w:val="false"/>
        </w:rPr>
      </w:pPr>
      <w:r>
        <w:rPr>
          <w:caps w:val="false"/>
          <w:smallCaps w:val="false"/>
        </w:rPr>
        <w:t> </w:t>
      </w:r>
    </w:p>
    <w:tbl>
      <w:tblPr>
        <w:tblW w:w="8782" w:type="dxa"/>
        <w:jc w:val="left"/>
        <w:tblInd w:w="0" w:type="dxa"/>
        <w:tblLayout w:type="fixed"/>
        <w:tblCellMar>
          <w:top w:w="0" w:type="dxa"/>
          <w:left w:w="0" w:type="dxa"/>
          <w:bottom w:w="0" w:type="dxa"/>
          <w:right w:w="0" w:type="dxa"/>
        </w:tblCellMar>
      </w:tblPr>
      <w:tblGrid>
        <w:gridCol w:w="6035"/>
        <w:gridCol w:w="60"/>
        <w:gridCol w:w="359"/>
        <w:gridCol w:w="833"/>
        <w:gridCol w:w="229"/>
        <w:gridCol w:w="172"/>
        <w:gridCol w:w="359"/>
        <w:gridCol w:w="660"/>
        <w:gridCol w:w="75"/>
      </w:tblGrid>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Fiscal Years Ended March 31, </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229"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3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229"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3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on financing lease and insurance premium financing note</w:t>
            </w:r>
          </w:p>
        </w:tc>
        <w:tc>
          <w:tcPr>
            <w:tcW w:w="60" w:type="dxa"/>
            <w:tcBorders/>
            <w:shd w:fill="FFFFFF" w:val="clear"/>
            <w:vAlign w:val="center"/>
          </w:tcPr>
          <w:p>
            <w:pPr>
              <w:pStyle w:val="TableContents"/>
              <w:bidi w:val="0"/>
              <w:spacing w:before="0" w:after="283"/>
              <w:jc w:val="left"/>
              <w:rPr/>
            </w:pPr>
            <w:r>
              <w:rPr/>
              <w:t> </w:t>
            </w:r>
          </w:p>
        </w:tc>
        <w:tc>
          <w:tcPr>
            <w:tcW w:w="3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2" w:type="dxa"/>
            <w:tcBorders/>
            <w:shd w:fill="FFFFFF" w:val="clear"/>
            <w:vAlign w:val="center"/>
          </w:tcPr>
          <w:p>
            <w:pPr>
              <w:pStyle w:val="TableContents"/>
              <w:bidi w:val="0"/>
              <w:spacing w:before="0" w:after="283"/>
              <w:jc w:val="left"/>
              <w:rPr/>
            </w:pPr>
            <w:r>
              <w:rPr/>
              <w:t> </w:t>
            </w:r>
          </w:p>
        </w:tc>
        <w:tc>
          <w:tcPr>
            <w:tcW w:w="3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p>
        </w:tc>
        <w:tc>
          <w:tcPr>
            <w:tcW w:w="60" w:type="dxa"/>
            <w:tcBorders/>
            <w:shd w:fill="CCEEFF" w:val="clear"/>
            <w:vAlign w:val="center"/>
          </w:tcPr>
          <w:p>
            <w:pPr>
              <w:pStyle w:val="TableContents"/>
              <w:bidi w:val="0"/>
              <w:spacing w:before="0" w:after="283"/>
              <w:ind w:left="0" w:right="0" w:hanging="0"/>
              <w:jc w:val="left"/>
              <w:rPr/>
            </w:pPr>
            <w:r>
              <w:rPr/>
              <w:t> </w:t>
            </w:r>
          </w:p>
        </w:tc>
        <w:tc>
          <w:tcPr>
            <w:tcW w:w="3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29"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3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both Fiscal 2023 and Fiscal 2022, interest income relates to cash deposits in interest-bearing cash equivalent accounts. Although interest rates increased during Fiscal 2023, our cash deposit balances have declined as we used such amounts to fund our operations. Interest expense for Fiscal 2023 relates to interest paid on the insurance premium financing note executed in May 2022 and, in both periods, on our financing lease of office equipment subject to ASC 842. We did not finance insurance premiums for policies that renewed in May 2021 or February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recognized approximately $945,000 during Fiscal 2022 attributable to the 10% cumulative dividend accrued on outstanding shares of our Series B 10% Convertible Preferred Stock (</w:t>
      </w:r>
      <w:r>
        <w:rPr>
          <w:rFonts w:ascii="Times New Roman" w:hAnsi="Times New Roman"/>
          <w:i/>
          <w:caps w:val="false"/>
          <w:smallCaps w:val="false"/>
          <w:sz w:val="20"/>
        </w:rPr>
        <w:t>Series B Preferred</w:t>
      </w:r>
      <w:r>
        <w:rPr>
          <w:rFonts w:ascii="Times New Roman" w:hAnsi="Times New Roman"/>
          <w:caps w:val="false"/>
          <w:smallCaps w:val="false"/>
          <w:sz w:val="20"/>
        </w:rPr>
        <w:t xml:space="preserve">) prior to its conversion in November 2021 as an additional deduction in arriving at net loss attributable to common stockholders. In November 2021, the custodial holder of 1,131,669 outstanding shares of our Series B Preferred exercised its rights for conversion into common stock under the terms of the Certificate of Designation of the Relative Rights and Preferences of the Series B 10% Convertible Preferred Stock </w:t>
      </w:r>
      <w:r>
        <w:rPr>
          <w:rFonts w:ascii="Times New Roman" w:hAnsi="Times New Roman"/>
          <w:i/>
          <w:caps w:val="false"/>
          <w:smallCaps w:val="false"/>
          <w:sz w:val="20"/>
        </w:rPr>
        <w:t>(Series B Certificate of Designation)</w:t>
      </w:r>
      <w:r>
        <w:rPr>
          <w:rFonts w:ascii="Times New Roman" w:hAnsi="Times New Roman"/>
          <w:caps w:val="false"/>
          <w:smallCaps w:val="false"/>
          <w:sz w:val="20"/>
        </w:rPr>
        <w:t xml:space="preserve"> and we issued 37,722 shares of our common stock upon conversion. From initial issuance in May 2015 through the time of conversion in November 2021, the Series B Preferred had accrued 10% dividends aggregating $7,217,800 and, in accordance with the terms of the Series B Certificate of Designation, we issued 109,860 shares of our unregistered common stock in payment of the accrued dividends. Following this conversion there were no additional shares of Series B Preferred outstanding and no further accrual of dividends on the Series B Preferred.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 our inception in May 1998 through March 31, 2023 we have financed our operations and technology acquisitions primarily through the issuance and sale of our equity and debt securities for cash proceeds of approximately $208.7 million, as well as from an aggregate of approximately $22.7 million of government research grant awards (excluding the fair market value of government sponsored and funded clinical trials), strategic collaboration payments, intellectual property licensing and other revenues. Additionally, we have issued equity securities with an approximate value at issuance of $41.3 million in noncash acquisitions of product licenses, the Pherin Acquisition, and in settlements of certain liabilities, including liabilities for professional services rendered to us or as compensation for such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did not complete any capital-raising or other significant financing activities during Fiscal 2023. During Fiscal 2022, holders of outstanding warrants to purchase an aggregate of 243,293 shares of our common stock exercised such warrants, and we received cash proceeds of approximately $6.2 million. Additionally, in May 2021, we entered into an Open Market Sale Agreement SM (the </w:t>
      </w:r>
      <w:r>
        <w:rPr>
          <w:rFonts w:ascii="Times New Roman" w:hAnsi="Times New Roman"/>
          <w:i/>
          <w:caps w:val="false"/>
          <w:smallCaps w:val="false"/>
          <w:sz w:val="20"/>
        </w:rPr>
        <w:t>Sales Agreement</w:t>
      </w:r>
      <w:r>
        <w:rPr>
          <w:rFonts w:ascii="Times New Roman" w:hAnsi="Times New Roman"/>
          <w:caps w:val="false"/>
          <w:smallCaps w:val="false"/>
          <w:sz w:val="20"/>
        </w:rPr>
        <w:t>) with Jefferies LLC (</w:t>
      </w:r>
      <w:r>
        <w:rPr>
          <w:rFonts w:ascii="Times New Roman" w:hAnsi="Times New Roman"/>
          <w:i/>
          <w:caps w:val="false"/>
          <w:smallCaps w:val="false"/>
          <w:sz w:val="20"/>
        </w:rPr>
        <w:t>Jefferies</w:t>
      </w:r>
      <w:r>
        <w:rPr>
          <w:rFonts w:ascii="Times New Roman" w:hAnsi="Times New Roman"/>
          <w:caps w:val="false"/>
          <w:smallCaps w:val="false"/>
          <w:sz w:val="20"/>
        </w:rPr>
        <w:t xml:space="preserve">) as sales agent, with respect to an at-the-market offering program (the </w:t>
      </w:r>
      <w:r>
        <w:rPr>
          <w:rFonts w:ascii="Times New Roman" w:hAnsi="Times New Roman"/>
          <w:i/>
          <w:caps w:val="false"/>
          <w:smallCaps w:val="false"/>
          <w:sz w:val="20"/>
        </w:rPr>
        <w:t>ATM</w:t>
      </w:r>
      <w:r>
        <w:rPr>
          <w:rFonts w:ascii="Times New Roman" w:hAnsi="Times New Roman"/>
          <w:caps w:val="false"/>
          <w:smallCaps w:val="false"/>
          <w:sz w:val="20"/>
        </w:rPr>
        <w:t>) under which we may, at our option, offer and sell, from time to time, shares of our common stock having an aggregate offering price of up to $75.0 million through Jefferies as our sales agent. During September and early October 2021, we sold an aggregate of 50,593 shares of our common stock and received gross cash proceeds of approximately $4.45 million under the ATM. We did not sell any shares of our common stock under the ATM during Fiscal 2023. From June 12, 2023 through the date of this Report we sold an aggregate of 561,418 shares of our common stock and received approximately $1.15 million in gross proceeds under the ATM.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our fiscal year ended March 31, 2021 (</w:t>
      </w:r>
      <w:r>
        <w:rPr>
          <w:rFonts w:ascii="Times New Roman" w:hAnsi="Times New Roman"/>
          <w:i/>
          <w:caps w:val="false"/>
          <w:smallCaps w:val="false"/>
          <w:sz w:val="20"/>
        </w:rPr>
        <w:t>Fiscal 2021</w:t>
      </w:r>
      <w:r>
        <w:rPr>
          <w:rFonts w:ascii="Times New Roman" w:hAnsi="Times New Roman"/>
          <w:caps w:val="false"/>
          <w:smallCaps w:val="false"/>
          <w:sz w:val="20"/>
        </w:rPr>
        <w:t xml:space="preserve">), we received approximately $119 million in net cash proceeds primarily from various public sales of our equity securities and $5.0 million gross proceeds from the AffaMed Agreement. These earlier transactions continued to provide necessary capital resources and liquidity throughout Fiscal 2023, during which we also received approximately $167,500 in cash proceeds from the exercise of outstanding stock options and sales under our 2019 Employee Stock Purchase Plan (the </w:t>
      </w:r>
      <w:r>
        <w:rPr>
          <w:rFonts w:ascii="Times New Roman" w:hAnsi="Times New Roman"/>
          <w:i/>
          <w:caps w:val="false"/>
          <w:smallCaps w:val="false"/>
          <w:sz w:val="20"/>
        </w:rPr>
        <w:t>2019</w:t>
      </w:r>
      <w:r>
        <w:rPr>
          <w:rFonts w:ascii="Times New Roman" w:hAnsi="Times New Roman"/>
          <w:caps w:val="false"/>
          <w:smallCaps w:val="false"/>
          <w:sz w:val="20"/>
        </w:rPr>
        <w:t xml:space="preserve"> </w:t>
      </w:r>
      <w:r>
        <w:rPr>
          <w:rFonts w:ascii="Times New Roman" w:hAnsi="Times New Roman"/>
          <w:i/>
          <w:caps w:val="false"/>
          <w:smallCaps w:val="false"/>
          <w:sz w:val="20"/>
        </w:rPr>
        <w:t>ESPP</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had cash and cash equivalents of approximately $16.6 million at March 31, 2023, which we do not believe will be sufficient to fund our planned operations for the twelve months following the issuance of these Consolidated Financial Statements, which raises substantial doubt regarding our ability to continue as a going concern. We are continuing to evaluate our cash resources as we prepare for the next steps in our development of our product candidates, either on our own or with collaborators, including Phase 3 development of fasedienol for the treatment of SAD, Phase 2B development of itruvone as a potential stand-alone rapid-onset treatment for MDD, IND-enabling and Phase 2B development of PH80 for treatment of vasomotor symptoms (hot flashes) due to menopause, IND-enabling and Phase 2B development of PH15 for cognition improvement, IND-enabling and Phase 2B development of PH284 for treatment of cachexia and Phase 2A development of AV-101 for one or more neurological disorders involving the NMDAR. We are continuing to evaluate the potential implications for the conduct and timing of these and other clinical trials and strategies for the development and commercialization, on our own or with collaborators, of all of our product candidates. However, as we have not yet developed products that generate recurring revenue and, in the event we successfully complete future clinical and/or nonclinical programs, we will need to obtain and invest substantial additional capital resources to develop and commercialize our drug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necessary and advantageous, we will seek additional financial resources to fund our planned operations through (i) sales of our equity and/or debt securities in one or more public offerings and/or private placements, (ii) non-dilutive government grants and research awards and (iii) non-dilutive strategic partnering collaborations to advance development and commercialization of our product candidates. For example, we may seek to enter research, development and/or commercialization collaborations similar to the AffaMed Agreement, which applies only to development and commercialization of PH94B in Greater China, South Korea and Southeast Asian territories, to provide non-dilutive funding for our operations, while also reducing a portion of our future cash outlays and working capital requirements. Although we may seek additional collaborations that could generate revenue and/or provide non-dilutive funding for development and commercialization of our product candidates, no assurance can be provided that any such collaborations, awards or agreements will occur in the future. Subject to certain restrictions, our S-3 Shelf Registration Statement remains available for future sales of our equity securities in one or more public offerings from time to time. While we may make additional sales of our equity securities under the S-3 Shelf Registration Statement and/or under the Sales Agreement, we do not have an obligation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next twelve months, subject to availability of adequate working capital, we plan to (i) continue to advance our FEARLESS Phase 3 Program, on our own or with a collaborator, to develop and commercialize fasedienol as a new acute treatment of anxiety in adults with SAD, (ii) complete preparations, on our own or with a collaborator, for and initiate further Phase 2B clinical development of itruvone as a potential stand-alone treatment for MDD, (iii) complete IND-enabling activities, either on our own with a collaborator, for Phase 2B development of PH80, PH15 and PH284 and Phase 2A development of AV-101 for one or more neurological disorders involving the NMDAR, and (iv) conduct various nonclinical studies involving each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working capital requirements will depend on many factors, including, without limitation, potential impacts related to adjustments in the size of our staff,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clinical development of our product candidates, as well as support our operating activities, we plan to seek additional financing, including both equity-based capital and funding from non-dilutive sources, and continue to carefully manage our operating costs, including, but not limited to, our clinical and nonclinical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foregoing, there can be no assurance that future financings will be available to us in sufficient amounts, in a timely manner, or on terms acceptable to us, if at all, or that our current development and commercialization collaboration under the AffaMed Agreement or other potential strategic partnering collaborations will generate revenue from future potential milestone payments or otherwise. In addition, although the Listing Qualifications Staff of The Nasdaq Stock Market, LLC (</w:t>
      </w:r>
      <w:r>
        <w:rPr>
          <w:rFonts w:ascii="Times New Roman" w:hAnsi="Times New Roman"/>
          <w:i/>
          <w:caps w:val="false"/>
          <w:smallCaps w:val="false"/>
          <w:sz w:val="20"/>
        </w:rPr>
        <w:t>Nasdaq</w:t>
      </w:r>
      <w:r>
        <w:rPr>
          <w:rFonts w:ascii="Times New Roman" w:hAnsi="Times New Roman"/>
          <w:caps w:val="false"/>
          <w:smallCaps w:val="false"/>
          <w:sz w:val="20"/>
        </w:rPr>
        <w:t>) advised us on June 22, 2023 that we regained compliance with the minimum bid price requirement of the Nasdaq Capital Market, there can be no assurance that our common stock will maintain a closing bid price sufficient to remain in compliance with the minimum bid price requirement or that we will maintain compliance with other continued listing standards for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changes in cash and cash equivalents for the fiscal years stated (in thousands):</w:t>
      </w:r>
    </w:p>
    <w:p>
      <w:pPr>
        <w:pStyle w:val="TextBody"/>
        <w:bidi w:val="0"/>
        <w:spacing w:before="0" w:after="0"/>
        <w:ind w:left="0" w:right="0" w:hanging="0"/>
        <w:jc w:val="left"/>
        <w:rPr>
          <w:caps w:val="false"/>
          <w:smallCaps w:val="false"/>
        </w:rPr>
      </w:pPr>
      <w:r>
        <w:rPr>
          <w:caps w:val="false"/>
          <w:smallCaps w:val="false"/>
        </w:rPr>
        <w:t> </w:t>
      </w:r>
    </w:p>
    <w:tbl>
      <w:tblPr>
        <w:tblW w:w="6822" w:type="dxa"/>
        <w:jc w:val="left"/>
        <w:tblInd w:w="0" w:type="dxa"/>
        <w:tblLayout w:type="fixed"/>
        <w:tblCellMar>
          <w:top w:w="0" w:type="dxa"/>
          <w:left w:w="0" w:type="dxa"/>
          <w:bottom w:w="0" w:type="dxa"/>
          <w:right w:w="0" w:type="dxa"/>
        </w:tblCellMar>
      </w:tblPr>
      <w:tblGrid>
        <w:gridCol w:w="4115"/>
        <w:gridCol w:w="60"/>
        <w:gridCol w:w="185"/>
        <w:gridCol w:w="962"/>
        <w:gridCol w:w="118"/>
        <w:gridCol w:w="88"/>
        <w:gridCol w:w="185"/>
        <w:gridCol w:w="1029"/>
        <w:gridCol w:w="80"/>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6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Years Ended March 31,</w:t>
            </w:r>
          </w:p>
        </w:tc>
        <w:tc>
          <w:tcPr>
            <w:tcW w:w="8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2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(49,715</w:t>
            </w:r>
          </w:p>
        </w:tc>
        <w:tc>
          <w:tcPr>
            <w:tcW w:w="1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w:t>
            </w:r>
          </w:p>
        </w:tc>
        <w:tc>
          <w:tcPr>
            <w:tcW w:w="1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(1,042</w:t>
            </w:r>
          </w:p>
        </w:tc>
        <w:tc>
          <w:tcPr>
            <w:tcW w:w="1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10,484</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(51,497</w:t>
            </w:r>
          </w:p>
        </w:tc>
        <w:tc>
          <w:tcPr>
            <w:tcW w:w="1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68,135</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103,108</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16,638</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68,135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discussed above, the combination of the net proceeds we received from public offerings in Fiscal 2021, from transactions under our ATM in Fiscal 2022 and from warrant exercises in both Fiscal 2021 and Fiscal 2022, have been the primary sources of our available cash during both Fiscal 2022 and Fiscal 2023. The increase in cash used in operations during Fiscal 2023 reflects our conduct, completion, pause or termination of fasedienol clinical trials including PALISADE-1, PALISADE-2, the PALISADE OLS, and the Phase 2 AjDA study, as previously described, as well as ongoing manufacturing and regulatory initiatives and other nonclinical studies of our product candidates. Additionally, during Fiscal 2022, we expanded our internal capabilities with the addition of numerous senior personnel with significant expertise in disciplines critical to the advancement of our product pipeline. In both Fiscal 2023 and Fiscal 2022, but to a much greater extent during the first half of Fiscal 2023, in parallel with our clinical and regulatory initiatives, and in expectation of positive results from the PALISADE Phase 3 Program, we engaged in customary pre-commercialization analyses, modeling, planning and awareness initiatives. Given the outcome of the PALISADE-1 study, we terminated most of such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investing activities during Fiscal 2023 reflects laboratory analytical equipment acquired for our internal studies and experiments with both fasedienol and itruvone. Cash used in investing activities during Fiscal 2022 primarily reflects the cost of laboratory analytical equipment acquired for use by our CMO in connection with the development and production of fasedienol drug product. As discussed previously, the Pherin Acquisition was treated as an asset purchase; however, we issued shares of our common stock rather than cash as the primary component of payment for the in-process R&amp;D assets acquired and expensed.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by financing activities during Fiscal 2023 primarily reflects the proceeds of option exercises and the sales of common stock under our ESPP, net of principal payments on our insurance premium financing note and expenditures related to the Sales Agreement with Jefferies which are recorded as deferred offering costs. Cash provided by financing activities during Fiscal 2022 primarily reflects the proceeds of warrant exercises, net of expenditures related to the Sales Agreement with Jefferies that are recorded as deferred offering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Throughout Fiscal 2022 and for a portion of Fiscal 2023, Vistastem had two inactive, wholly owned subsidiaries, Artemis Neuroscience, a Maryland corporation, and VistaStem Canada, Inc., an Ontario corporation. VistaStem Canada was dissolved in April 2022 and Artemis Neuroscience was dissolved in June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2" w:name="item7a"/>
      <w:bookmarkEnd w:id="12"/>
      <w:r>
        <w:rPr>
          <w:rFonts w:ascii="Times New Roman" w:hAnsi="Times New Roman"/>
          <w:b/>
          <w:caps w:val="false"/>
          <w:smallCaps w:val="false"/>
          <w:sz w:val="20"/>
        </w:rPr>
        <w:t>Item 7A.</w:t>
      </w:r>
      <w:r>
        <w:rPr>
          <w:rFonts w:ascii="Times New Roman" w:hAnsi="Times New Roman"/>
          <w:caps w:val="false"/>
          <w:smallCaps w:val="false"/>
          <w:sz w:val="20"/>
        </w:rPr>
        <w:t>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disclosures in this section are not required because we qualify as a smaller reporting company under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3" w:name="item8"/>
      <w:bookmarkEnd w:id="13"/>
      <w:r>
        <w:rPr>
          <w:rFonts w:ascii="Times New Roman" w:hAnsi="Times New Roman"/>
          <w:b/>
          <w:caps w:val="false"/>
          <w:smallCaps w:val="false"/>
          <w:sz w:val="20"/>
        </w:rPr>
        <w:t>Item 8.</w:t>
      </w:r>
      <w:r>
        <w:rPr>
          <w:rFonts w:ascii="Times New Roman" w:hAnsi="Times New Roman"/>
          <w:caps w:val="false"/>
          <w:smallCaps w:val="false"/>
          <w:sz w:val="20"/>
        </w:rPr>
        <w:t>  </w:t>
      </w:r>
      <w:r>
        <w:rPr>
          <w:rFonts w:ascii="Times New Roman" w:hAnsi="Times New Roman"/>
          <w:b/>
          <w:caps w:val="false"/>
          <w:smallCaps w:val="false"/>
          <w:sz w:val="20"/>
        </w:rPr>
        <w:t>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8735"/>
        <w:gridCol w:w="440"/>
      </w:tblGrid>
      <w:tr>
        <w:trPr/>
        <w:tc>
          <w:tcPr>
            <w:tcW w:w="87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Report of Independent Registered Public Accounting Firm for Fiscal Years ended March 31, 2023 and 2022</w:t>
            </w:r>
          </w:p>
        </w:tc>
        <w:tc>
          <w:tcPr>
            <w:tcW w:w="44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r>
      <w:tr>
        <w:trPr/>
        <w:tc>
          <w:tcPr>
            <w:tcW w:w="8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Balance Sheets</w:t>
            </w:r>
          </w:p>
        </w:tc>
        <w:tc>
          <w:tcPr>
            <w:tcW w:w="440" w:type="dxa"/>
            <w:tcBorders/>
            <w:shd w:fill="FFFFFF" w:val="clear"/>
            <w:vAlign w:val="center"/>
          </w:tcPr>
          <w:p>
            <w:pPr>
              <w:pStyle w:val="TableContents"/>
              <w:bidi w:val="0"/>
              <w:spacing w:before="0" w:after="283"/>
              <w:jc w:val="center"/>
              <w:rPr/>
            </w:pPr>
            <w:r>
              <w:rPr/>
              <w:t>106</w:t>
            </w:r>
          </w:p>
        </w:tc>
      </w:tr>
      <w:tr>
        <w:trPr/>
        <w:tc>
          <w:tcPr>
            <w:tcW w:w="8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Operations and Comprehensive Loss</w:t>
            </w:r>
          </w:p>
        </w:tc>
        <w:tc>
          <w:tcPr>
            <w:tcW w:w="440" w:type="dxa"/>
            <w:tcBorders/>
            <w:shd w:fill="CCEEFF" w:val="clear"/>
            <w:vAlign w:val="center"/>
          </w:tcPr>
          <w:p>
            <w:pPr>
              <w:pStyle w:val="TableContents"/>
              <w:bidi w:val="0"/>
              <w:spacing w:before="0" w:after="283"/>
              <w:jc w:val="center"/>
              <w:rPr/>
            </w:pPr>
            <w:r>
              <w:rPr/>
              <w:t>107</w:t>
            </w:r>
          </w:p>
        </w:tc>
      </w:tr>
      <w:tr>
        <w:trPr/>
        <w:tc>
          <w:tcPr>
            <w:tcW w:w="8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Cash Flows</w:t>
            </w:r>
          </w:p>
        </w:tc>
        <w:tc>
          <w:tcPr>
            <w:tcW w:w="440" w:type="dxa"/>
            <w:tcBorders/>
            <w:shd w:fill="FFFFFF" w:val="clear"/>
            <w:vAlign w:val="center"/>
          </w:tcPr>
          <w:p>
            <w:pPr>
              <w:pStyle w:val="TableContents"/>
              <w:bidi w:val="0"/>
              <w:spacing w:before="0" w:after="283"/>
              <w:jc w:val="center"/>
              <w:rPr/>
            </w:pPr>
            <w:r>
              <w:rPr/>
              <w:t>108</w:t>
            </w:r>
          </w:p>
        </w:tc>
      </w:tr>
      <w:tr>
        <w:trPr/>
        <w:tc>
          <w:tcPr>
            <w:tcW w:w="8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Stockholders’ Equity</w:t>
            </w:r>
          </w:p>
        </w:tc>
        <w:tc>
          <w:tcPr>
            <w:tcW w:w="440" w:type="dxa"/>
            <w:tcBorders/>
            <w:shd w:fill="CCEEFF" w:val="clear"/>
            <w:vAlign w:val="center"/>
          </w:tcPr>
          <w:p>
            <w:pPr>
              <w:pStyle w:val="TableContents"/>
              <w:bidi w:val="0"/>
              <w:spacing w:before="0" w:after="283"/>
              <w:jc w:val="center"/>
              <w:rPr/>
            </w:pPr>
            <w:r>
              <w:rPr/>
              <w:t>109</w:t>
            </w:r>
          </w:p>
        </w:tc>
      </w:tr>
      <w:tr>
        <w:trPr/>
        <w:tc>
          <w:tcPr>
            <w:tcW w:w="8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to Consolidated Financial Statements</w:t>
            </w:r>
          </w:p>
        </w:tc>
        <w:tc>
          <w:tcPr>
            <w:tcW w:w="440" w:type="dxa"/>
            <w:tcBorders/>
            <w:shd w:fill="FFFFFF" w:val="clear"/>
            <w:vAlign w:val="center"/>
          </w:tcPr>
          <w:p>
            <w:pPr>
              <w:pStyle w:val="TableContents"/>
              <w:bidi w:val="0"/>
              <w:spacing w:before="0" w:after="283"/>
              <w:jc w:val="center"/>
              <w:rPr/>
            </w:pPr>
            <w:r>
              <w:rPr/>
              <w:t>110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and Board of Directors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Therapeutics,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South San Francisco,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Vistagen Therapeutics, Inc. (the “Company”) as of March 31, 2023 and 2022, the related consolidated statements of operations and comprehensive loss, cash flows, and stockholders’ equity for each of the two years in the period ended March 31, 2023, and the related notes (collectively referred to as the “consolidated financial statements”). In our opinion, the consolidated financial statements present fairly, in all material respects, the financial position of the Company as of March 31, 2023 and 2022, and the results of its operations and its cash flows for each of the two years in the period ended March 31, 2023</w:t>
      </w:r>
      <w:r>
        <w:rPr>
          <w:rFonts w:ascii="Times New Roman" w:hAnsi="Times New Roman"/>
          <w:b/>
          <w:caps w:val="false"/>
          <w:smallCaps w:val="false"/>
          <w:sz w:val="20"/>
        </w:rPr>
        <w:t xml:space="preserve">, </w:t>
      </w:r>
      <w:r>
        <w:rPr>
          <w:rFonts w:ascii="Times New Roman" w:hAnsi="Times New Roman"/>
          <w:caps w:val="false"/>
          <w:smallCaps w:val="false"/>
          <w:sz w:val="20"/>
        </w:rPr>
        <w:t>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Substantial Doubt Regarding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have been prepared assuming that the Company will continue as a going concern. As discussed in Note 2 to the consolidated financial statements, the Company has suffered negative cash flows from operations and recurring losses from operations since inception, resulting in an accumulated deficit of $326.9 million as of March 31, 2023, that raise substantial doubt about its ability to continue as a going concern. Management’s plans in regard to these matters are also described in Note 2. The accompanying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Audit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Revenues from Contract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Description of the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discussed in Note 11 to the consolidated financial statements, the Company derecognized approximately $0.9 million in revenue under the sublicense agreement with AffaMed Therapeutics. Inc. (“AffaMed”) during the fiscal year ended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Auditing management’s timing of revenue recognition attributed to the single combined performance obligation was challenging, as significant judgment is required in the evaluation of the period in which the combined performance obligation is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identified sublicense revenue recognition as a critical audit matter because of the judgments necessary for management to determine the timing of recognition for such revenue. Because of the complexity associated with applying the recognition criteria of Accounting Standards Codification, Topic 606, </w:t>
      </w:r>
      <w:r>
        <w:rPr>
          <w:rFonts w:ascii="Times New Roman" w:hAnsi="Times New Roman"/>
          <w:i/>
          <w:caps w:val="false"/>
          <w:smallCaps w:val="false"/>
          <w:sz w:val="20"/>
        </w:rPr>
        <w:t>Revenue Recognition</w:t>
      </w:r>
      <w:r>
        <w:rPr>
          <w:rFonts w:ascii="Times New Roman" w:hAnsi="Times New Roman"/>
          <w:caps w:val="false"/>
          <w:smallCaps w:val="false"/>
          <w:sz w:val="20"/>
        </w:rPr>
        <w:t>, notably related to the determination of timing of revenue recognition, this required extensive audit effort and a high degree of auditor judgment when performing audit procedures and evaluating the results of those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How We Addressed the Matter in Our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 procedures related to the recognition of sublicense revenue, included the following,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evaluated the Company’s revenue recognition for the sublicense agreement through an inspection of the agreement and an evaluation of management’s revenue recognition analysis corresponding to the sublicense agreement. Our objective was to validate that revenue from the sublicense agreement was recognized in a manner commensurate with the terms of the established agreement and the relevant accounting guidance.</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analyzed the sublicense agreement to determine if the arrangement terms that may have an impact on revenue recognition were identified and properly considered in the evaluation of the accounting for the contract.</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tested the measurement of efforts toward satisfaction of the combined performance obligation which included, among other procedures: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Reviewed management’s revenue schedules for accuracy and completeness by agreeing data to the underlying agreement.</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0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manner in which the combined performance obligation was satisfied, and corroborated management estimates and judgments through a review of press releases and third-party data as a potential source of corroborating or contradictory evidence.</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0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Discussed management’s judgments with the Company’s research and development personnel that oversee aspects of the license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WithumSmith+Brown,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2006.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Francisco,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28, 2023</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PCAOB ID Number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4" w:name="balancesheets"/>
      <w:bookmarkEnd w:id="14"/>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dollars, except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0"/>
        <w:gridCol w:w="60"/>
        <w:gridCol w:w="125"/>
        <w:gridCol w:w="1115"/>
        <w:gridCol w:w="80"/>
        <w:gridCol w:w="60"/>
        <w:gridCol w:w="125"/>
        <w:gridCol w:w="1115"/>
        <w:gridCol w:w="95"/>
      </w:tblGrid>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95" w:type="dxa"/>
            <w:tcBorders/>
            <w:vAlign w:val="center"/>
          </w:tcPr>
          <w:p>
            <w:pPr>
              <w:pStyle w:val="TableContents"/>
              <w:bidi w:val="0"/>
              <w:spacing w:before="0" w:after="283"/>
              <w:jc w:val="left"/>
              <w:rPr/>
            </w:pPr>
            <w:r>
              <w:rPr/>
              <w:t> </w:t>
            </w:r>
          </w:p>
        </w:tc>
      </w:tr>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95" w:type="dxa"/>
            <w:tcBorders/>
            <w:vAlign w:val="center"/>
          </w:tcPr>
          <w:p>
            <w:pPr>
              <w:pStyle w:val="TableContents"/>
              <w:bidi w:val="0"/>
              <w:spacing w:before="0" w:after="283"/>
              <w:jc w:val="left"/>
              <w:rPr/>
            </w:pPr>
            <w:r>
              <w:rPr/>
              <w:t> </w:t>
            </w:r>
          </w:p>
        </w:tc>
      </w:tr>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10110" w:type="dxa"/>
            <w:gridSpan w:val="8"/>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16,637,600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68,135,300</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802,700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2,745,800</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contract acquisition costs -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116,900</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17,507,400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70,998,000</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414,300</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 - operating lease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2,662,000</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offering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321,800</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contract acquisition costs - non-current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146,400</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 deposits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100,900</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21,089,200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74,643,400</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0110" w:type="dxa"/>
            <w:gridSpan w:val="8"/>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2,473,100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2,758,600</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1,329,200</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1,244,000</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obligation -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433,300</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lease obligation -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4,567,400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5,765,100</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 non-current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2,314,600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1,557,600</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obligation - non-current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2,119,800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2,605,400</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lease obligation - non-current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4,441,800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4,163,000</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9,009,200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9,928,100</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$0.001 par value; 10,000,000 shares authorized at March 31, 2023 and March 31, 2022: no shares outstanding at March 31, 2023 and March 31, 2022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325,000,000 shares authorized at March 31, 2023 and March 31, 2022; 7,315,404 and 6,889,221 shares issued at March 31, 2023 and March 31, 2022,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6,900</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342,892,500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336,280,500</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4,522 shares of common stock held at March 31, 2023 and March 31, 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(3,968,100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(3,968,100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(326,851,700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(267,604,000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64,715,300</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21,089,200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74,643,400</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See accompanying notes to consolidated financial statements, including Note 15, </w:t>
      </w:r>
      <w:r>
        <w:rPr>
          <w:rFonts w:ascii="Times New Roman" w:hAnsi="Times New Roman"/>
          <w:i/>
          <w:caps w:val="false"/>
          <w:smallCaps w:val="false"/>
          <w:sz w:val="20"/>
        </w:rPr>
        <w:t>Subsequent Events</w:t>
      </w:r>
      <w:r>
        <w:rPr>
          <w:rFonts w:ascii="Times New Roman" w:hAnsi="Times New Roman"/>
          <w:caps w:val="false"/>
          <w:smallCaps w:val="false"/>
          <w:sz w:val="20"/>
        </w:rPr>
        <w:t>, for information on reverse split of common stock effective on June 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OPERATIONS AND COMPREHENSIVE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dollars, except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655"/>
        <w:gridCol w:w="60"/>
        <w:gridCol w:w="125"/>
        <w:gridCol w:w="1010"/>
        <w:gridCol w:w="80"/>
        <w:gridCol w:w="60"/>
        <w:gridCol w:w="125"/>
        <w:gridCol w:w="1010"/>
        <w:gridCol w:w="80"/>
      </w:tblGrid>
      <w:tr>
        <w:trPr/>
        <w:tc>
          <w:tcPr>
            <w:tcW w:w="7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Fiscal Years Ended </w:t>
            </w:r>
          </w:p>
        </w:tc>
        <w:tc>
          <w:tcPr>
            <w:tcW w:w="80" w:type="dxa"/>
            <w:tcBorders/>
            <w:vAlign w:val="center"/>
          </w:tcPr>
          <w:p>
            <w:pPr>
              <w:pStyle w:val="TableContents"/>
              <w:bidi w:val="0"/>
              <w:spacing w:before="0" w:after="283"/>
              <w:jc w:val="left"/>
              <w:rPr/>
            </w:pPr>
            <w:r>
              <w:rPr/>
              <w:t> </w:t>
            </w:r>
          </w:p>
        </w:tc>
      </w:tr>
      <w:tr>
        <w:trPr/>
        <w:tc>
          <w:tcPr>
            <w:tcW w:w="7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tc>
        <w:tc>
          <w:tcPr>
            <w:tcW w:w="80" w:type="dxa"/>
            <w:tcBorders/>
            <w:vAlign w:val="center"/>
          </w:tcPr>
          <w:p>
            <w:pPr>
              <w:pStyle w:val="TableContents"/>
              <w:bidi w:val="0"/>
              <w:spacing w:before="0" w:after="283"/>
              <w:jc w:val="left"/>
              <w:rPr/>
            </w:pPr>
            <w:r>
              <w:rPr/>
              <w:t> </w:t>
            </w:r>
          </w:p>
        </w:tc>
      </w:tr>
      <w:tr>
        <w:trPr/>
        <w:tc>
          <w:tcPr>
            <w:tcW w:w="7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Sublicense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(227,300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1,108,900</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(227,300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1,108,900</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44,377,100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35,407,800</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14,663,600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13,480,000</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59,040,700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48,887,800</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(59,268,000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(47,778,900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6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19,900</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(59,241,800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(47,759,000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6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6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(59,247,700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(47,762,400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dividend on Series B Preferred stock</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(945,100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attributable to common stockholders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(59,247,700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(48,707,500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Basic and diluted net loss attributable to common stockholders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65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Weighted average shares used in computing basic and diluted net loss attributable to common stockholders per common share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6,958,749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6,599,287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See accompanying notes to consolidated financial statements, including Note 15, </w:t>
      </w:r>
      <w:r>
        <w:rPr>
          <w:rFonts w:ascii="Times New Roman" w:hAnsi="Times New Roman"/>
          <w:i/>
          <w:caps w:val="false"/>
          <w:smallCaps w:val="false"/>
          <w:sz w:val="20"/>
        </w:rPr>
        <w:t>Subsequent Events</w:t>
      </w:r>
      <w:r>
        <w:rPr>
          <w:rFonts w:ascii="Times New Roman" w:hAnsi="Times New Roman"/>
          <w:caps w:val="false"/>
          <w:smallCaps w:val="false"/>
          <w:sz w:val="20"/>
        </w:rPr>
        <w:t>, for information on reverse split of common stock effective on June 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dollars)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3"/>
        <w:gridCol w:w="60"/>
        <w:gridCol w:w="130"/>
        <w:gridCol w:w="1058"/>
        <w:gridCol w:w="83"/>
        <w:gridCol w:w="62"/>
        <w:gridCol w:w="130"/>
        <w:gridCol w:w="1105"/>
        <w:gridCol w:w="84"/>
      </w:tblGrid>
      <w:tr>
        <w:trPr/>
        <w:tc>
          <w:tcPr>
            <w:tcW w:w="7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6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Fiscal Years Ended March 31, </w:t>
            </w:r>
          </w:p>
        </w:tc>
        <w:tc>
          <w:tcPr>
            <w:tcW w:w="84" w:type="dxa"/>
            <w:tcBorders/>
            <w:vAlign w:val="center"/>
          </w:tcPr>
          <w:p>
            <w:pPr>
              <w:pStyle w:val="TableContents"/>
              <w:bidi w:val="0"/>
              <w:spacing w:before="0" w:after="283"/>
              <w:jc w:val="left"/>
              <w:rPr/>
            </w:pPr>
            <w:r>
              <w:rPr/>
              <w:t> </w:t>
            </w:r>
          </w:p>
        </w:tc>
      </w:tr>
      <w:tr>
        <w:trPr/>
        <w:tc>
          <w:tcPr>
            <w:tcW w:w="7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4" w:type="dxa"/>
            <w:tcBorders/>
            <w:vAlign w:val="center"/>
          </w:tcPr>
          <w:p>
            <w:pPr>
              <w:pStyle w:val="TableContents"/>
              <w:bidi w:val="0"/>
              <w:spacing w:before="0" w:after="283"/>
              <w:jc w:val="left"/>
              <w:rPr/>
            </w:pPr>
            <w:r>
              <w:rPr/>
              <w:t> </w:t>
            </w:r>
          </w:p>
        </w:tc>
      </w:tr>
      <w:tr>
        <w:trPr/>
        <w:tc>
          <w:tcPr>
            <w:tcW w:w="749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49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(59,247,700</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(47,762,400</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9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49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129,500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153,500</w:t>
            </w:r>
          </w:p>
        </w:tc>
        <w:tc>
          <w:tcPr>
            <w:tcW w:w="84" w:type="dxa"/>
            <w:tcBorders/>
            <w:shd w:fill="FFFFFF" w:val="clear"/>
            <w:vAlign w:val="center"/>
          </w:tcPr>
          <w:p>
            <w:pPr>
              <w:pStyle w:val="TableContents"/>
              <w:bidi w:val="0"/>
              <w:spacing w:before="0" w:after="283"/>
              <w:jc w:val="left"/>
              <w:rPr/>
            </w:pPr>
            <w:r>
              <w:rPr/>
              <w:t> </w:t>
            </w:r>
          </w:p>
        </w:tc>
      </w:tr>
      <w:tr>
        <w:trPr/>
        <w:tc>
          <w:tcPr>
            <w:tcW w:w="749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3,336,400</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3,480,700</w:t>
            </w:r>
          </w:p>
        </w:tc>
        <w:tc>
          <w:tcPr>
            <w:tcW w:w="84" w:type="dxa"/>
            <w:tcBorders/>
            <w:shd w:fill="CCEEFF" w:val="clear"/>
            <w:vAlign w:val="center"/>
          </w:tcPr>
          <w:p>
            <w:pPr>
              <w:pStyle w:val="TableContents"/>
              <w:bidi w:val="0"/>
              <w:spacing w:before="0" w:after="283"/>
              <w:jc w:val="left"/>
              <w:rPr/>
            </w:pPr>
            <w:r>
              <w:rPr/>
              <w:t> </w:t>
            </w:r>
          </w:p>
        </w:tc>
      </w:tr>
      <w:tr>
        <w:trPr/>
        <w:tc>
          <w:tcPr>
            <w:tcW w:w="749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Expense related to acquisition of Pherin Pharmaceuticals, Inc. recorded as an asset acquisition</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3,559,400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4" w:type="dxa"/>
            <w:tcBorders/>
            <w:shd w:fill="FFFFFF" w:val="clear"/>
            <w:vAlign w:val="center"/>
          </w:tcPr>
          <w:p>
            <w:pPr>
              <w:pStyle w:val="TableContents"/>
              <w:bidi w:val="0"/>
              <w:spacing w:before="0" w:after="283"/>
              <w:jc w:val="left"/>
              <w:rPr/>
            </w:pPr>
            <w:r>
              <w:rPr/>
              <w:t> </w:t>
            </w:r>
          </w:p>
        </w:tc>
      </w:tr>
      <w:tr>
        <w:trPr/>
        <w:tc>
          <w:tcPr>
            <w:tcW w:w="749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Warrant modification expense</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77,400</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4" w:type="dxa"/>
            <w:tcBorders/>
            <w:shd w:fill="CCEEFF" w:val="clear"/>
            <w:vAlign w:val="center"/>
          </w:tcPr>
          <w:p>
            <w:pPr>
              <w:pStyle w:val="TableContents"/>
              <w:bidi w:val="0"/>
              <w:spacing w:before="0" w:after="283"/>
              <w:jc w:val="left"/>
              <w:rPr/>
            </w:pPr>
            <w:r>
              <w:rPr/>
              <w:t> </w:t>
            </w:r>
          </w:p>
        </w:tc>
      </w:tr>
      <w:tr>
        <w:trPr/>
        <w:tc>
          <w:tcPr>
            <w:tcW w:w="749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Amortization of operating lease right-of-use asset</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401,700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557,600</w:t>
            </w:r>
          </w:p>
        </w:tc>
        <w:tc>
          <w:tcPr>
            <w:tcW w:w="84" w:type="dxa"/>
            <w:tcBorders/>
            <w:shd w:fill="FFFFFF" w:val="clear"/>
            <w:vAlign w:val="center"/>
          </w:tcPr>
          <w:p>
            <w:pPr>
              <w:pStyle w:val="TableContents"/>
              <w:bidi w:val="0"/>
              <w:spacing w:before="0" w:after="283"/>
              <w:jc w:val="left"/>
              <w:rPr/>
            </w:pPr>
            <w:r>
              <w:rPr/>
              <w:t> </w:t>
            </w:r>
          </w:p>
        </w:tc>
      </w:tr>
      <w:tr>
        <w:trPr/>
        <w:tc>
          <w:tcPr>
            <w:tcW w:w="749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Expense related to write-off of deferred offering costs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232,000</w:t>
            </w:r>
          </w:p>
        </w:tc>
        <w:tc>
          <w:tcPr>
            <w:tcW w:w="84" w:type="dxa"/>
            <w:tcBorders/>
            <w:shd w:fill="CCEEFF" w:val="clear"/>
            <w:vAlign w:val="center"/>
          </w:tcPr>
          <w:p>
            <w:pPr>
              <w:pStyle w:val="TableContents"/>
              <w:bidi w:val="0"/>
              <w:spacing w:before="0" w:after="283"/>
              <w:jc w:val="left"/>
              <w:rPr/>
            </w:pPr>
            <w:r>
              <w:rPr/>
              <w:t> </w:t>
            </w:r>
          </w:p>
        </w:tc>
      </w:tr>
      <w:tr>
        <w:trPr/>
        <w:tc>
          <w:tcPr>
            <w:tcW w:w="749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493"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3,188,400</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(1,870,100</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93"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Security deposits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(53,100</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93"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liability</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(433,300</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(677,000</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93"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Deferred sublicense revenue, net of deferred contract acquisition costs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205,900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(1,004,600</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93"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(932,800</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1,686,900</w:t>
            </w:r>
          </w:p>
        </w:tc>
        <w:tc>
          <w:tcPr>
            <w:tcW w:w="84" w:type="dxa"/>
            <w:tcBorders/>
            <w:shd w:fill="CCEEFF" w:val="clear"/>
            <w:vAlign w:val="center"/>
          </w:tcPr>
          <w:p>
            <w:pPr>
              <w:pStyle w:val="TableContents"/>
              <w:bidi w:val="0"/>
              <w:spacing w:before="0" w:after="283"/>
              <w:jc w:val="left"/>
              <w:rPr/>
            </w:pPr>
            <w:r>
              <w:rPr/>
              <w:t> </w:t>
            </w:r>
          </w:p>
        </w:tc>
      </w:tr>
      <w:tr>
        <w:trPr/>
        <w:tc>
          <w:tcPr>
            <w:tcW w:w="749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(49,715,100</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(45,256,500</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49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49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Purchases of laboratory and other equipment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(212,000</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(200,400</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9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used in acquisition of Pherin Pharmaceuticals, Inc. as an asset acquisition</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(528,300</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4" w:type="dxa"/>
            <w:tcBorders/>
            <w:shd w:fill="FFFFFF" w:val="clear"/>
            <w:vAlign w:val="center"/>
          </w:tcPr>
          <w:p>
            <w:pPr>
              <w:pStyle w:val="TableContents"/>
              <w:bidi w:val="0"/>
              <w:spacing w:before="0" w:after="283"/>
              <w:jc w:val="left"/>
              <w:rPr/>
            </w:pPr>
            <w:r>
              <w:rPr/>
              <w:t> </w:t>
            </w:r>
          </w:p>
        </w:tc>
      </w:tr>
      <w:tr>
        <w:trPr/>
        <w:tc>
          <w:tcPr>
            <w:tcW w:w="7493"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(740,300</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(200,400</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49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49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proceeds from issuance of common stock, including option exercises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104,400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139,900</w:t>
            </w:r>
          </w:p>
        </w:tc>
        <w:tc>
          <w:tcPr>
            <w:tcW w:w="84" w:type="dxa"/>
            <w:tcBorders/>
            <w:shd w:fill="FFFFFF" w:val="clear"/>
            <w:vAlign w:val="center"/>
          </w:tcPr>
          <w:p>
            <w:pPr>
              <w:pStyle w:val="TableContents"/>
              <w:bidi w:val="0"/>
              <w:spacing w:before="0" w:after="283"/>
              <w:jc w:val="left"/>
              <w:rPr/>
            </w:pPr>
            <w:r>
              <w:rPr/>
              <w:t> </w:t>
            </w:r>
          </w:p>
        </w:tc>
      </w:tr>
      <w:tr>
        <w:trPr/>
        <w:tc>
          <w:tcPr>
            <w:tcW w:w="749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proceeds from exercise of warrants, net of underlying share registration expenses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5,948,500</w:t>
            </w:r>
          </w:p>
        </w:tc>
        <w:tc>
          <w:tcPr>
            <w:tcW w:w="84" w:type="dxa"/>
            <w:tcBorders/>
            <w:shd w:fill="CCEEFF" w:val="clear"/>
            <w:vAlign w:val="center"/>
          </w:tcPr>
          <w:p>
            <w:pPr>
              <w:pStyle w:val="TableContents"/>
              <w:bidi w:val="0"/>
              <w:spacing w:before="0" w:after="283"/>
              <w:jc w:val="left"/>
              <w:rPr/>
            </w:pPr>
            <w:r>
              <w:rPr/>
              <w:t> </w:t>
            </w:r>
          </w:p>
        </w:tc>
      </w:tr>
      <w:tr>
        <w:trPr/>
        <w:tc>
          <w:tcPr>
            <w:tcW w:w="7493"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Net proceeds (expenses) from sale of common stock under At the Market (ATM) facility, net of deferred offering costs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(173,900</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4,299,000</w:t>
            </w:r>
          </w:p>
        </w:tc>
        <w:tc>
          <w:tcPr>
            <w:tcW w:w="84" w:type="dxa"/>
            <w:tcBorders/>
            <w:shd w:fill="FFFFFF" w:val="clear"/>
            <w:vAlign w:val="center"/>
          </w:tcPr>
          <w:p>
            <w:pPr>
              <w:pStyle w:val="TableContents"/>
              <w:bidi w:val="0"/>
              <w:spacing w:before="0" w:after="283"/>
              <w:jc w:val="left"/>
              <w:rPr/>
            </w:pPr>
            <w:r>
              <w:rPr/>
              <w:t> </w:t>
            </w:r>
          </w:p>
        </w:tc>
      </w:tr>
      <w:tr>
        <w:trPr/>
        <w:tc>
          <w:tcPr>
            <w:tcW w:w="749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proceeds from sale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63,100</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99,500</w:t>
            </w:r>
          </w:p>
        </w:tc>
        <w:tc>
          <w:tcPr>
            <w:tcW w:w="84" w:type="dxa"/>
            <w:tcBorders/>
            <w:shd w:fill="CCEEFF" w:val="clear"/>
            <w:vAlign w:val="center"/>
          </w:tcPr>
          <w:p>
            <w:pPr>
              <w:pStyle w:val="TableContents"/>
              <w:bidi w:val="0"/>
              <w:spacing w:before="0" w:after="283"/>
              <w:jc w:val="left"/>
              <w:rPr/>
            </w:pPr>
            <w:r>
              <w:rPr/>
              <w:t> </w:t>
            </w:r>
          </w:p>
        </w:tc>
      </w:tr>
      <w:tr>
        <w:trPr/>
        <w:tc>
          <w:tcPr>
            <w:tcW w:w="749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Repayment of financing lease obligations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(3,000</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9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Repayment of note payable</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(1,034,400</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4" w:type="dxa"/>
            <w:tcBorders/>
            <w:shd w:fill="CCEEFF" w:val="clear"/>
            <w:vAlign w:val="center"/>
          </w:tcPr>
          <w:p>
            <w:pPr>
              <w:pStyle w:val="TableContents"/>
              <w:bidi w:val="0"/>
              <w:spacing w:before="0" w:after="283"/>
              <w:jc w:val="left"/>
              <w:rPr/>
            </w:pPr>
            <w:r>
              <w:rPr/>
              <w:t> </w:t>
            </w:r>
          </w:p>
        </w:tc>
      </w:tr>
      <w:tr>
        <w:trPr/>
        <w:tc>
          <w:tcPr>
            <w:tcW w:w="7493"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(1,042,300</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10,483,900</w:t>
            </w:r>
          </w:p>
        </w:tc>
        <w:tc>
          <w:tcPr>
            <w:tcW w:w="84" w:type="dxa"/>
            <w:tcBorders/>
            <w:shd w:fill="FFFFFF" w:val="clear"/>
            <w:vAlign w:val="center"/>
          </w:tcPr>
          <w:p>
            <w:pPr>
              <w:pStyle w:val="TableContents"/>
              <w:bidi w:val="0"/>
              <w:spacing w:before="0" w:after="283"/>
              <w:jc w:val="left"/>
              <w:rPr/>
            </w:pPr>
            <w:r>
              <w:rPr/>
              <w:t> </w:t>
            </w:r>
          </w:p>
        </w:tc>
      </w:tr>
      <w:tr>
        <w:trPr/>
        <w:tc>
          <w:tcPr>
            <w:tcW w:w="749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(51,497,700</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(34,973,000</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9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year</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68,135,300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103,108,300</w:t>
            </w:r>
          </w:p>
        </w:tc>
        <w:tc>
          <w:tcPr>
            <w:tcW w:w="84" w:type="dxa"/>
            <w:tcBorders/>
            <w:shd w:fill="FFFFFF" w:val="clear"/>
            <w:vAlign w:val="center"/>
          </w:tcPr>
          <w:p>
            <w:pPr>
              <w:pStyle w:val="TableContents"/>
              <w:bidi w:val="0"/>
              <w:spacing w:before="0" w:after="283"/>
              <w:jc w:val="left"/>
              <w:rPr/>
            </w:pPr>
            <w:r>
              <w:rPr/>
              <w:t> </w:t>
            </w:r>
          </w:p>
        </w:tc>
      </w:tr>
      <w:tr>
        <w:trPr/>
        <w:tc>
          <w:tcPr>
            <w:tcW w:w="749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end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16,637,600</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68,135,300</w:t>
            </w:r>
          </w:p>
        </w:tc>
        <w:tc>
          <w:tcPr>
            <w:tcW w:w="84" w:type="dxa"/>
            <w:tcBorders/>
            <w:shd w:fill="CCEEFF" w:val="clear"/>
            <w:vAlign w:val="center"/>
          </w:tcPr>
          <w:p>
            <w:pPr>
              <w:pStyle w:val="TableContents"/>
              <w:bidi w:val="0"/>
              <w:spacing w:before="0" w:after="283"/>
              <w:jc w:val="left"/>
              <w:rPr/>
            </w:pPr>
            <w:r>
              <w:rPr/>
              <w:t> </w:t>
            </w:r>
          </w:p>
        </w:tc>
      </w:tr>
      <w:tr>
        <w:trPr/>
        <w:tc>
          <w:tcPr>
            <w:tcW w:w="74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49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disclosure of noncash activities: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49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Insurance premiums settled by issuing note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1,139,700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4" w:type="dxa"/>
            <w:tcBorders/>
            <w:shd w:fill="FFFFFF" w:val="clear"/>
            <w:vAlign w:val="center"/>
          </w:tcPr>
          <w:p>
            <w:pPr>
              <w:pStyle w:val="TableContents"/>
              <w:bidi w:val="0"/>
              <w:spacing w:before="0" w:after="283"/>
              <w:jc w:val="left"/>
              <w:rPr/>
            </w:pPr>
            <w:r>
              <w:rPr/>
              <w:t> </w:t>
            </w:r>
          </w:p>
        </w:tc>
      </w:tr>
      <w:tr>
        <w:trPr/>
        <w:tc>
          <w:tcPr>
            <w:tcW w:w="749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Acquisition of office equipment subject to financing lease</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10,600</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4" w:type="dxa"/>
            <w:tcBorders/>
            <w:shd w:fill="CCEEFF" w:val="clear"/>
            <w:vAlign w:val="center"/>
          </w:tcPr>
          <w:p>
            <w:pPr>
              <w:pStyle w:val="TableContents"/>
              <w:bidi w:val="0"/>
              <w:spacing w:before="0" w:after="283"/>
              <w:jc w:val="left"/>
              <w:rPr/>
            </w:pPr>
            <w:r>
              <w:rPr/>
              <w:t> </w:t>
            </w:r>
          </w:p>
        </w:tc>
      </w:tr>
      <w:tr>
        <w:trPr/>
        <w:tc>
          <w:tcPr>
            <w:tcW w:w="749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Fair value of common stock issued for acquisition of Pherin Pharmaceuticals, Inc.</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3,076,500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4" w:type="dxa"/>
            <w:tcBorders/>
            <w:shd w:fill="FFFFFF" w:val="clear"/>
            <w:vAlign w:val="center"/>
          </w:tcPr>
          <w:p>
            <w:pPr>
              <w:pStyle w:val="TableContents"/>
              <w:bidi w:val="0"/>
              <w:spacing w:before="0" w:after="283"/>
              <w:jc w:val="left"/>
              <w:rPr/>
            </w:pPr>
            <w:r>
              <w:rPr/>
              <w:t> </w:t>
            </w:r>
          </w:p>
        </w:tc>
      </w:tr>
      <w:tr>
        <w:trPr/>
        <w:tc>
          <w:tcPr>
            <w:tcW w:w="749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dividends on Series B Preferred</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945,100</w:t>
            </w:r>
          </w:p>
        </w:tc>
        <w:tc>
          <w:tcPr>
            <w:tcW w:w="84" w:type="dxa"/>
            <w:tcBorders/>
            <w:shd w:fill="CCEEFF" w:val="clear"/>
            <w:vAlign w:val="center"/>
          </w:tcPr>
          <w:p>
            <w:pPr>
              <w:pStyle w:val="TableContents"/>
              <w:bidi w:val="0"/>
              <w:spacing w:before="0" w:after="283"/>
              <w:jc w:val="left"/>
              <w:rPr/>
            </w:pPr>
            <w:r>
              <w:rPr/>
              <w:t> </w:t>
            </w:r>
          </w:p>
        </w:tc>
      </w:tr>
      <w:tr>
        <w:trPr/>
        <w:tc>
          <w:tcPr>
            <w:tcW w:w="749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dividends on Series B Preferred settled upon conversion by issuance of common stock</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7,217,800</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See accompanying notes to consolidated financial statements, including Note 15, </w:t>
      </w:r>
      <w:r>
        <w:rPr>
          <w:rFonts w:ascii="Times New Roman" w:hAnsi="Times New Roman"/>
          <w:i/>
          <w:caps w:val="false"/>
          <w:smallCaps w:val="false"/>
          <w:sz w:val="20"/>
        </w:rPr>
        <w:t>Subsequent Events</w:t>
      </w:r>
      <w:r>
        <w:rPr>
          <w:rFonts w:ascii="Times New Roman" w:hAnsi="Times New Roman"/>
          <w:caps w:val="false"/>
          <w:smallCaps w:val="false"/>
          <w:sz w:val="20"/>
        </w:rPr>
        <w:t>, for information on reverse split of common stock effective on June 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Years Ended March 31, 2022 and 2023</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dollars, except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3970" w:type="dxa"/>
        <w:jc w:val="left"/>
        <w:tblInd w:w="0" w:type="dxa"/>
        <w:tblLayout w:type="fixed"/>
        <w:tblCellMar>
          <w:top w:w="0" w:type="dxa"/>
          <w:left w:w="0" w:type="dxa"/>
          <w:bottom w:w="0" w:type="dxa"/>
          <w:right w:w="0" w:type="dxa"/>
        </w:tblCellMar>
      </w:tblPr>
      <w:tblGrid>
        <w:gridCol w:w="1010"/>
        <w:gridCol w:w="60"/>
        <w:gridCol w:w="60"/>
        <w:gridCol w:w="665"/>
        <w:gridCol w:w="80"/>
        <w:gridCol w:w="60"/>
        <w:gridCol w:w="149"/>
        <w:gridCol w:w="456"/>
        <w:gridCol w:w="80"/>
        <w:gridCol w:w="60"/>
        <w:gridCol w:w="60"/>
        <w:gridCol w:w="800"/>
        <w:gridCol w:w="80"/>
        <w:gridCol w:w="60"/>
        <w:gridCol w:w="120"/>
        <w:gridCol w:w="485"/>
        <w:gridCol w:w="80"/>
        <w:gridCol w:w="60"/>
        <w:gridCol w:w="60"/>
        <w:gridCol w:w="800"/>
        <w:gridCol w:w="80"/>
        <w:gridCol w:w="60"/>
        <w:gridCol w:w="120"/>
        <w:gridCol w:w="485"/>
        <w:gridCol w:w="80"/>
        <w:gridCol w:w="60"/>
        <w:gridCol w:w="60"/>
        <w:gridCol w:w="665"/>
        <w:gridCol w:w="80"/>
        <w:gridCol w:w="60"/>
        <w:gridCol w:w="149"/>
        <w:gridCol w:w="456"/>
        <w:gridCol w:w="80"/>
        <w:gridCol w:w="60"/>
        <w:gridCol w:w="60"/>
        <w:gridCol w:w="740"/>
        <w:gridCol w:w="60"/>
        <w:gridCol w:w="60"/>
        <w:gridCol w:w="124"/>
        <w:gridCol w:w="481"/>
        <w:gridCol w:w="60"/>
        <w:gridCol w:w="60"/>
        <w:gridCol w:w="110"/>
        <w:gridCol w:w="920"/>
        <w:gridCol w:w="80"/>
        <w:gridCol w:w="60"/>
        <w:gridCol w:w="110"/>
        <w:gridCol w:w="800"/>
        <w:gridCol w:w="80"/>
        <w:gridCol w:w="60"/>
        <w:gridCol w:w="110"/>
        <w:gridCol w:w="980"/>
        <w:gridCol w:w="80"/>
        <w:gridCol w:w="60"/>
        <w:gridCol w:w="110"/>
        <w:gridCol w:w="890"/>
        <w:gridCol w:w="95"/>
      </w:tblGrid>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Additional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9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Series A Preferred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Series B Preferred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Series C Preferred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Series D Preferred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Common Stock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Treasury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Stockholders’</w:t>
            </w:r>
          </w:p>
        </w:tc>
        <w:tc>
          <w:tcPr>
            <w:tcW w:w="9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Shares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Amount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Shares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Amount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Shares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Amount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Shares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Amount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Amount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Capital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Equity</w:t>
            </w:r>
          </w:p>
        </w:tc>
        <w:tc>
          <w:tcPr>
            <w:tcW w:w="9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at March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1,131,669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2,318,012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402,149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6,025,042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315,777,900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(3,968,100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(219,841,600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91,978,500</w:t>
            </w:r>
          </w:p>
        </w:tc>
        <w:tc>
          <w:tcPr>
            <w:tcW w:w="9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proceeds from 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243,293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6,207,200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6,207,400</w:t>
            </w:r>
          </w:p>
        </w:tc>
        <w:tc>
          <w:tcPr>
            <w:tcW w:w="9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Comversion of Series D Preferred stock 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(402,149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308,314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95"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Conversion of Series A Preferred stock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9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Comversion of Series B Preferred stock to common stock and payment of accrued dividends in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(1,131,669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147,582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7,218,700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7,217,800</w:t>
            </w:r>
          </w:p>
        </w:tc>
        <w:tc>
          <w:tcPr>
            <w:tcW w:w="95"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Conversion of Series C Preferred Stock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(2,318,012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(2,300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9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Accrued dividends on Series B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(945,100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(945,100</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3,480,700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3,480,700</w:t>
            </w:r>
          </w:p>
        </w:tc>
        <w:tc>
          <w:tcPr>
            <w:tcW w:w="9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Sale of common stock pursuant to 2019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99,300</w:t>
            </w:r>
          </w:p>
        </w:tc>
        <w:tc>
          <w:tcPr>
            <w:tcW w:w="95"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upon cashless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9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proceeds from exercise of stock options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140,000</w:t>
            </w:r>
          </w:p>
        </w:tc>
        <w:tc>
          <w:tcPr>
            <w:tcW w:w="95"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proceeds from issuance of common stock under ATM facility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50,593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4,299,000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4,299,100</w:t>
            </w:r>
          </w:p>
        </w:tc>
        <w:tc>
          <w:tcPr>
            <w:tcW w:w="9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for the fiscal year ended March 31, 2022</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(47,762,400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(47,762,400</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at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6,889,221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336,280,500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(3,968,100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(267,604,000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64,715,300</w:t>
            </w:r>
          </w:p>
        </w:tc>
        <w:tc>
          <w:tcPr>
            <w:tcW w:w="9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3,336,400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3,336,400</w:t>
            </w:r>
          </w:p>
        </w:tc>
        <w:tc>
          <w:tcPr>
            <w:tcW w:w="95"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Sale of common stock pursuant to 2019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63,100</w:t>
            </w:r>
          </w:p>
        </w:tc>
        <w:tc>
          <w:tcPr>
            <w:tcW w:w="9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upon cashless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95"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proceeds from exercise of stock options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104,400</w:t>
            </w:r>
          </w:p>
        </w:tc>
        <w:tc>
          <w:tcPr>
            <w:tcW w:w="9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Increase in fair value attributable to warrant modification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45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77,400</w:t>
            </w:r>
          </w:p>
        </w:tc>
        <w:tc>
          <w:tcPr>
            <w:tcW w:w="95"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Fair value of common stock issued for acquisition of Pherin Pharmaceuticals, Inc. as an asset acquisition, net of registration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413,670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3,030,700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3,031,100</w:t>
            </w:r>
          </w:p>
        </w:tc>
        <w:tc>
          <w:tcPr>
            <w:tcW w:w="9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for the fiscal year ended March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(59,247,700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(59,247,700</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at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7,315,404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7,300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342,892,500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(3,968,100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(326,851,700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12,080,000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See accompanying notes to consolidated financial statements, including Note 15, </w:t>
      </w:r>
      <w:r>
        <w:rPr>
          <w:rFonts w:ascii="Times New Roman" w:hAnsi="Times New Roman"/>
          <w:i/>
          <w:caps w:val="false"/>
          <w:smallCaps w:val="false"/>
          <w:sz w:val="20"/>
        </w:rPr>
        <w:t>Subsequent Events</w:t>
      </w:r>
      <w:r>
        <w:rPr>
          <w:rFonts w:ascii="Times New Roman" w:hAnsi="Times New Roman"/>
          <w:caps w:val="false"/>
          <w:smallCaps w:val="false"/>
          <w:sz w:val="20"/>
        </w:rPr>
        <w:t>, for information on reverse split of common stock effective on June 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185" w:type="dxa"/>
        <w:jc w:val="left"/>
        <w:tblInd w:w="0" w:type="dxa"/>
        <w:tblLayout w:type="fixed"/>
        <w:tblCellMar>
          <w:top w:w="0" w:type="dxa"/>
          <w:left w:w="0" w:type="dxa"/>
          <w:bottom w:w="0" w:type="dxa"/>
          <w:right w:w="0" w:type="dxa"/>
        </w:tblCellMar>
      </w:tblPr>
      <w:tblGrid>
        <w:gridCol w:w="170"/>
        <w:gridCol w:w="201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w:t>
            </w:r>
          </w:p>
        </w:tc>
        <w:tc>
          <w:tcPr>
            <w:tcW w:w="20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Description of Business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Vistagen Therapeutics, Inc., a Nevada corporation (which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may</w:t>
      </w:r>
      <w:r>
        <w:rPr>
          <w:rFonts w:ascii="Times New Roman" w:hAnsi="Times New Roman"/>
          <w:caps w:val="false"/>
          <w:smallCaps w:val="false"/>
          <w:sz w:val="20"/>
        </w:rPr>
        <w:t> be referred to as </w:t>
      </w:r>
      <w:r>
        <w:rPr>
          <w:rFonts w:ascii="Times New Roman" w:hAnsi="Times New Roman"/>
          <w:i/>
          <w:caps w:val="false"/>
          <w:smallCaps w:val="false"/>
          <w:sz w:val="20"/>
        </w:rPr>
        <w:t>Vistagen</w:t>
      </w:r>
      <w:r>
        <w:rPr>
          <w:rFonts w:ascii="Times New Roman" w:hAnsi="Times New Roman"/>
          <w:caps w:val="false"/>
          <w:smallCaps w:val="false"/>
          <w:sz w:val="20"/>
        </w:rPr>
        <w:t>, the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or </w:t>
      </w:r>
      <w:r>
        <w:rPr>
          <w:rFonts w:ascii="Times New Roman" w:hAnsi="Times New Roman"/>
          <w:i/>
          <w:caps w:val="false"/>
          <w:smallCaps w:val="false"/>
          <w:sz w:val="20"/>
        </w:rPr>
        <w:t>us</w:t>
      </w:r>
      <w:r>
        <w:rPr>
          <w:rFonts w:ascii="Times New Roman" w:hAnsi="Times New Roman"/>
          <w:caps w:val="false"/>
          <w:smallCaps w:val="false"/>
          <w:sz w:val="20"/>
        </w:rPr>
        <w:t>), late clinical-stage biopharmaceutical company aiming to transform the treatment landscape for individuals living with anxiety, depression and other central nervous system (</w:t>
      </w:r>
      <w:r>
        <w:rPr>
          <w:rFonts w:ascii="Times New Roman" w:hAnsi="Times New Roman"/>
          <w:i/>
          <w:caps w:val="false"/>
          <w:smallCaps w:val="false"/>
          <w:sz w:val="20"/>
        </w:rPr>
        <w:t>CNS</w:t>
      </w:r>
      <w:r>
        <w:rPr>
          <w:rFonts w:ascii="Times New Roman" w:hAnsi="Times New Roman"/>
          <w:caps w:val="false"/>
          <w:smallCaps w:val="false"/>
          <w:sz w:val="20"/>
        </w:rPr>
        <w:t xml:space="preserve">) disorders. We are advancing therapeutics with the potential to be faster-acting, and with fewer side effects and safety concerns, than those currently available for treating anxiety, depression and multiple CNS disorders. Our pipeline includes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clinical-stage product candidates, including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investigational agents belonging to a new class of neuroactive drugs known as pherines, in addition to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an oral prodrug of an antagonist of the glycine site of the N-methyl-D-aspartate receptor (</w:t>
      </w:r>
      <w:r>
        <w:rPr>
          <w:rFonts w:ascii="Times New Roman" w:hAnsi="Times New Roman"/>
          <w:i/>
          <w:caps w:val="false"/>
          <w:smallCaps w:val="false"/>
          <w:sz w:val="20"/>
        </w:rPr>
        <w:t>NMDAR</w:t>
      </w:r>
      <w:r>
        <w:rPr>
          <w:rFonts w:ascii="Times New Roman" w:hAnsi="Times New Roman"/>
          <w:caps w:val="false"/>
          <w:smallCaps w:val="false"/>
          <w:sz w:val="20"/>
        </w:rPr>
        <w:t>). Pherines, which are administered as nasal sprays, are designed with an innovative rapid-onset mechanism of action that activates chemosensory neurons in the nasal cavity and can selectively and beneficially impact key neural circuits in the brain without requiring systemic uptake or direct activity on CNS neurons.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inhibits the activity of the ion channel of the NMDAR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block it, unlike some approved NMDAR antagonists having significant side effects. Our goal is to develop and commercialize, on our own and with multiple global and regional strategic partners, innovative therapies for anxiety, depression, and other CNS indications where current treatment options are inadequate to meet the needs of millions of patients in the U.S. and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Pherine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Five of our product candidates – fasedienol (</w:t>
      </w:r>
      <w:r>
        <w:rPr>
          <w:rStyle w:val="Emphasis"/>
          <w:rFonts w:ascii="Times New Roman" w:hAnsi="Times New Roman"/>
          <w:caps w:val="false"/>
          <w:smallCaps w:val="false"/>
          <w:sz w:val="20"/>
        </w:rPr>
        <w:t>PH94B</w:t>
      </w:r>
      <w:r>
        <w:rPr>
          <w:rFonts w:ascii="Times New Roman" w:hAnsi="Times New Roman"/>
          <w:caps w:val="false"/>
          <w:smallCaps w:val="false"/>
          <w:sz w:val="20"/>
        </w:rPr>
        <w:t>), itruvone (</w:t>
      </w:r>
      <w:r>
        <w:rPr>
          <w:rStyle w:val="Emphasis"/>
          <w:rFonts w:ascii="Times New Roman" w:hAnsi="Times New Roman"/>
          <w:caps w:val="false"/>
          <w:smallCaps w:val="false"/>
          <w:sz w:val="20"/>
        </w:rPr>
        <w:t>PH10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PH15,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PH80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PH284</w:t>
      </w:r>
      <w:r>
        <w:rPr>
          <w:rFonts w:ascii="Times New Roman" w:hAnsi="Times New Roman"/>
          <w:caps w:val="false"/>
          <w:smallCaps w:val="false"/>
          <w:sz w:val="20"/>
        </w:rPr>
        <w:t xml:space="preserve"> – belong to a new class of synthetic neuroactive steroids referred to as pherines. Pherines, administered in ultra-low microgram level doses as odorless and tasteless nasal sprays, are designed to selectively engage chemosensory neurons in the nasal cavity and induce rapid-onset pharmacologic and behavioral benefits. Specifically, each of our pherine product candidates is a distinct chemical entity that selectively modulates particular areas of the brain, such as the limbic amygdala (the main fear and anxiety center of the brain), the hypothalamus, the hippocampus, the locus ceruleus, and the prefrontal cortex. We believe each of our pherine product candidates has the potential to be a fast-acting therapy for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CNS disorders, including social anxiety disorder (fasedienol), major depressive disorder (itruvone), cognitive impairment (</w:t>
      </w:r>
      <w:r>
        <w:rPr>
          <w:rStyle w:val="Emphasis"/>
          <w:rFonts w:ascii="Times New Roman" w:hAnsi="Times New Roman"/>
          <w:caps w:val="false"/>
          <w:smallCaps w:val="false"/>
          <w:sz w:val="20"/>
        </w:rPr>
        <w:t>PH15</w:t>
      </w:r>
      <w:r>
        <w:rPr>
          <w:rFonts w:ascii="Times New Roman" w:hAnsi="Times New Roman"/>
          <w:caps w:val="false"/>
          <w:smallCaps w:val="false"/>
          <w:sz w:val="20"/>
        </w:rPr>
        <w:t>), vasomotor syndrome (hot flashes) due to menopause, as well as migraine headaches (</w:t>
      </w:r>
      <w:r>
        <w:rPr>
          <w:rStyle w:val="Emphasis"/>
          <w:rFonts w:ascii="Times New Roman" w:hAnsi="Times New Roman"/>
          <w:caps w:val="false"/>
          <w:smallCaps w:val="false"/>
          <w:sz w:val="20"/>
        </w:rPr>
        <w:t>PH80</w:t>
      </w:r>
      <w:r>
        <w:rPr>
          <w:rFonts w:ascii="Times New Roman" w:hAnsi="Times New Roman"/>
          <w:caps w:val="false"/>
          <w:smallCaps w:val="false"/>
          <w:sz w:val="20"/>
        </w:rPr>
        <w:t>) and disorders related to appetite loss (cachexia) (</w:t>
      </w:r>
      <w:r>
        <w:rPr>
          <w:rStyle w:val="Emphasis"/>
          <w:rFonts w:ascii="Times New Roman" w:hAnsi="Times New Roman"/>
          <w:caps w:val="false"/>
          <w:smallCaps w:val="false"/>
          <w:sz w:val="20"/>
        </w:rPr>
        <w:t>PH284</w:t>
      </w:r>
      <w:r>
        <w:rPr>
          <w:rFonts w:ascii="Times New Roman" w:hAnsi="Times New Roman"/>
          <w:caps w:val="false"/>
          <w:smallCaps w:val="false"/>
          <w:sz w:val="20"/>
        </w:rPr>
        <w:t>), all without requiring apparent systemic uptake or binding to classic abuse liability receptors or steroidal hormone receptors.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Fasedienol Nasal Spray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Fasedienol (</w:t>
      </w:r>
      <w:r>
        <w:rPr>
          <w:rStyle w:val="Emphasis"/>
          <w:rFonts w:ascii="Times New Roman" w:hAnsi="Times New Roman"/>
          <w:caps w:val="false"/>
          <w:smallCaps w:val="false"/>
          <w:sz w:val="20"/>
        </w:rPr>
        <w:t>PH94B</w:t>
      </w:r>
      <w:r>
        <w:rPr>
          <w:rFonts w:ascii="Times New Roman" w:hAnsi="Times New Roman"/>
          <w:caps w:val="false"/>
          <w:smallCaps w:val="false"/>
          <w:sz w:val="20"/>
        </w:rPr>
        <w:t xml:space="preserve">) is a synthetic investigational pherine from the androstane family in Phase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clinical development in the U.S. for treatment of social anxiety disorder (</w:t>
      </w:r>
      <w:r>
        <w:rPr>
          <w:rFonts w:ascii="Times New Roman" w:hAnsi="Times New Roman"/>
          <w:i/>
          <w:caps w:val="false"/>
          <w:smallCaps w:val="false"/>
          <w:sz w:val="20"/>
        </w:rPr>
        <w:t>SAD</w:t>
      </w:r>
      <w:r>
        <w:rPr>
          <w:rFonts w:ascii="Times New Roman" w:hAnsi="Times New Roman"/>
          <w:caps w:val="false"/>
          <w:smallCaps w:val="false"/>
          <w:sz w:val="20"/>
        </w:rPr>
        <w:t>). When administered intranasally in microgram doses, fasedienol activates receptors of peripheral nasal chemosensory neurons connected to subsets of neurons in the olfactory bulbs that, in turn, connect to neurons in the limbic amygdala involved in the pathophysiology of SAD and potentially other anxiety and mood disorders. Fasedienol is pharmacologically active without requiring apparent systemic uptake and distribution of the compound to the brain to achieve its rapid-onset and short duration of anxiolytic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proposed MOA of fasedienol is fundamentally differentiated from all currently approved anti-anxiety medications, including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antidepressants approved by the FDA for the treatment of SAD, as well as all benzodiazepines and beta blockers, which, although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FDA-approved for the treatment of SAD, are prescribed for treatment of SAD on an off-label basis. Pre-clinical and Phase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clinical studies completed to date suggest that fasedienol has the potential to achieve rapid-onset anti-anxiety effects without systemic uptake or transport into the brain, significantly reducing the risk of side effects and other safety concerns such as potential drug-drug interactions, abuse, misuse and addiction associated with certain other systemic pharmaceuticals that act directly on the CNS and are sometimes prescribed for anxiety disorders.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 xml:space="preserve">SAD PALISADE Phase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Program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PALISADE-</w:t>
      </w:r>
      <w:r>
        <w:rPr>
          <w:rStyle w:val="Emphasis"/>
          <w:rFonts w:ascii="Times New Roman" w:hAnsi="Times New Roman"/>
          <w:i/>
          <w:caps w:val="false"/>
          <w:smallCaps w:val="false"/>
          <w:sz w:val="20"/>
        </w:rPr>
        <w:t>1.</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we initiated our PALISADE Phase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Program for fasedienol in SAD with PALISADE-</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 single-administration assessment Phase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public speaking challenge clinical study of fasedienol for the acute treatment of anxiety in adults with SAD. Following discussions with the FDA in mid-</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during the acute phase of the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pandemic, we agreed to design PALISADE-</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 a manner substantially similar to the single-administration assessment Phase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public speaking challenge study of fasedienol, which involved self-administration of only a single dose of fasedienol by subjects randomized to the treatment arm. All subjects were given an anxiety-provoking public speaking challenge, conducted only in a clinical setting, and their change in a Subjective Units of Distress Scale (</w:t>
      </w:r>
      <w:r>
        <w:rPr>
          <w:rFonts w:ascii="Times New Roman" w:hAnsi="Times New Roman"/>
          <w:i/>
          <w:caps w:val="false"/>
          <w:smallCaps w:val="false"/>
          <w:sz w:val="20"/>
        </w:rPr>
        <w:t>SUDS</w:t>
      </w:r>
      <w:r>
        <w:rPr>
          <w:rFonts w:ascii="Times New Roman" w:hAnsi="Times New Roman"/>
          <w:caps w:val="false"/>
          <w:smallCaps w:val="false"/>
          <w:sz w:val="20"/>
        </w:rPr>
        <w:t>) score was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2022, </w:t>
      </w:r>
      <w:r>
        <w:rPr>
          <w:rFonts w:ascii="Times New Roman" w:hAnsi="Times New Roman"/>
          <w:caps w:val="false"/>
          <w:smallCaps w:val="false"/>
          <w:sz w:val="20"/>
        </w:rPr>
        <w:t>we announced top line results from PALISADE-</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Although the safety and tolerability of fasedienol in PALISADE-</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were favorable and consistent with previously reported results from previous clinical trials, PALISADE-</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achieve its primary efficacy endpoint, as measured by change from baseline using the SUDS as compared to placebo. We believe the following hypotheses are potential explanations for the unexpected outcome in PALISADE-</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 the study was conducted during the acute phase of the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pandemic, introducing significant systemic variability in terms of changing social dynamics, subject stress, study site and contract research organization (</w:t>
      </w:r>
      <w:r>
        <w:rPr>
          <w:rFonts w:ascii="Times New Roman" w:hAnsi="Times New Roman"/>
          <w:i/>
          <w:caps w:val="false"/>
          <w:smallCaps w:val="false"/>
          <w:sz w:val="20"/>
        </w:rPr>
        <w:t>CRO</w:t>
      </w:r>
      <w:r>
        <w:rPr>
          <w:rFonts w:ascii="Times New Roman" w:hAnsi="Times New Roman"/>
          <w:caps w:val="false"/>
          <w:smallCaps w:val="false"/>
          <w:sz w:val="20"/>
        </w:rPr>
        <w:t xml:space="preserve">) personnel turnover and mask wearing regulations; (ii) given the foregoing, the public speaking challenge study design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have been scalable to a large Phase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study, particularly during the acute phase of the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pandemic; and (iii) some subjects in the study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had reduced potential to respond to fasedienol due to impaired olfactory cell function potentially caused by the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virus, nasal swab testing for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respiratory syncytial virus (</w:t>
      </w:r>
      <w:r>
        <w:rPr>
          <w:rFonts w:ascii="Times New Roman" w:hAnsi="Times New Roman"/>
          <w:i/>
          <w:caps w:val="false"/>
          <w:smallCaps w:val="false"/>
          <w:sz w:val="20"/>
        </w:rPr>
        <w:t>RSV</w:t>
      </w:r>
      <w:r>
        <w:rPr>
          <w:rFonts w:ascii="Times New Roman" w:hAnsi="Times New Roman"/>
          <w:caps w:val="false"/>
          <w:smallCaps w:val="false"/>
          <w:sz w:val="20"/>
        </w:rPr>
        <w:t>) or influenza, and/or heavy cannabis use, smoking or vaping.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PALISADE-</w:t>
      </w:r>
      <w:r>
        <w:rPr>
          <w:rStyle w:val="Emphasis"/>
          <w:rFonts w:ascii="Times New Roman" w:hAnsi="Times New Roman"/>
          <w:i/>
          <w:caps w:val="false"/>
          <w:smallCaps w:val="false"/>
          <w:sz w:val="20"/>
        </w:rPr>
        <w:t>2.</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October 2021, </w:t>
      </w:r>
      <w:r>
        <w:rPr>
          <w:rFonts w:ascii="Times New Roman" w:hAnsi="Times New Roman"/>
          <w:caps w:val="false"/>
          <w:smallCaps w:val="false"/>
          <w:sz w:val="20"/>
        </w:rPr>
        <w:t>near the end of the acute phase of the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pandemic, we initiated PALISADE-</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which involved the same clinic-based, single-administration assessment public speaking challenge study design and use of the SUDS as the primary efficacy endpoint as PALISADE-</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July 2022, </w:t>
      </w:r>
      <w:r>
        <w:rPr>
          <w:rFonts w:ascii="Times New Roman" w:hAnsi="Times New Roman"/>
          <w:caps w:val="false"/>
          <w:smallCaps w:val="false"/>
          <w:sz w:val="20"/>
        </w:rPr>
        <w:t>after receiving top line results from PALISADE-</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we paused recruitment and enrollment in PALISADE-</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to allow independent </w:t>
      </w:r>
      <w:r>
        <w:rPr>
          <w:rStyle w:val="Emphasis"/>
          <w:rFonts w:ascii="Times New Roman" w:hAnsi="Times New Roman"/>
          <w:caps w:val="false"/>
          <w:smallCaps w:val="false"/>
          <w:sz w:val="20"/>
        </w:rPr>
        <w:t>third</w:t>
      </w:r>
      <w:r>
        <w:rPr>
          <w:rFonts w:ascii="Times New Roman" w:hAnsi="Times New Roman"/>
          <w:caps w:val="false"/>
          <w:smallCaps w:val="false"/>
          <w:sz w:val="20"/>
        </w:rPr>
        <w:t>-party biostatisticians to conduct an interim analysis of available data from subjects randomized in PALISADE-</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up to the date we paused the study. In </w:t>
      </w:r>
      <w:r>
        <w:rPr>
          <w:rStyle w:val="Emphasis"/>
          <w:rFonts w:ascii="Times New Roman" w:hAnsi="Times New Roman"/>
          <w:caps w:val="false"/>
          <w:smallCaps w:val="false"/>
          <w:sz w:val="20"/>
        </w:rPr>
        <w:t xml:space="preserve">September 2022, </w:t>
      </w:r>
      <w:r>
        <w:rPr>
          <w:rFonts w:ascii="Times New Roman" w:hAnsi="Times New Roman"/>
          <w:caps w:val="false"/>
          <w:smallCaps w:val="false"/>
          <w:sz w:val="20"/>
        </w:rPr>
        <w:t xml:space="preserve">based on their review of unblinded data from the </w:t>
      </w:r>
      <w:r>
        <w:rPr>
          <w:rStyle w:val="Emphasis"/>
          <w:rFonts w:ascii="Times New Roman" w:hAnsi="Times New Roman"/>
          <w:caps w:val="false"/>
          <w:smallCaps w:val="false"/>
          <w:sz w:val="20"/>
        </w:rPr>
        <w:t>140</w:t>
      </w:r>
      <w:r>
        <w:rPr>
          <w:rFonts w:ascii="Times New Roman" w:hAnsi="Times New Roman"/>
          <w:caps w:val="false"/>
          <w:smallCaps w:val="false"/>
          <w:sz w:val="20"/>
        </w:rPr>
        <w:t xml:space="preserve"> subjects who had completed PALISADE-</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independent </w:t>
      </w:r>
      <w:r>
        <w:rPr>
          <w:rStyle w:val="Emphasis"/>
          <w:rFonts w:ascii="Times New Roman" w:hAnsi="Times New Roman"/>
          <w:caps w:val="false"/>
          <w:smallCaps w:val="false"/>
          <w:sz w:val="20"/>
        </w:rPr>
        <w:t>third</w:t>
      </w:r>
      <w:r>
        <w:rPr>
          <w:rFonts w:ascii="Times New Roman" w:hAnsi="Times New Roman"/>
          <w:caps w:val="false"/>
          <w:smallCaps w:val="false"/>
          <w:sz w:val="20"/>
        </w:rPr>
        <w:t>-party biostatisticians recommended that we continue PALISADE-</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as planned, without revealing the underlying data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Although the results of the interim analysis of PALISADE-</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indicated that continuation of the study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futile, after considering the expense, time, and challenges associated with PALISADE-</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as well as the potential methodological complexities involved in resuming PALISADE-</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we closed the PALISADE-</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study. Topline results from the </w:t>
      </w:r>
      <w:r>
        <w:rPr>
          <w:rStyle w:val="Emphasis"/>
          <w:rFonts w:ascii="Times New Roman" w:hAnsi="Times New Roman"/>
          <w:caps w:val="false"/>
          <w:smallCaps w:val="false"/>
          <w:sz w:val="20"/>
        </w:rPr>
        <w:t>140</w:t>
      </w:r>
      <w:r>
        <w:rPr>
          <w:rFonts w:ascii="Times New Roman" w:hAnsi="Times New Roman"/>
          <w:caps w:val="false"/>
          <w:smallCaps w:val="false"/>
          <w:sz w:val="20"/>
        </w:rPr>
        <w:t xml:space="preserve"> subjects who completed PALISADE-</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are expected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PALISADE Open Label Study.</w:t>
      </w:r>
      <w:r>
        <w:rPr>
          <w:rFonts w:ascii="Times New Roman" w:hAnsi="Times New Roman"/>
          <w:caps w:val="false"/>
          <w:smallCaps w:val="false"/>
          <w:sz w:val="20"/>
        </w:rPr>
        <w:t>   The PALISADE Open Label Study (</w:t>
      </w:r>
      <w:r>
        <w:rPr>
          <w:rFonts w:ascii="Times New Roman" w:hAnsi="Times New Roman"/>
          <w:i/>
          <w:caps w:val="false"/>
          <w:smallCaps w:val="false"/>
          <w:sz w:val="20"/>
        </w:rPr>
        <w:t>OLS</w:t>
      </w:r>
      <w:r>
        <w:rPr>
          <w:rFonts w:ascii="Times New Roman" w:hAnsi="Times New Roman"/>
          <w:caps w:val="false"/>
          <w:smallCaps w:val="false"/>
          <w:sz w:val="20"/>
        </w:rPr>
        <w:t xml:space="preserve">) was a Phase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open-label safety trial designed to evaluate the safety and tolerability of multiple, as-needed administrations (up to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times a day) of fasedienol in adults with SAD. The PALISADE OLS also evaluated the change from baseline in monthly standard clinical measurements and various behavioral assessment scales in response to anxiety-provoking social situations in daily</w:t>
        <w:noBreakHyphen/>
        <w:t xml:space="preserve">life after the administration of fasedienol. The final data set from PALISADE OLS demonstrates clinically meaningful functional improvement, as measured by the LSAS, and total LSAS scores, in both men and women, continued to decline in consecutive months during the study. In addition, long-term administration of fasedienol was well-tolerated,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new safety findings or trends identified, regardless of the number of doses administered by each subject. Following the completion of PALISADE-</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we terminated the PALISADE OLS early, solely for strategic business reasons,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due to any safety concerns with fasedienol.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FDA Feedback on Path Forward; FEARLESS Program.</w:t>
      </w:r>
      <w:r>
        <w:rPr>
          <w:rFonts w:ascii="Times New Roman" w:hAnsi="Times New Roman"/>
          <w:caps w:val="false"/>
          <w:smallCaps w:val="false"/>
          <w:sz w:val="20"/>
        </w:rPr>
        <w:t xml:space="preserve">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calendar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met with the FDA to discuss next steps in our Phase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development plan for fasedienol in SAD, which plan includes, among other things, conducting, on our own or  with collaborators, a multiple-assessment, randomized, double-blind, placebo-controlled Phase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study of fasedienol in adults in a real-world setting, using the Liebowitz Social Anxiety Scale (</w:t>
      </w:r>
      <w:r>
        <w:rPr>
          <w:rFonts w:ascii="Times New Roman" w:hAnsi="Times New Roman"/>
          <w:i/>
          <w:caps w:val="false"/>
          <w:smallCaps w:val="false"/>
          <w:sz w:val="20"/>
        </w:rPr>
        <w:t>LSAS</w:t>
      </w:r>
      <w:r>
        <w:rPr>
          <w:rFonts w:ascii="Times New Roman" w:hAnsi="Times New Roman"/>
          <w:caps w:val="false"/>
          <w:smallCaps w:val="false"/>
          <w:sz w:val="20"/>
        </w:rPr>
        <w:t>) as the primary efficacy outcome measure to evaluate the efficacy of fasedienol over time in patients with SAD to support a potential fasedienol New Drug Application (</w:t>
      </w:r>
      <w:r>
        <w:rPr>
          <w:rFonts w:ascii="Times New Roman" w:hAnsi="Times New Roman"/>
          <w:i/>
          <w:caps w:val="false"/>
          <w:smallCaps w:val="false"/>
          <w:sz w:val="20"/>
        </w:rPr>
        <w:t>NDA</w:t>
      </w:r>
      <w:r>
        <w:rPr>
          <w:rFonts w:ascii="Times New Roman" w:hAnsi="Times New Roman"/>
          <w:caps w:val="false"/>
          <w:smallCaps w:val="false"/>
          <w:sz w:val="20"/>
        </w:rPr>
        <w:t xml:space="preserve">). Positive feedback from the FDA at this meeting confirmed the acceptable use of the LSAS as a primary efficacy endpoint. Accordingly, we are positioned to finalize key components of FEARLESS, our potential NDA-enabling Phase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development program for fasedienol for treatment of SAD.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Unlike the PALISADE Phase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studies, which involved assessment of only a single, self- administered dose of fasedienol in a clinic-based public speaking challenge using the SUDS as the primary outcome measure, our FEARLESS program will assess multiple administrations of fasedienol, on a patient-tailored as-needed basis, up to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times per day, in a real-world setting over a multiple week period, with the LSAS as the primary efficacy endpoint, consistent with the FDA’s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precedent-setting approvals of antidepressants for treatment of SAD.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Exploratory Phase </w:t>
      </w:r>
      <w:r>
        <w:rPr>
          <w:rStyle w:val="Emphasis"/>
          <w:rFonts w:ascii="Times New Roman" w:hAnsi="Times New Roman"/>
          <w:b/>
          <w:caps w:val="false"/>
          <w:smallCaps w:val="false"/>
          <w:sz w:val="20"/>
        </w:rPr>
        <w:t>2A</w:t>
      </w:r>
      <w:r>
        <w:rPr>
          <w:rFonts w:ascii="Times New Roman" w:hAnsi="Times New Roman"/>
          <w:b/>
          <w:caps w:val="false"/>
          <w:smallCaps w:val="false"/>
          <w:sz w:val="20"/>
        </w:rPr>
        <w:t xml:space="preserve"> Development for AjDA.</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January 2023, </w:t>
      </w:r>
      <w:r>
        <w:rPr>
          <w:rFonts w:ascii="Times New Roman" w:hAnsi="Times New Roman"/>
          <w:caps w:val="false"/>
          <w:smallCaps w:val="false"/>
          <w:sz w:val="20"/>
        </w:rPr>
        <w:t xml:space="preserve">we completed our small exploratory Phase </w:t>
      </w:r>
      <w:r>
        <w:rPr>
          <w:rStyle w:val="Emphasis"/>
          <w:rFonts w:ascii="Times New Roman" w:hAnsi="Times New Roman"/>
          <w:caps w:val="false"/>
          <w:smallCaps w:val="false"/>
          <w:sz w:val="20"/>
        </w:rPr>
        <w:t>2A</w:t>
      </w:r>
      <w:r>
        <w:rPr>
          <w:rFonts w:ascii="Times New Roman" w:hAnsi="Times New Roman"/>
          <w:caps w:val="false"/>
          <w:smallCaps w:val="false"/>
          <w:sz w:val="20"/>
        </w:rPr>
        <w:t xml:space="preserve"> clinical study of fasedienol designed to assess its therapeutic potential in adults experiencing adjustment disorder with anxiety (</w:t>
      </w:r>
      <w:r>
        <w:rPr>
          <w:rFonts w:ascii="Times New Roman" w:hAnsi="Times New Roman"/>
          <w:i/>
          <w:caps w:val="false"/>
          <w:smallCaps w:val="false"/>
          <w:sz w:val="20"/>
        </w:rPr>
        <w:t>AjDA</w:t>
      </w:r>
      <w:r>
        <w:rPr>
          <w:rFonts w:ascii="Times New Roman" w:hAnsi="Times New Roman"/>
          <w:caps w:val="false"/>
          <w:smallCaps w:val="false"/>
          <w:sz w:val="20"/>
        </w:rPr>
        <w:t xml:space="preserve">). Our small randomized, double-blind, placebo-controlled Phase </w:t>
      </w:r>
      <w:r>
        <w:rPr>
          <w:rStyle w:val="Emphasis"/>
          <w:rFonts w:ascii="Times New Roman" w:hAnsi="Times New Roman"/>
          <w:caps w:val="false"/>
          <w:smallCaps w:val="false"/>
          <w:sz w:val="20"/>
        </w:rPr>
        <w:t>2A</w:t>
      </w:r>
      <w:r>
        <w:rPr>
          <w:rFonts w:ascii="Times New Roman" w:hAnsi="Times New Roman"/>
          <w:caps w:val="false"/>
          <w:smallCaps w:val="false"/>
          <w:sz w:val="20"/>
        </w:rPr>
        <w:t xml:space="preserve"> exploratory study in AjDA was aimed at exploring the pharmacological treatment of AjDA and evaluating the effects of a fixed dosing regimen of fasedienol, involving intranasal administration of </w:t>
      </w:r>
      <w:r>
        <w:rPr>
          <w:rStyle w:val="Emphasis"/>
          <w:rFonts w:ascii="Times New Roman" w:hAnsi="Times New Roman"/>
          <w:caps w:val="false"/>
          <w:smallCaps w:val="false"/>
          <w:sz w:val="20"/>
        </w:rPr>
        <w:t>3.2</w:t>
      </w:r>
      <w:r>
        <w:rPr>
          <w:rFonts w:ascii="Times New Roman" w:hAnsi="Times New Roman"/>
          <w:caps w:val="false"/>
          <w:smallCaps w:val="false"/>
          <w:sz w:val="20"/>
        </w:rPr>
        <w:t xml:space="preserve"> µg of fasedienol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times per day over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weeks. A total of </w:t>
      </w:r>
      <w:r>
        <w:rPr>
          <w:rStyle w:val="Emphasis"/>
          <w:rFonts w:ascii="Times New Roman" w:hAnsi="Times New Roman"/>
          <w:caps w:val="false"/>
          <w:smallCaps w:val="false"/>
          <w:sz w:val="20"/>
        </w:rPr>
        <w:t>71</w:t>
      </w:r>
      <w:r>
        <w:rPr>
          <w:rFonts w:ascii="Times New Roman" w:hAnsi="Times New Roman"/>
          <w:caps w:val="false"/>
          <w:smallCaps w:val="false"/>
          <w:sz w:val="20"/>
        </w:rPr>
        <w:t xml:space="preserve"> subjects were screened for the study, </w:t>
      </w:r>
      <w:r>
        <w:rPr>
          <w:rStyle w:val="Emphasis"/>
          <w:rFonts w:ascii="Times New Roman" w:hAnsi="Times New Roman"/>
          <w:caps w:val="false"/>
          <w:smallCaps w:val="false"/>
          <w:sz w:val="20"/>
        </w:rPr>
        <w:t>41</w:t>
      </w:r>
      <w:r>
        <w:rPr>
          <w:rFonts w:ascii="Times New Roman" w:hAnsi="Times New Roman"/>
          <w:caps w:val="false"/>
          <w:smallCaps w:val="false"/>
          <w:sz w:val="20"/>
        </w:rPr>
        <w:t xml:space="preserve"> were randomized, and </w:t>
      </w:r>
      <w:r>
        <w:rPr>
          <w:rStyle w:val="Emphasis"/>
          <w:rFonts w:ascii="Times New Roman" w:hAnsi="Times New Roman"/>
          <w:caps w:val="false"/>
          <w:smallCaps w:val="false"/>
          <w:sz w:val="20"/>
        </w:rPr>
        <w:t>34</w:t>
      </w:r>
      <w:r>
        <w:rPr>
          <w:rFonts w:ascii="Times New Roman" w:hAnsi="Times New Roman"/>
          <w:caps w:val="false"/>
          <w:smallCaps w:val="false"/>
          <w:sz w:val="20"/>
        </w:rPr>
        <w:t xml:space="preserve"> completed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weeks of treatment. The study, which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designed to achieve statistical significance,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demonstrate a clinically significant difference between fasedienol and placebo as measured on the clinician-rated Hamilton Anxiety Scale (</w:t>
      </w:r>
      <w:r>
        <w:rPr>
          <w:rFonts w:ascii="Times New Roman" w:hAnsi="Times New Roman"/>
          <w:i/>
          <w:caps w:val="false"/>
          <w:smallCaps w:val="false"/>
          <w:sz w:val="20"/>
        </w:rPr>
        <w:t>HAM-A</w:t>
      </w:r>
      <w:r>
        <w:rPr>
          <w:rFonts w:ascii="Times New Roman" w:hAnsi="Times New Roman"/>
          <w:caps w:val="false"/>
          <w:smallCaps w:val="false"/>
          <w:sz w:val="20"/>
        </w:rPr>
        <w:t xml:space="preserve">). Site variances and both a high drug response rate and high placebo response rate were observed, likely related to the various aspects of AjDA that make it challenging to study. Fixed dosing of fasedienol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times per day over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weeks appeared to be safe and well tolerated.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Despite the methodological challenges inherent in the exploratory Phase </w:t>
      </w:r>
      <w:r>
        <w:rPr>
          <w:rStyle w:val="Emphasis"/>
          <w:rFonts w:ascii="Times New Roman" w:hAnsi="Times New Roman"/>
          <w:caps w:val="false"/>
          <w:smallCaps w:val="false"/>
          <w:sz w:val="20"/>
        </w:rPr>
        <w:t>2A</w:t>
      </w:r>
      <w:r>
        <w:rPr>
          <w:rFonts w:ascii="Times New Roman" w:hAnsi="Times New Roman"/>
          <w:caps w:val="false"/>
          <w:smallCaps w:val="false"/>
          <w:sz w:val="20"/>
        </w:rPr>
        <w:t xml:space="preserve"> study in AjDA, we believe fasedienol builds resilience against anxiety and reduces the cognitive and physical paralysis that occurs during moments of heightened anxiety and stressful situations. The AjDA study’s results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support an as-needed fasedienol dosing approach over time as the preferred mode of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Itruvone Nasal Spray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Itruvone (</w:t>
      </w:r>
      <w:r>
        <w:rPr>
          <w:rStyle w:val="Emphasis"/>
          <w:rFonts w:ascii="Times New Roman" w:hAnsi="Times New Roman"/>
          <w:caps w:val="false"/>
          <w:smallCaps w:val="false"/>
          <w:sz w:val="20"/>
        </w:rPr>
        <w:t>PH10</w:t>
      </w:r>
      <w:r>
        <w:rPr>
          <w:rFonts w:ascii="Times New Roman" w:hAnsi="Times New Roman"/>
          <w:caps w:val="false"/>
          <w:smallCaps w:val="false"/>
          <w:sz w:val="20"/>
        </w:rPr>
        <w:t>) is an odorless, tasteless synthetic investigational pherine from the pregnane family with a novel, rapid-onset potential MOA that is fundamentally differentiated from the MOA of all currently approved treatments for depression disorders. Itruvone, which is administered as a nasal spray at microgram-level doses, is designed to engage and activate chemosensory neurons in the nasal cavity, which are connected to neural circuits in the brain that produce antidepressant effects. Specifically, in a manner similar to fasedienol, itruvone’s proposed MOA involves the regulation of the olfactory-amygdala neural circuits believed to increase activity of the limbic-hypothalamic sympathetic nervous system and increase the release of catecholamines. Importantly, unlike all currently approved oral antidepressants (</w:t>
      </w:r>
      <w:r>
        <w:rPr>
          <w:rFonts w:ascii="Times New Roman" w:hAnsi="Times New Roman"/>
          <w:i/>
          <w:caps w:val="false"/>
          <w:smallCaps w:val="false"/>
          <w:sz w:val="20"/>
        </w:rPr>
        <w:t>ADs</w:t>
      </w:r>
      <w:r>
        <w:rPr>
          <w:rFonts w:ascii="Times New Roman" w:hAnsi="Times New Roman"/>
          <w:caps w:val="false"/>
          <w:smallCaps w:val="false"/>
          <w:sz w:val="20"/>
        </w:rPr>
        <w:t xml:space="preserve">) and rapid-onset ketamine-based therapy, including both intravenous ketamine and intranasal ketamine (esketamine), we believe itruvone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systemic uptake and distribution of the compound to the brain to produce rapid-onset of antidepressant effects. In all clinical studies completed to date, itruvone has been well-tolerated and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caused psychological side effects (such as dissociation and hallucinations) or other safety concerns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associated with ketamine-based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2023, </w:t>
      </w:r>
      <w:r>
        <w:rPr>
          <w:rFonts w:ascii="Times New Roman" w:hAnsi="Times New Roman"/>
          <w:caps w:val="false"/>
          <w:smallCaps w:val="false"/>
          <w:sz w:val="20"/>
        </w:rPr>
        <w:t xml:space="preserve">we launched a small U.S. single center, randomized, double-blinded, placebo-controlled Phase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study to investigate the safety and tolerability of itruvone in healthy adult subjects. The study was designed to confirm the favorable safety profile of itruvone established in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previous clinical studies conducted in Mexico, as well as facilitate our plans for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development of itruvone in the U.S. as a fast-acting stand-alone treatment for MDD. In </w:t>
      </w:r>
      <w:r>
        <w:rPr>
          <w:rStyle w:val="Emphasis"/>
          <w:rFonts w:ascii="Times New Roman" w:hAnsi="Times New Roman"/>
          <w:caps w:val="false"/>
          <w:smallCaps w:val="false"/>
          <w:sz w:val="20"/>
        </w:rPr>
        <w:t xml:space="preserve">June 2023, </w:t>
      </w:r>
      <w:r>
        <w:rPr>
          <w:rFonts w:ascii="Times New Roman" w:hAnsi="Times New Roman"/>
          <w:caps w:val="false"/>
          <w:smallCaps w:val="false"/>
          <w:sz w:val="20"/>
        </w:rPr>
        <w:t xml:space="preserve">we announced positive data from this study.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reported SAEs or discontinuations due to adverse events in the trial. Overall, itruvone was well-tolerated and continued to demonstrate a favorable safety profile.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has granted Fast Track designation for development of itruvone as a potential adjunctive treatment for MDD.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i/>
          <w:caps w:val="false"/>
          <w:smallCaps w:val="false"/>
          <w:sz w:val="20"/>
        </w:rPr>
        <w:t>PH80</w:t>
      </w:r>
      <w:r>
        <w:rPr>
          <w:rFonts w:ascii="Times New Roman" w:hAnsi="Times New Roman"/>
          <w:b/>
          <w:i/>
          <w:caps w:val="false"/>
          <w:smallCaps w:val="false"/>
          <w:sz w:val="20"/>
        </w:rPr>
        <w:t xml:space="preserve"> Nasal Spray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caps w:val="false"/>
          <w:smallCaps w:val="false"/>
          <w:sz w:val="20"/>
        </w:rPr>
        <w:t>PH80</w:t>
      </w:r>
      <w:r>
        <w:rPr>
          <w:rFonts w:ascii="Times New Roman" w:hAnsi="Times New Roman"/>
          <w:caps w:val="false"/>
          <w:smallCaps w:val="false"/>
          <w:sz w:val="20"/>
        </w:rPr>
        <w:t xml:space="preserve"> is an odorless, tasteless synthetic investigational pherine with a novel, rapid-onset potential MOA that is fundamentally differentiated from the MOA of all currently approved treatments for both vasomotor symptoms (hot flashes) due to menopause and migraine headaches. </w:t>
      </w:r>
      <w:r>
        <w:rPr>
          <w:rStyle w:val="Emphasis"/>
          <w:rFonts w:ascii="Times New Roman" w:hAnsi="Times New Roman"/>
          <w:caps w:val="false"/>
          <w:smallCaps w:val="false"/>
          <w:sz w:val="20"/>
        </w:rPr>
        <w:t>PH80,</w:t>
      </w:r>
      <w:r>
        <w:rPr>
          <w:rFonts w:ascii="Times New Roman" w:hAnsi="Times New Roman"/>
          <w:caps w:val="false"/>
          <w:smallCaps w:val="false"/>
          <w:sz w:val="20"/>
        </w:rPr>
        <w:t xml:space="preserve"> which is administered as a nasal spray at microgram-level doses, engages and activates chemosensory neurons in the nasal cavity, which are connected to neural circuits in the brain that modulate neural circuits in the basal forebrain associated with the control of body temperature, as well as premonitory and aura symptoms of migraines. Results from a previously unpublished exploratory randomized, double-blind, placebo-controlled Phase </w:t>
      </w:r>
      <w:r>
        <w:rPr>
          <w:rStyle w:val="Emphasis"/>
          <w:rFonts w:ascii="Times New Roman" w:hAnsi="Times New Roman"/>
          <w:caps w:val="false"/>
          <w:smallCaps w:val="false"/>
          <w:sz w:val="20"/>
        </w:rPr>
        <w:t>2A</w:t>
      </w:r>
      <w:r>
        <w:rPr>
          <w:rFonts w:ascii="Times New Roman" w:hAnsi="Times New Roman"/>
          <w:caps w:val="false"/>
          <w:smallCaps w:val="false"/>
          <w:sz w:val="20"/>
        </w:rPr>
        <w:t xml:space="preserve"> study of </w:t>
      </w:r>
      <w:r>
        <w:rPr>
          <w:rStyle w:val="Emphasis"/>
          <w:rFonts w:ascii="Times New Roman" w:hAnsi="Times New Roman"/>
          <w:caps w:val="false"/>
          <w:smallCaps w:val="false"/>
          <w:sz w:val="20"/>
        </w:rPr>
        <w:t>PH80</w:t>
      </w:r>
      <w:r>
        <w:rPr>
          <w:rFonts w:ascii="Times New Roman" w:hAnsi="Times New Roman"/>
          <w:caps w:val="false"/>
          <w:smallCaps w:val="false"/>
          <w:sz w:val="20"/>
        </w:rPr>
        <w:t xml:space="preserve"> for the acute treatment of vasomotor symptoms (hot flashes) due to menopause demonstrated a statistically significant reduction in the daily number of menopausal hot flashes compared to placebo at the end of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week of treatment (</w:t>
      </w:r>
      <w:r>
        <w:rPr>
          <w:rStyle w:val="Emphasis"/>
          <w:rFonts w:ascii="Times New Roman" w:hAnsi="Times New Roman"/>
          <w:caps w:val="false"/>
          <w:smallCaps w:val="false"/>
          <w:sz w:val="20"/>
        </w:rPr>
        <w:t>p&lt;.001</w:t>
      </w:r>
      <w:r>
        <w:rPr>
          <w:rFonts w:ascii="Times New Roman" w:hAnsi="Times New Roman"/>
          <w:caps w:val="false"/>
          <w:smallCaps w:val="false"/>
          <w:sz w:val="20"/>
        </w:rPr>
        <w:t xml:space="preserve">), and the improvement was maintained through each treatment week until the end of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-week treatment period. We are currently preparing, on our own or with collaborators, to submit an U.S. IND for a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clinical study of </w:t>
      </w:r>
      <w:r>
        <w:rPr>
          <w:rStyle w:val="Emphasis"/>
          <w:rFonts w:ascii="Times New Roman" w:hAnsi="Times New Roman"/>
          <w:caps w:val="false"/>
          <w:smallCaps w:val="false"/>
          <w:sz w:val="20"/>
        </w:rPr>
        <w:t>PH80</w:t>
      </w:r>
      <w:r>
        <w:rPr>
          <w:rFonts w:ascii="Times New Roman" w:hAnsi="Times New Roman"/>
          <w:caps w:val="false"/>
          <w:smallCaps w:val="false"/>
          <w:sz w:val="20"/>
        </w:rPr>
        <w:t xml:space="preserve"> as a treatment for hot flashes due to menopause.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addition, </w:t>
      </w:r>
      <w:r>
        <w:rPr>
          <w:rStyle w:val="Emphasis"/>
          <w:rFonts w:ascii="Times New Roman" w:hAnsi="Times New Roman"/>
          <w:caps w:val="false"/>
          <w:smallCaps w:val="false"/>
          <w:sz w:val="20"/>
        </w:rPr>
        <w:t>PH80</w:t>
      </w:r>
      <w:r>
        <w:rPr>
          <w:rFonts w:ascii="Times New Roman" w:hAnsi="Times New Roman"/>
          <w:caps w:val="false"/>
          <w:smallCaps w:val="false"/>
          <w:sz w:val="20"/>
        </w:rPr>
        <w:t xml:space="preserve"> initiates neural impulses in the olfactory bulb transmitted by pathways that rapidly affect the function of multiple structures in the brain, including the amygdala and hypothalamus that have been linked to the pathology of migraine. Due to its MOA and a small proof of concept study, we believe </w:t>
      </w:r>
      <w:r>
        <w:rPr>
          <w:rStyle w:val="Emphasis"/>
          <w:rFonts w:ascii="Times New Roman" w:hAnsi="Times New Roman"/>
          <w:caps w:val="false"/>
          <w:smallCaps w:val="false"/>
          <w:sz w:val="20"/>
        </w:rPr>
        <w:t>PH80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therapeutic potential to relieve premonitory and aura symptoms of migraines.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i/>
          <w:caps w:val="false"/>
          <w:smallCaps w:val="false"/>
          <w:sz w:val="20"/>
        </w:rPr>
        <w:t>PH15</w:t>
      </w:r>
      <w:r>
        <w:rPr>
          <w:rFonts w:ascii="Times New Roman" w:hAnsi="Times New Roman"/>
          <w:b/>
          <w:i/>
          <w:caps w:val="false"/>
          <w:smallCaps w:val="false"/>
          <w:sz w:val="20"/>
        </w:rPr>
        <w:t xml:space="preserve"> Nasal Spray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caps w:val="false"/>
          <w:smallCaps w:val="false"/>
          <w:sz w:val="20"/>
        </w:rPr>
        <w:t>PH15</w:t>
      </w:r>
      <w:r>
        <w:rPr>
          <w:rFonts w:ascii="Times New Roman" w:hAnsi="Times New Roman"/>
          <w:caps w:val="false"/>
          <w:smallCaps w:val="false"/>
          <w:sz w:val="20"/>
        </w:rPr>
        <w:t xml:space="preserve"> is an odorless, tasteless synthetic investigational pherine with a novel, rapid-onset potential MOA that is fundamentally differentiated from the MOA of all currently approved treatments to improve cognitive impairment caused by mental fatigue and potentially other disorders. Early functional MRI studies in human volunteers at Stanford University revealed that intranasal administration of </w:t>
      </w:r>
      <w:r>
        <w:rPr>
          <w:rStyle w:val="Emphasis"/>
          <w:rFonts w:ascii="Times New Roman" w:hAnsi="Times New Roman"/>
          <w:caps w:val="false"/>
          <w:smallCaps w:val="false"/>
          <w:sz w:val="20"/>
        </w:rPr>
        <w:t>PH15</w:t>
      </w:r>
      <w:r>
        <w:rPr>
          <w:rFonts w:ascii="Times New Roman" w:hAnsi="Times New Roman"/>
          <w:caps w:val="false"/>
          <w:smallCaps w:val="false"/>
          <w:sz w:val="20"/>
        </w:rPr>
        <w:t xml:space="preserve"> induced rapid activation of brain areas related to cognition (Sobel et al, Brain, </w:t>
      </w:r>
      <w:r>
        <w:rPr>
          <w:rStyle w:val="Emphasis"/>
          <w:rFonts w:ascii="Times New Roman" w:hAnsi="Times New Roman"/>
          <w:caps w:val="false"/>
          <w:smallCaps w:val="false"/>
          <w:sz w:val="20"/>
        </w:rPr>
        <w:t>1999</w:t>
      </w:r>
      <w:r>
        <w:rPr>
          <w:rFonts w:ascii="Times New Roman" w:hAnsi="Times New Roman"/>
          <w:caps w:val="false"/>
          <w:smallCaps w:val="false"/>
          <w:sz w:val="20"/>
        </w:rPr>
        <w:t xml:space="preserve">). In a small double blind, placebo-controlled study Phase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study of human subjects who were sleep deprived to induce mental fatigue, intranasal </w:t>
      </w:r>
      <w:r>
        <w:rPr>
          <w:rStyle w:val="Emphasis"/>
          <w:rFonts w:ascii="Times New Roman" w:hAnsi="Times New Roman"/>
          <w:caps w:val="false"/>
          <w:smallCaps w:val="false"/>
          <w:sz w:val="20"/>
        </w:rPr>
        <w:t>PH15</w:t>
      </w:r>
      <w:r>
        <w:rPr>
          <w:rFonts w:ascii="Times New Roman" w:hAnsi="Times New Roman"/>
          <w:caps w:val="false"/>
          <w:smallCaps w:val="false"/>
          <w:sz w:val="20"/>
        </w:rPr>
        <w:t xml:space="preserve"> showed rapid and significant improvement in cognitive and psychomotor performance and improvement of reaction time that was better than the effect of a placebo and </w:t>
      </w:r>
      <w:r>
        <w:rPr>
          <w:rStyle w:val="Emphasis"/>
          <w:rFonts w:ascii="Times New Roman" w:hAnsi="Times New Roman"/>
          <w:caps w:val="false"/>
          <w:smallCaps w:val="false"/>
          <w:sz w:val="20"/>
        </w:rPr>
        <w:t>400</w:t>
      </w:r>
      <w:r>
        <w:rPr>
          <w:rFonts w:ascii="Times New Roman" w:hAnsi="Times New Roman"/>
          <w:caps w:val="false"/>
          <w:smallCaps w:val="false"/>
          <w:sz w:val="20"/>
        </w:rPr>
        <w:t xml:space="preserve"> mg of oral caffeine. We are currently evaluating the path forward to submitting an U.S. IND for a Phase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clinical study, on our own or with collaborators, and the appropriate indication for demonstrating improvement of cognitive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i/>
          <w:caps w:val="false"/>
          <w:smallCaps w:val="false"/>
          <w:sz w:val="20"/>
        </w:rPr>
        <w:t>PH284</w:t>
      </w:r>
      <w:r>
        <w:rPr>
          <w:rFonts w:ascii="Times New Roman" w:hAnsi="Times New Roman"/>
          <w:b/>
          <w:i/>
          <w:caps w:val="false"/>
          <w:smallCaps w:val="false"/>
          <w:sz w:val="20"/>
        </w:rPr>
        <w:t xml:space="preserve"> Nasal Spray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caps w:val="false"/>
          <w:smallCaps w:val="false"/>
          <w:sz w:val="20"/>
        </w:rPr>
        <w:t>PH284</w:t>
      </w:r>
      <w:r>
        <w:rPr>
          <w:rFonts w:ascii="Times New Roman" w:hAnsi="Times New Roman"/>
          <w:caps w:val="false"/>
          <w:smallCaps w:val="false"/>
          <w:sz w:val="20"/>
        </w:rPr>
        <w:t xml:space="preserve"> is an odorless, tasteless synthetic investigational pherine with a novel, rapid-onset potential MOA that is fundamentally differentiated from the MOA of all currently approved treatments for the loss of appetite associated with chronic disorders such as cancer. Cachexia is a serious but under recognized consequence of many chronic diseases with body mass loss of </w:t>
      </w:r>
      <w:r>
        <w:rPr>
          <w:rStyle w:val="Emphasis"/>
          <w:rFonts w:ascii="Times New Roman" w:hAnsi="Times New Roman"/>
          <w:caps w:val="false"/>
          <w:smallCaps w:val="false"/>
          <w:sz w:val="20"/>
        </w:rPr>
        <w:t>&gt;10%</w:t>
      </w:r>
      <w:r>
        <w:rPr>
          <w:rFonts w:ascii="Times New Roman" w:hAnsi="Times New Roman"/>
          <w:caps w:val="false"/>
          <w:smallCaps w:val="false"/>
          <w:sz w:val="20"/>
        </w:rPr>
        <w:t xml:space="preserve"> and a prevalence of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 We believe </w:t>
      </w:r>
      <w:r>
        <w:rPr>
          <w:rStyle w:val="Emphasis"/>
          <w:rFonts w:ascii="Times New Roman" w:hAnsi="Times New Roman"/>
          <w:caps w:val="false"/>
          <w:smallCaps w:val="false"/>
          <w:sz w:val="20"/>
        </w:rPr>
        <w:t>PH284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therapeutic potential for improving subjective feelings of hunger in patients with cachexia.  We are currently evaluating the path forward to submitting an U.S. IND for cachexia, on our own or with collaborators, and the appropriate patient populations for demonstrating increase in appetite and weight gain in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Phase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i/>
          <w:caps w:val="false"/>
          <w:smallCaps w:val="false"/>
          <w:sz w:val="20"/>
          <w:u w:val="single"/>
        </w:rPr>
        <w:t>AV-</w:t>
      </w:r>
      <w:r>
        <w:rPr>
          <w:rStyle w:val="Emphasis"/>
          <w:rFonts w:ascii="Times New Roman" w:hAnsi="Times New Roman"/>
          <w:b/>
          <w:i/>
          <w:caps w:val="false"/>
          <w:smallCaps w:val="false"/>
          <w:sz w:val="20"/>
          <w:u w:val="single"/>
        </w:rPr>
        <w:t>101</w:t>
      </w:r>
      <w:r>
        <w:rPr>
          <w:rFonts w:ascii="Times New Roman" w:hAnsi="Times New Roman"/>
          <w:b/>
          <w:i/>
          <w:caps w:val="false"/>
          <w:smallCaps w:val="false"/>
          <w:sz w:val="20"/>
          <w:u w:val="single"/>
        </w:rPr>
        <w:t xml:space="preserve"> </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4</w:t>
      </w:r>
      <w:r>
        <w:rPr>
          <w:rFonts w:ascii="Times New Roman" w:hAnsi="Times New Roman"/>
          <w:caps w:val="false"/>
          <w:smallCaps w:val="false"/>
          <w:sz w:val="20"/>
        </w:rPr>
        <w:t>-Cl-KYN) is a novel, oral prodrug that targets the NMDAR (N-methyl-D-aspartate receptor), an ionotropic glutamate receptor in the brain. Abnormal NMDAR function is associated with numerous CNS diseases and disorders. The active metabolite of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7</w:t>
      </w:r>
      <w:r>
        <w:rPr>
          <w:rFonts w:ascii="Times New Roman" w:hAnsi="Times New Roman"/>
          <w:caps w:val="false"/>
          <w:smallCaps w:val="false"/>
          <w:sz w:val="20"/>
        </w:rPr>
        <w:t>-chloro-kynurenic acid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-Cl-KYNA), is a potent and selective full antagonist of the glycine binding site of the NMDAR that inhibits the function of the NMDAR. Unlike ketamine and many other NMDAR antagonists,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-Cl-KYNA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 ion channel blocker. In clinical and nonclinical testing completed to date,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has demonstrated good oral bioavailability and an excellent pharmacokinetic (</w:t>
      </w:r>
      <w:r>
        <w:rPr>
          <w:rFonts w:ascii="Times New Roman" w:hAnsi="Times New Roman"/>
          <w:i/>
          <w:caps w:val="false"/>
          <w:smallCaps w:val="false"/>
          <w:sz w:val="20"/>
        </w:rPr>
        <w:t>PK</w:t>
      </w:r>
      <w:r>
        <w:rPr>
          <w:rFonts w:ascii="Times New Roman" w:hAnsi="Times New Roman"/>
          <w:caps w:val="false"/>
          <w:smallCaps w:val="false"/>
          <w:sz w:val="20"/>
        </w:rPr>
        <w:t xml:space="preserve">) profile.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binding of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7</w:t>
      </w:r>
      <w:r>
        <w:rPr>
          <w:rFonts w:ascii="Times New Roman" w:hAnsi="Times New Roman"/>
          <w:caps w:val="false"/>
          <w:smallCaps w:val="false"/>
          <w:sz w:val="20"/>
        </w:rPr>
        <w:t>-Cl-KYNA to off-site targets was identified by an extensive receptor screening study. Moreover, in all clinical trials completed to date,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has been safe and very well-tolerated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psychological side effects or safety concerns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treatment-related serious adverse events that are often observed with classic channel-blocking NMDAR antagonists such as ketamine and amantadine. Nonclinical results also indicate that chronic administration of </w:t>
      </w:r>
      <w:r>
        <w:rPr>
          <w:rStyle w:val="Emphasis"/>
          <w:rFonts w:ascii="Times New Roman" w:hAnsi="Times New Roman"/>
          <w:caps w:val="false"/>
          <w:smallCaps w:val="false"/>
          <w:sz w:val="20"/>
        </w:rPr>
        <w:t>4</w:t>
      </w:r>
      <w:r>
        <w:rPr>
          <w:rFonts w:ascii="Times New Roman" w:hAnsi="Times New Roman"/>
          <w:caps w:val="false"/>
          <w:smallCaps w:val="false"/>
          <w:sz w:val="20"/>
        </w:rPr>
        <w:t>-Cl-KYN induces hippocampal neurogenesis, a hallmark of drugs that have antidepressive effects, and increases endogenous levels of KYNA, which also is a functional NMDAR glycine site antagonist.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Based on observations and findings from preclinical studies, we believe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has the potential to become a new oral treatment alternative for multiple CNS disorders. We are currently preparing for Phase </w:t>
      </w:r>
      <w:r>
        <w:rPr>
          <w:rStyle w:val="Emphasis"/>
          <w:rFonts w:ascii="Times New Roman" w:hAnsi="Times New Roman"/>
          <w:caps w:val="false"/>
          <w:smallCaps w:val="false"/>
          <w:sz w:val="20"/>
        </w:rPr>
        <w:t>2A</w:t>
      </w:r>
      <w:r>
        <w:rPr>
          <w:rFonts w:ascii="Times New Roman" w:hAnsi="Times New Roman"/>
          <w:caps w:val="false"/>
          <w:smallCaps w:val="false"/>
          <w:sz w:val="20"/>
        </w:rPr>
        <w:t xml:space="preserve"> development of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on our own or with collaborators,  as a treatment for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neurological disorders involving the NMDAR receptor.  Multiple studies have shown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to be safe and well-tolerated, and a range of preclinical studies indicate potential in multiple indications, including levodopa-induced dyskinesia, neuropathic pain, seizures, MDD, and suicidal ideation.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FDA has granted Fast Track designation for development of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as a potential adjunctive treatment for MDD and as a non-opioid treatment for neuropathic 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Acquisition of Pherin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20, 2022, </w:t>
      </w:r>
      <w:r>
        <w:rPr>
          <w:rFonts w:ascii="Times New Roman" w:hAnsi="Times New Roman"/>
          <w:caps w:val="false"/>
          <w:smallCaps w:val="false"/>
          <w:sz w:val="20"/>
        </w:rPr>
        <w:t xml:space="preserve">we entered into an Agreement and Plan of Merger (the </w:t>
      </w:r>
      <w:r>
        <w:rPr>
          <w:rFonts w:ascii="Times New Roman" w:hAnsi="Times New Roman"/>
          <w:i/>
          <w:caps w:val="false"/>
          <w:smallCaps w:val="false"/>
          <w:sz w:val="20"/>
        </w:rPr>
        <w:t>Merger Agreement</w:t>
      </w:r>
      <w:r>
        <w:rPr>
          <w:rFonts w:ascii="Times New Roman" w:hAnsi="Times New Roman"/>
          <w:caps w:val="false"/>
          <w:smallCaps w:val="false"/>
          <w:sz w:val="20"/>
        </w:rPr>
        <w:t>) along with VTGN Merger Sub, Inc., our wholly owned subsidiary (</w:t>
      </w:r>
      <w:r>
        <w:rPr>
          <w:rFonts w:ascii="Times New Roman" w:hAnsi="Times New Roman"/>
          <w:i/>
          <w:caps w:val="false"/>
          <w:smallCaps w:val="false"/>
          <w:sz w:val="20"/>
        </w:rPr>
        <w:t>Merger Sub</w:t>
      </w:r>
      <w:r>
        <w:rPr>
          <w:rFonts w:ascii="Times New Roman" w:hAnsi="Times New Roman"/>
          <w:caps w:val="false"/>
          <w:smallCaps w:val="false"/>
          <w:sz w:val="20"/>
        </w:rPr>
        <w:t>), Pherin Pharmaceuticals, Inc. (</w:t>
      </w:r>
      <w:r>
        <w:rPr>
          <w:rFonts w:ascii="Times New Roman" w:hAnsi="Times New Roman"/>
          <w:i/>
          <w:caps w:val="false"/>
          <w:smallCaps w:val="false"/>
          <w:sz w:val="20"/>
        </w:rPr>
        <w:t>Pherin</w:t>
      </w:r>
      <w:r>
        <w:rPr>
          <w:rFonts w:ascii="Times New Roman" w:hAnsi="Times New Roman"/>
          <w:caps w:val="false"/>
          <w:smallCaps w:val="false"/>
          <w:sz w:val="20"/>
        </w:rPr>
        <w:t xml:space="preserve">), and Kevin McCarthy in his capacity of Stockholder Representative, to acquire Pherin (the </w:t>
      </w:r>
      <w:r>
        <w:rPr>
          <w:rFonts w:ascii="Times New Roman" w:hAnsi="Times New Roman"/>
          <w:i/>
          <w:caps w:val="false"/>
          <w:smallCaps w:val="false"/>
          <w:sz w:val="20"/>
        </w:rPr>
        <w:t>Pherin Acquisition</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February 2, 2023 (</w:t>
      </w:r>
      <w:r>
        <w:rPr>
          <w:rFonts w:ascii="Times New Roman" w:hAnsi="Times New Roman"/>
          <w:caps w:val="false"/>
          <w:smallCaps w:val="false"/>
          <w:sz w:val="20"/>
        </w:rPr>
        <w:t xml:space="preserve">the </w:t>
      </w:r>
      <w:r>
        <w:rPr>
          <w:rFonts w:ascii="Times New Roman" w:hAnsi="Times New Roman"/>
          <w:i/>
          <w:caps w:val="false"/>
          <w:smallCaps w:val="false"/>
          <w:sz w:val="20"/>
        </w:rPr>
        <w:t>Closing Date</w:t>
      </w:r>
      <w:r>
        <w:rPr>
          <w:rFonts w:ascii="Times New Roman" w:hAnsi="Times New Roman"/>
          <w:caps w:val="false"/>
          <w:smallCaps w:val="false"/>
          <w:sz w:val="20"/>
        </w:rPr>
        <w:t xml:space="preserve">), we completed the Pherin Acquisition, and Pherin is now a wholly owned subsidiary of the Company. Immediately prior to the consummation of the Pherin Acquisition, each of Pherin’s directors and officers resigned,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employees or other affiliates of Pherin on the Closing Date are serving or will serve in their previous roles or in any other capacity with Pherin or with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consideration for the Pherin Acquisition, we (i) issued an aggregate of 413,670 unregistered shares of our common stock having a fair value of approximately $3,076,550 at issuance to the exchange agent for the Pherin Acquisition, which shares were to approximately 96.07% of Pherin stockholders eligible to receive common stock in exchange for their outstanding shares of Pherin common stock (the </w:t>
      </w:r>
      <w:r>
        <w:rPr>
          <w:rFonts w:ascii="Times New Roman" w:hAnsi="Times New Roman"/>
          <w:i/>
          <w:caps w:val="false"/>
          <w:smallCaps w:val="false"/>
          <w:sz w:val="20"/>
        </w:rPr>
        <w:t>Stock Consideration</w:t>
      </w:r>
      <w:r>
        <w:rPr>
          <w:rFonts w:ascii="Times New Roman" w:hAnsi="Times New Roman"/>
          <w:caps w:val="false"/>
          <w:smallCaps w:val="false"/>
          <w:sz w:val="20"/>
        </w:rPr>
        <w:t xml:space="preserve">), and (ii) paid to the exchange agent for the Pherin Acquisition, an aggregate of approximately $126,100 for the approximately 3.93% remaining Pherin stockholders who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to receive Stock Consideration in exchange for their outstanding shares of Pherin common stock (the </w:t>
      </w:r>
      <w:r>
        <w:rPr>
          <w:rFonts w:ascii="Times New Roman" w:hAnsi="Times New Roman"/>
          <w:i/>
          <w:caps w:val="false"/>
          <w:smallCaps w:val="false"/>
          <w:sz w:val="20"/>
        </w:rPr>
        <w:t>Cash Consideration</w:t>
      </w:r>
      <w:r>
        <w:rPr>
          <w:rFonts w:ascii="Times New Roman" w:hAnsi="Times New Roman"/>
          <w:caps w:val="false"/>
          <w:smallCaps w:val="false"/>
          <w:sz w:val="20"/>
        </w:rPr>
        <w:t xml:space="preserve"> and, together with the Stock Consideration, the </w:t>
      </w:r>
      <w:r>
        <w:rPr>
          <w:rFonts w:ascii="Times New Roman" w:hAnsi="Times New Roman"/>
          <w:i/>
          <w:caps w:val="false"/>
          <w:smallCaps w:val="false"/>
          <w:sz w:val="20"/>
        </w:rPr>
        <w:t>Merger Consideration</w:t>
      </w:r>
      <w:r>
        <w:rPr>
          <w:rFonts w:ascii="Times New Roman" w:hAnsi="Times New Roman"/>
          <w:caps w:val="false"/>
          <w:smallCaps w:val="false"/>
          <w:sz w:val="20"/>
        </w:rPr>
        <w:t>). In addition to the Cash Consideration, we paid certain transaction related expenses specified under the terms of the Merger Agreement and other expenses associated with the registration of the shares underlying the Stock Consideration, aggregating $402,200. We have accounted for the Pherin Acquisition as an asset acquisition and the associated costs, including the fair value of the Stock Consideration, totaling approximately $3,559,400, were expensed as in-process research and development expense. We charged approximately $45,400 to additional paid-in-capital related to costs of registering the common stock underlying the Stock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addition to Pherin, as described above, Vistastem, Inc., a California corporation founded in </w:t>
      </w:r>
      <w:r>
        <w:rPr>
          <w:rStyle w:val="Emphasis"/>
          <w:rFonts w:ascii="Times New Roman" w:hAnsi="Times New Roman"/>
          <w:caps w:val="false"/>
          <w:smallCaps w:val="false"/>
          <w:sz w:val="20"/>
        </w:rPr>
        <w:t>1998</w:t>
      </w:r>
      <w:r>
        <w:rPr>
          <w:rFonts w:ascii="Times New Roman" w:hAnsi="Times New Roman"/>
          <w:caps w:val="false"/>
          <w:smallCaps w:val="false"/>
          <w:sz w:val="20"/>
        </w:rPr>
        <w:t xml:space="preserve"> (</w:t>
      </w:r>
      <w:r>
        <w:rPr>
          <w:rFonts w:ascii="Times New Roman" w:hAnsi="Times New Roman"/>
          <w:i/>
          <w:caps w:val="false"/>
          <w:smallCaps w:val="false"/>
          <w:sz w:val="20"/>
        </w:rPr>
        <w:t>Vistastem</w:t>
      </w:r>
      <w:r>
        <w:rPr>
          <w:rFonts w:ascii="Times New Roman" w:hAnsi="Times New Roman"/>
          <w:caps w:val="false"/>
          <w:smallCaps w:val="false"/>
          <w:sz w:val="20"/>
        </w:rPr>
        <w:t xml:space="preserve">), is also our wholly owned subsidiary. For the relevant periods, our Condensed Consolidated Financial Statements in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w:t>
      </w:r>
      <w:r>
        <w:rPr>
          <w:rFonts w:ascii="Times New Roman" w:hAnsi="Times New Roman"/>
          <w:i/>
          <w:caps w:val="false"/>
          <w:smallCaps w:val="false"/>
          <w:sz w:val="20"/>
        </w:rPr>
        <w:t>Report</w:t>
      </w:r>
      <w:r>
        <w:rPr>
          <w:rFonts w:ascii="Times New Roman" w:hAnsi="Times New Roman"/>
          <w:caps w:val="false"/>
          <w:smallCaps w:val="false"/>
          <w:sz w:val="20"/>
        </w:rPr>
        <w:t>) also include the accounts of Vistastem’s two wholly owned inactive subsidiaries, Artemis Neuroscience, Inc., a Maryland corporation (</w:t>
      </w:r>
      <w:r>
        <w:rPr>
          <w:rFonts w:ascii="Times New Roman" w:hAnsi="Times New Roman"/>
          <w:i/>
          <w:caps w:val="false"/>
          <w:smallCaps w:val="false"/>
          <w:sz w:val="20"/>
        </w:rPr>
        <w:t>Artemis</w:t>
      </w:r>
      <w:r>
        <w:rPr>
          <w:rFonts w:ascii="Times New Roman" w:hAnsi="Times New Roman"/>
          <w:caps w:val="false"/>
          <w:smallCaps w:val="false"/>
          <w:sz w:val="20"/>
        </w:rPr>
        <w:t xml:space="preserve">), which was dissolved in </w:t>
      </w:r>
      <w:r>
        <w:rPr>
          <w:rStyle w:val="Emphasis"/>
          <w:rFonts w:ascii="Times New Roman" w:hAnsi="Times New Roman"/>
          <w:caps w:val="false"/>
          <w:smallCaps w:val="false"/>
          <w:sz w:val="20"/>
        </w:rPr>
        <w:t xml:space="preserve">April 2022, </w:t>
      </w:r>
      <w:r>
        <w:rPr>
          <w:rFonts w:ascii="Times New Roman" w:hAnsi="Times New Roman"/>
          <w:caps w:val="false"/>
          <w:smallCaps w:val="false"/>
          <w:sz w:val="20"/>
        </w:rPr>
        <w:t>and VistaStem Canada, Inc., a corporation organized under the laws of Ontario, Canada (</w:t>
      </w:r>
      <w:r>
        <w:rPr>
          <w:rFonts w:ascii="Times New Roman" w:hAnsi="Times New Roman"/>
          <w:i/>
          <w:caps w:val="false"/>
          <w:smallCaps w:val="false"/>
          <w:sz w:val="20"/>
        </w:rPr>
        <w:t>VistaStem Canada</w:t>
      </w:r>
      <w:r>
        <w:rPr>
          <w:rFonts w:ascii="Times New Roman" w:hAnsi="Times New Roman"/>
          <w:caps w:val="false"/>
          <w:smallCaps w:val="false"/>
          <w:sz w:val="20"/>
        </w:rPr>
        <w:t xml:space="preserve">), which was dissolved in </w:t>
      </w:r>
      <w:r>
        <w:rPr>
          <w:rStyle w:val="Emphasis"/>
          <w:rFonts w:ascii="Times New Roman" w:hAnsi="Times New Roman"/>
          <w:caps w:val="false"/>
          <w:smallCaps w:val="false"/>
          <w:sz w:val="20"/>
        </w:rPr>
        <w:t>June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Basis of Presentation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accompanying Consolidated Financial Statements have been prepared in conformity with U.S. generally accepted accounting principles (</w:t>
      </w:r>
      <w:r>
        <w:rPr>
          <w:rFonts w:ascii="Times New Roman" w:hAnsi="Times New Roman"/>
          <w:i/>
          <w:caps w:val="false"/>
          <w:smallCaps w:val="false"/>
          <w:sz w:val="20"/>
        </w:rPr>
        <w:t>U.S. GAAP</w:t>
      </w:r>
      <w:r>
        <w:rPr>
          <w:rFonts w:ascii="Times New Roman" w:hAnsi="Times New Roman"/>
          <w:caps w:val="false"/>
          <w:smallCaps w:val="false"/>
          <w:sz w:val="20"/>
        </w:rPr>
        <w:t xml:space="preserve">) and include the Company’s accounts, as well as those of Vistastem and, for the relevant periods, those of Pherin and of Vistastem’s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wholly owned inactive subsidiaries, Artemis and VistaStem Canada. All material intercompany accounts and transactions have been eliminated in consolidation. The Consolidated Financial Statements have been prepared assuming that we will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discussed more completely in Note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w:t>
      </w:r>
      <w:r>
        <w:rPr>
          <w:rFonts w:ascii="Times New Roman" w:hAnsi="Times New Roman"/>
          <w:i/>
          <w:caps w:val="false"/>
          <w:smallCaps w:val="false"/>
          <w:sz w:val="20"/>
        </w:rPr>
        <w:t>Subsequent Events</w:t>
      </w:r>
      <w:r>
        <w:rPr>
          <w:rFonts w:ascii="Times New Roman" w:hAnsi="Times New Roman"/>
          <w:caps w:val="false"/>
          <w:smallCaps w:val="false"/>
          <w:sz w:val="20"/>
        </w:rPr>
        <w:t xml:space="preserve">, we completed a stockholder approved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-for-30 reverse split of our issued and outstanding common stock effective on </w:t>
      </w:r>
      <w:r>
        <w:rPr>
          <w:rStyle w:val="Emphasis"/>
          <w:rFonts w:ascii="Times New Roman" w:hAnsi="Times New Roman"/>
          <w:caps w:val="false"/>
          <w:smallCaps w:val="false"/>
          <w:sz w:val="20"/>
        </w:rPr>
        <w:t>June 6, 2023 (</w:t>
      </w:r>
      <w:r>
        <w:rPr>
          <w:rFonts w:ascii="Times New Roman" w:hAnsi="Times New Roman"/>
          <w:caps w:val="false"/>
          <w:smallCaps w:val="false"/>
          <w:sz w:val="20"/>
        </w:rPr>
        <w:t xml:space="preserve">the </w:t>
      </w:r>
      <w:r>
        <w:rPr>
          <w:rFonts w:ascii="Times New Roman" w:hAnsi="Times New Roman"/>
          <w:i/>
          <w:caps w:val="false"/>
          <w:smallCaps w:val="false"/>
          <w:sz w:val="20"/>
        </w:rPr>
        <w:t>Reverse Split</w:t>
      </w:r>
      <w:r>
        <w:rPr>
          <w:rFonts w:ascii="Times New Roman" w:hAnsi="Times New Roman"/>
          <w:caps w:val="false"/>
          <w:smallCaps w:val="false"/>
          <w:sz w:val="20"/>
        </w:rPr>
        <w:t>). All share and per share data for all periods presented in the accompanying financial statements and related disclosures in this Report have been adjusted retrospectively to reflect the Reverse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As a late-stage clinical-stage biopharmaceutical company having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developed commercial products or achieved sustainable revenues, we have experienced negative cash flows from operations and recurring losses resulting in a deficit of $326.9 million accumulated from inception (</w:t>
      </w:r>
      <w:r>
        <w:rPr>
          <w:rStyle w:val="Emphasis"/>
          <w:rFonts w:ascii="Times New Roman" w:hAnsi="Times New Roman"/>
          <w:caps w:val="false"/>
          <w:smallCaps w:val="false"/>
          <w:sz w:val="20"/>
        </w:rPr>
        <w:t xml:space="preserve"> May 1998)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We expect losses and negative cash flows from operations to continue for the foreseeable future as we engage in further development of fasedienol, itruvone,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and the newly-acquired pherine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Since our inception in </w:t>
      </w:r>
      <w:r>
        <w:rPr>
          <w:rStyle w:val="Emphasis"/>
          <w:rFonts w:ascii="Times New Roman" w:hAnsi="Times New Roman"/>
          <w:caps w:val="false"/>
          <w:smallCaps w:val="false"/>
          <w:sz w:val="20"/>
        </w:rPr>
        <w:t xml:space="preserve">May 1998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we have financed our operations and technology acquisitions primarily through the issuance and sale of our equity and debt securities for cash proceeds of approximately $208.7 million, as well as from an aggregate of approximately $22.7 million of government research grant awards (excluding the fair market value of government sponsored and funded clinical trials), strategic collaboration payments, intellectual property licensing and other revenues. Additionally, we have issued equity securities with an approximate value at issuance of $41.3 million in noncash acquisitions of product licenses, the Pherin Acquisition, and in settlements of certain liabilities, including liabilities for professional services rendered to us or as compensation for such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pPr>
      <w:r>
        <w:rPr>
          <w:rFonts w:ascii="Times New Roman" w:hAnsi="Times New Roman"/>
          <w:caps w:val="false"/>
          <w:smallCaps w:val="false"/>
          <w:sz w:val="20"/>
        </w:rPr>
        <w:t xml:space="preserve">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complete any capital-raising or other significant financing activities during our fiscal year ended </w:t>
      </w:r>
      <w:r>
        <w:rPr>
          <w:rStyle w:val="Emphasis"/>
          <w:rFonts w:ascii="Times New Roman" w:hAnsi="Times New Roman"/>
          <w:caps w:val="false"/>
          <w:smallCaps w:val="false"/>
          <w:sz w:val="20"/>
        </w:rPr>
        <w:t>March 31, 2023 (</w:t>
      </w:r>
      <w:r>
        <w:rPr>
          <w:rFonts w:ascii="Times New Roman" w:hAnsi="Times New Roman"/>
          <w:i/>
          <w:caps w:val="false"/>
          <w:smallCaps w:val="false"/>
          <w:sz w:val="20"/>
        </w:rPr>
        <w:t xml:space="preserve">Fiscal </w:t>
      </w:r>
      <w:r>
        <w:rPr>
          <w:rStyle w:val="Emphasis"/>
          <w:rFonts w:ascii="Times New Roman" w:hAnsi="Times New Roman"/>
          <w:i/>
          <w:caps w:val="false"/>
          <w:smallCaps w:val="false"/>
          <w:sz w:val="20"/>
        </w:rPr>
        <w:t>2023</w:t>
      </w:r>
      <w:r>
        <w:rPr>
          <w:rFonts w:ascii="Times New Roman" w:hAnsi="Times New Roman"/>
          <w:caps w:val="false"/>
          <w:smallCaps w:val="false"/>
          <w:sz w:val="20"/>
        </w:rPr>
        <w:t xml:space="preserve">). During our fiscal year ended </w:t>
      </w:r>
      <w:r>
        <w:rPr>
          <w:rStyle w:val="Emphasis"/>
          <w:rFonts w:ascii="Times New Roman" w:hAnsi="Times New Roman"/>
          <w:caps w:val="false"/>
          <w:smallCaps w:val="false"/>
          <w:sz w:val="20"/>
        </w:rPr>
        <w:t>March 31, 2022 (</w:t>
      </w:r>
      <w:r>
        <w:rPr>
          <w:rFonts w:ascii="Times New Roman" w:hAnsi="Times New Roman"/>
          <w:i/>
          <w:caps w:val="false"/>
          <w:smallCaps w:val="false"/>
          <w:sz w:val="20"/>
        </w:rPr>
        <w:t xml:space="preserve">Fiscal </w:t>
      </w:r>
      <w:r>
        <w:rPr>
          <w:rStyle w:val="Emphasis"/>
          <w:rFonts w:ascii="Times New Roman" w:hAnsi="Times New Roman"/>
          <w:i/>
          <w:caps w:val="false"/>
          <w:smallCaps w:val="false"/>
          <w:sz w:val="20"/>
        </w:rPr>
        <w:t>2022</w:t>
      </w:r>
      <w:r>
        <w:rPr>
          <w:rFonts w:ascii="Times New Roman" w:hAnsi="Times New Roman"/>
          <w:caps w:val="false"/>
          <w:smallCaps w:val="false"/>
          <w:sz w:val="20"/>
        </w:rPr>
        <w:t xml:space="preserve">), holders of outstanding warrants to purchase an aggregate of 243,293 shares of our common stock exercised such warrants, and we received cash proceeds of approximately $6.2 million. Additionally, 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we entered into an Open Market Sale Agreement SM (the </w:t>
      </w:r>
      <w:r>
        <w:rPr>
          <w:rFonts w:ascii="Times New Roman" w:hAnsi="Times New Roman"/>
          <w:i/>
          <w:caps w:val="false"/>
          <w:smallCaps w:val="false"/>
          <w:sz w:val="20"/>
        </w:rPr>
        <w:t>Sales Agreement</w:t>
      </w:r>
      <w:r>
        <w:rPr>
          <w:rFonts w:ascii="Times New Roman" w:hAnsi="Times New Roman"/>
          <w:caps w:val="false"/>
          <w:smallCaps w:val="false"/>
          <w:sz w:val="20"/>
        </w:rPr>
        <w:t>) with Jefferies LLC (</w:t>
      </w:r>
      <w:r>
        <w:rPr>
          <w:rFonts w:ascii="Times New Roman" w:hAnsi="Times New Roman"/>
          <w:i/>
          <w:caps w:val="false"/>
          <w:smallCaps w:val="false"/>
          <w:sz w:val="20"/>
        </w:rPr>
        <w:t>Jefferies</w:t>
      </w:r>
      <w:r>
        <w:rPr>
          <w:rFonts w:ascii="Times New Roman" w:hAnsi="Times New Roman"/>
          <w:caps w:val="false"/>
          <w:smallCaps w:val="false"/>
          <w:sz w:val="20"/>
        </w:rPr>
        <w:t xml:space="preserve">) as sales agent, with respect to an at-the-market offering program (the </w:t>
      </w:r>
      <w:r>
        <w:rPr>
          <w:rFonts w:ascii="Times New Roman" w:hAnsi="Times New Roman"/>
          <w:i/>
          <w:caps w:val="false"/>
          <w:smallCaps w:val="false"/>
          <w:sz w:val="20"/>
        </w:rPr>
        <w:t>ATM</w:t>
      </w:r>
      <w:r>
        <w:rPr>
          <w:rFonts w:ascii="Times New Roman" w:hAnsi="Times New Roman"/>
          <w:caps w:val="false"/>
          <w:smallCaps w:val="false"/>
          <w:sz w:val="20"/>
        </w:rPr>
        <w:t xml:space="preserve">) under which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at our option, offer and sell, from time to time, shares of our common stock having an aggregate offering price of up to $75.0 million through Jefferies as our sales agent. During </w:t>
      </w:r>
      <w:r>
        <w:rPr>
          <w:rStyle w:val="Emphasis"/>
          <w:rFonts w:ascii="Times New Roman" w:hAnsi="Times New Roman"/>
          <w:caps w:val="false"/>
          <w:smallCaps w:val="false"/>
          <w:sz w:val="20"/>
        </w:rPr>
        <w:t xml:space="preserve">September </w:t>
      </w:r>
      <w:r>
        <w:rPr>
          <w:rFonts w:ascii="Times New Roman" w:hAnsi="Times New Roman"/>
          <w:caps w:val="false"/>
          <w:smallCaps w:val="false"/>
          <w:sz w:val="20"/>
        </w:rPr>
        <w:t xml:space="preserve">and early </w:t>
      </w:r>
      <w:r>
        <w:rPr>
          <w:rStyle w:val="Emphasis"/>
          <w:rFonts w:ascii="Times New Roman" w:hAnsi="Times New Roman"/>
          <w:caps w:val="false"/>
          <w:smallCaps w:val="false"/>
          <w:sz w:val="20"/>
        </w:rPr>
        <w:t xml:space="preserve">October 2021, </w:t>
      </w:r>
      <w:r>
        <w:rPr>
          <w:rFonts w:ascii="Times New Roman" w:hAnsi="Times New Roman"/>
          <w:caps w:val="false"/>
          <w:smallCaps w:val="false"/>
          <w:sz w:val="20"/>
        </w:rPr>
        <w:t xml:space="preserve">we sold an aggregate of 50,593 shares of our common stock and received gross cash proceeds of approximately $4.45 million under the ATM. We did not sell any shares of our common stock under the ATM 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As discussed more completely in Note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w:t>
      </w:r>
      <w:r>
        <w:rPr>
          <w:rFonts w:ascii="Times New Roman" w:hAnsi="Times New Roman"/>
          <w:i/>
          <w:caps w:val="false"/>
          <w:smallCaps w:val="false"/>
          <w:sz w:val="20"/>
        </w:rPr>
        <w:t>Subsequent Events</w:t>
      </w:r>
      <w:r>
        <w:rPr>
          <w:rFonts w:ascii="Times New Roman" w:hAnsi="Times New Roman"/>
          <w:caps w:val="false"/>
          <w:smallCaps w:val="false"/>
          <w:sz w:val="20"/>
        </w:rPr>
        <w:t xml:space="preserve">, from </w:t>
      </w:r>
      <w:r>
        <w:rPr>
          <w:rStyle w:val="Emphasis"/>
          <w:rFonts w:ascii="Times New Roman" w:hAnsi="Times New Roman"/>
          <w:caps w:val="false"/>
          <w:smallCaps w:val="false"/>
          <w:sz w:val="20"/>
        </w:rPr>
        <w:t xml:space="preserve">June 12, 2023 </w:t>
      </w:r>
      <w:r>
        <w:rPr>
          <w:rFonts w:ascii="Times New Roman" w:hAnsi="Times New Roman"/>
          <w:caps w:val="false"/>
          <w:smallCaps w:val="false"/>
          <w:sz w:val="20"/>
        </w:rPr>
        <w:t>through the date of this Report we sold an aggregate of 561,418 shares of our common stock and received approximately $1.15 million in gross proceeds under the ATM.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our fiscal year ended </w:t>
      </w:r>
      <w:r>
        <w:rPr>
          <w:rStyle w:val="Emphasis"/>
          <w:rFonts w:ascii="Times New Roman" w:hAnsi="Times New Roman"/>
          <w:caps w:val="false"/>
          <w:smallCaps w:val="false"/>
          <w:sz w:val="20"/>
        </w:rPr>
        <w:t>March 31, 2021 (</w:t>
      </w:r>
      <w:r>
        <w:rPr>
          <w:rFonts w:ascii="Times New Roman" w:hAnsi="Times New Roman"/>
          <w:i/>
          <w:caps w:val="false"/>
          <w:smallCaps w:val="false"/>
          <w:sz w:val="20"/>
        </w:rPr>
        <w:t xml:space="preserve">Fiscal </w:t>
      </w:r>
      <w:r>
        <w:rPr>
          <w:rStyle w:val="Emphasis"/>
          <w:rFonts w:ascii="Times New Roman" w:hAnsi="Times New Roman"/>
          <w:i/>
          <w:caps w:val="false"/>
          <w:smallCaps w:val="false"/>
          <w:sz w:val="20"/>
        </w:rPr>
        <w:t>2021</w:t>
      </w:r>
      <w:r>
        <w:rPr>
          <w:rFonts w:ascii="Times New Roman" w:hAnsi="Times New Roman"/>
          <w:caps w:val="false"/>
          <w:smallCaps w:val="false"/>
          <w:sz w:val="20"/>
        </w:rPr>
        <w:t xml:space="preserve">), we received approximately $119 million in net cash proceeds primarily from various public sales of our equity securities and $5.0 million gross proceeds from a strategic licensing and collaboration agreement (the </w:t>
      </w:r>
      <w:r>
        <w:rPr>
          <w:rFonts w:ascii="Times New Roman" w:hAnsi="Times New Roman"/>
          <w:i/>
          <w:caps w:val="false"/>
          <w:smallCaps w:val="false"/>
          <w:sz w:val="20"/>
        </w:rPr>
        <w:t>AffaMed Agreement,</w:t>
      </w:r>
      <w:r>
        <w:rPr>
          <w:rFonts w:ascii="Times New Roman" w:hAnsi="Times New Roman"/>
          <w:caps w:val="false"/>
          <w:smallCaps w:val="false"/>
          <w:sz w:val="20"/>
        </w:rPr>
        <w:t xml:space="preserve"> discussed more completely in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Licensing, Sublicensing and Collaborative Agreements.) </w:t>
      </w:r>
      <w:r>
        <w:rPr>
          <w:rFonts w:ascii="Times New Roman" w:hAnsi="Times New Roman"/>
          <w:caps w:val="false"/>
          <w:smallCaps w:val="false"/>
          <w:sz w:val="20"/>
        </w:rPr>
        <w:t xml:space="preserve">These earlier transactions continued to provide necessary capital resources and liquidity throughout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during which we also received approximately $167,500 in cash proceeds from the exercise of outstanding stock options and sales under our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Employee Stock Purchase Plan (the </w:t>
      </w:r>
      <w:r>
        <w:rPr>
          <w:rStyle w:val="Emphasis"/>
          <w:rFonts w:ascii="Times New Roman" w:hAnsi="Times New Roman"/>
          <w:i/>
          <w:caps w:val="false"/>
          <w:smallCaps w:val="false"/>
          <w:sz w:val="20"/>
        </w:rPr>
        <w:t>2019</w:t>
      </w:r>
      <w:r>
        <w:rPr>
          <w:rFonts w:ascii="Times New Roman" w:hAnsi="Times New Roman"/>
          <w:caps w:val="false"/>
          <w:smallCaps w:val="false"/>
          <w:sz w:val="20"/>
        </w:rPr>
        <w:t xml:space="preserve"> </w:t>
      </w:r>
      <w:r>
        <w:rPr>
          <w:rFonts w:ascii="Times New Roman" w:hAnsi="Times New Roman"/>
          <w:i/>
          <w:caps w:val="false"/>
          <w:smallCaps w:val="false"/>
          <w:sz w:val="20"/>
        </w:rPr>
        <w:t>ESPP</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had cash and cash equivalents of approximately $16.6 million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which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will be sufficient to fund our planned operations for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following the issuance of these Consolidated Financial Statements, which raises substantial doubt regarding our ability to continue as a going concern. We are continuing to evaluate our cash resources as we prepare for the next steps in our late-stage development of fasedienol for the treatment of SAD, consider clinical and nonclinical requirements to advance Itruvone in potential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development, on our own or with a collaborator, as a potential stand-alone rapid-onset treatment for MDD and finalize our Phase </w:t>
      </w:r>
      <w:r>
        <w:rPr>
          <w:rStyle w:val="Emphasis"/>
          <w:rFonts w:ascii="Times New Roman" w:hAnsi="Times New Roman"/>
          <w:caps w:val="false"/>
          <w:smallCaps w:val="false"/>
          <w:sz w:val="20"/>
        </w:rPr>
        <w:t>1</w:t>
      </w:r>
      <w:r>
        <w:rPr>
          <w:rFonts w:ascii="Times New Roman" w:hAnsi="Times New Roman"/>
          <w:caps w:val="false"/>
          <w:smallCaps w:val="false"/>
          <w:sz w:val="20"/>
        </w:rPr>
        <w:t> study of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in combination with probenecid to facilitate potential exploratory Phase </w:t>
      </w:r>
      <w:r>
        <w:rPr>
          <w:rStyle w:val="Emphasis"/>
          <w:rFonts w:ascii="Times New Roman" w:hAnsi="Times New Roman"/>
          <w:caps w:val="false"/>
          <w:smallCaps w:val="false"/>
          <w:sz w:val="20"/>
        </w:rPr>
        <w:t>2A</w:t>
      </w:r>
      <w:r>
        <w:rPr>
          <w:rFonts w:ascii="Times New Roman" w:hAnsi="Times New Roman"/>
          <w:caps w:val="false"/>
          <w:smallCaps w:val="false"/>
          <w:sz w:val="20"/>
        </w:rPr>
        <w:t xml:space="preserve"> development of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We are continuing to evaluate the potential implications for the conduct and timing of other clinical trials and strategies for the development and commercialization, on our own or with collaborators, of all of our product candidates. However, as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developed products that generate recurring revenue and, in the event we successfully complete future clinical and/or nonclinical programs, we will need to obtain and invest substantial additional capital resources to develop and commercialize our drug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When necessary and advantageous, we will seek additional financial resources to fund our planned operations through (i) sales of our equity and/or debt securities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public offerings and/or private placements, (ii) non-dilutive government grants and research awards and (iii) non-dilutive strategic partnering collaborations to advance development and commercialization of our product candidates. For example,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seek to enter research, development and/or commercialization collaborations similar to the AffaMed Agreement, which applies only to development and commercialization of </w:t>
      </w:r>
      <w:r>
        <w:rPr>
          <w:rStyle w:val="Emphasis"/>
          <w:rFonts w:ascii="Times New Roman" w:hAnsi="Times New Roman"/>
          <w:caps w:val="false"/>
          <w:smallCaps w:val="false"/>
          <w:sz w:val="20"/>
        </w:rPr>
        <w:t>PH94B</w:t>
      </w:r>
      <w:r>
        <w:rPr>
          <w:rFonts w:ascii="Times New Roman" w:hAnsi="Times New Roman"/>
          <w:caps w:val="false"/>
          <w:smallCaps w:val="false"/>
          <w:sz w:val="20"/>
        </w:rPr>
        <w:t xml:space="preserve"> in Greater China, South Korea and Southeast Asian territories, to provide non-dilutive funding for our operations, while also reducing a portion of our future cash outlays and working capital requirements. Although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seek additional collaborations that could generate revenue and/or provide non-dilutive funding for development and commercialization of our product candidates,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can be provided that any such collaborations, awards or agreements will occur in the future. Subject to certain restrictions, our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(the </w:t>
      </w:r>
      <w:r>
        <w:rPr>
          <w:rFonts w:ascii="Times New Roman" w:hAnsi="Times New Roman"/>
          <w:i/>
          <w:caps w:val="false"/>
          <w:smallCaps w:val="false"/>
          <w:sz w:val="20"/>
        </w:rPr>
        <w:t>S-</w:t>
      </w:r>
      <w:r>
        <w:rPr>
          <w:rStyle w:val="Emphasis"/>
          <w:rFonts w:ascii="Times New Roman" w:hAnsi="Times New Roman"/>
          <w:i/>
          <w:caps w:val="false"/>
          <w:smallCaps w:val="false"/>
          <w:sz w:val="20"/>
        </w:rPr>
        <w:t>3</w:t>
      </w:r>
      <w:r>
        <w:rPr>
          <w:rFonts w:ascii="Times New Roman" w:hAnsi="Times New Roman"/>
          <w:i/>
          <w:caps w:val="false"/>
          <w:smallCaps w:val="false"/>
          <w:sz w:val="20"/>
        </w:rPr>
        <w:t xml:space="preserve"> Shelf Registration Statement</w:t>
      </w:r>
      <w:r>
        <w:rPr>
          <w:rFonts w:ascii="Times New Roman" w:hAnsi="Times New Roman"/>
          <w:caps w:val="false"/>
          <w:smallCaps w:val="false"/>
          <w:sz w:val="20"/>
        </w:rPr>
        <w:t xml:space="preserve">) remains available for future sales of our equity securities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public offerings from time to time. While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make additional sales of our equity securities under the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Shelf Registration Statement and/or under the Sales Agreement,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obligation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During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subject to availability of adequate working capital, we plan to (i) continue to advance our FEARLESS Phase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Program, on our own or with a collaborator, to develop and commercialize fasedienol as a new acute treatment of anxiety in adults with SAD, (ii) complete preparations, on our own or with a collaborator, for and initiate further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clinical development of itruvone as a potential stand-alone treatment for MDD, (iii) complete IND-enabling activities, either on our own with a collaborator, for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development of </w:t>
      </w:r>
      <w:r>
        <w:rPr>
          <w:rStyle w:val="Emphasis"/>
          <w:rFonts w:ascii="Times New Roman" w:hAnsi="Times New Roman"/>
          <w:caps w:val="false"/>
          <w:smallCaps w:val="false"/>
          <w:sz w:val="20"/>
        </w:rPr>
        <w:t>PH80,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PH15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PH284</w:t>
      </w:r>
      <w:r>
        <w:rPr>
          <w:rFonts w:ascii="Times New Roman" w:hAnsi="Times New Roman"/>
          <w:caps w:val="false"/>
          <w:smallCaps w:val="false"/>
          <w:sz w:val="20"/>
        </w:rPr>
        <w:t xml:space="preserve"> and Phase </w:t>
      </w:r>
      <w:r>
        <w:rPr>
          <w:rStyle w:val="Emphasis"/>
          <w:rFonts w:ascii="Times New Roman" w:hAnsi="Times New Roman"/>
          <w:caps w:val="false"/>
          <w:smallCaps w:val="false"/>
          <w:sz w:val="20"/>
        </w:rPr>
        <w:t>2A</w:t>
      </w:r>
      <w:r>
        <w:rPr>
          <w:rFonts w:ascii="Times New Roman" w:hAnsi="Times New Roman"/>
          <w:caps w:val="false"/>
          <w:smallCaps w:val="false"/>
          <w:sz w:val="20"/>
        </w:rPr>
        <w:t xml:space="preserve"> development of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for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neurological disorders involving the NMDAR, and (iv) conduct various nonclinical studies involving each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future working capital requirements will depend on many factors, including, without limitation, potential impacts related to adjustments in the size of our staff,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clinical development of our product candidates, as well as support our operating activities, we plan to seek additional financing, including both equity-based capital and funding from non-dilutive sources, and continue to carefully manage our operating costs,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our clinical and nonclinical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Notwithstanding the foregoing,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future financings will be available to us in sufficient amounts, in a timely manner, or on terms acceptable to us, if at all, or that our current development and commercialization collaboration under the AffaMed Agreement or other potential strategic partnering collaborations will generate revenue from future potential milestone payments or otherwise. Further, on </w:t>
      </w:r>
      <w:r>
        <w:rPr>
          <w:rStyle w:val="Emphasis"/>
          <w:rFonts w:ascii="Times New Roman" w:hAnsi="Times New Roman"/>
          <w:caps w:val="false"/>
          <w:smallCaps w:val="false"/>
          <w:sz w:val="20"/>
        </w:rPr>
        <w:t xml:space="preserve">September 6, 2022, </w:t>
      </w:r>
      <w:r>
        <w:rPr>
          <w:rFonts w:ascii="Times New Roman" w:hAnsi="Times New Roman"/>
          <w:caps w:val="false"/>
          <w:smallCaps w:val="false"/>
          <w:sz w:val="20"/>
        </w:rPr>
        <w:t>we received a letter from the Listing Qualifications Staff of The Nasdaq Stock Market, LLC (</w:t>
      </w:r>
      <w:r>
        <w:rPr>
          <w:rFonts w:ascii="Times New Roman" w:hAnsi="Times New Roman"/>
          <w:i/>
          <w:caps w:val="false"/>
          <w:smallCaps w:val="false"/>
          <w:sz w:val="20"/>
        </w:rPr>
        <w:t>Nasdaq</w:t>
      </w:r>
      <w:r>
        <w:rPr>
          <w:rFonts w:ascii="Times New Roman" w:hAnsi="Times New Roman"/>
          <w:caps w:val="false"/>
          <w:smallCaps w:val="false"/>
          <w:sz w:val="20"/>
        </w:rPr>
        <w:t xml:space="preserve">) indicating that, based upon the closing bid price of our common stock for the previous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consecutive business days, we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compliance with the requirement to maintain a minimum bid price of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per share for continued listing on the Nasdaq Capital Market. At </w:t>
      </w:r>
      <w:r>
        <w:rPr>
          <w:rStyle w:val="Emphasis"/>
          <w:rFonts w:ascii="Times New Roman" w:hAnsi="Times New Roman"/>
          <w:caps w:val="false"/>
          <w:smallCaps w:val="false"/>
          <w:sz w:val="20"/>
        </w:rPr>
        <w:t xml:space="preserve">March 6, 2023, </w:t>
      </w:r>
      <w:r>
        <w:rPr>
          <w:rFonts w:ascii="Times New Roman" w:hAnsi="Times New Roman"/>
          <w:caps w:val="false"/>
          <w:smallCaps w:val="false"/>
          <w:sz w:val="20"/>
        </w:rPr>
        <w:t xml:space="preserve">the expiration of the initial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-day period in which to regain compliance, we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regained compliance with the minimum bid price requirement. Based on our written notification to Nasdaq of our intention to cure the deficiency by implementing a previously stockholder-authorized reverse stock split, if necessary, on </w:t>
      </w:r>
      <w:r>
        <w:rPr>
          <w:rStyle w:val="Emphasis"/>
          <w:rFonts w:ascii="Times New Roman" w:hAnsi="Times New Roman"/>
          <w:caps w:val="false"/>
          <w:smallCaps w:val="false"/>
          <w:sz w:val="20"/>
        </w:rPr>
        <w:t xml:space="preserve">March 7, 2023, </w:t>
      </w:r>
      <w:r>
        <w:rPr>
          <w:rFonts w:ascii="Times New Roman" w:hAnsi="Times New Roman"/>
          <w:caps w:val="false"/>
          <w:smallCaps w:val="false"/>
          <w:sz w:val="20"/>
        </w:rPr>
        <w:t xml:space="preserve">Nasdaq granted us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-day period, through </w:t>
      </w:r>
      <w:r>
        <w:rPr>
          <w:rStyle w:val="Emphasis"/>
          <w:rFonts w:ascii="Times New Roman" w:hAnsi="Times New Roman"/>
          <w:caps w:val="false"/>
          <w:smallCaps w:val="false"/>
          <w:sz w:val="20"/>
        </w:rPr>
        <w:t xml:space="preserve">September 5, 2023, </w:t>
      </w:r>
      <w:r>
        <w:rPr>
          <w:rFonts w:ascii="Times New Roman" w:hAnsi="Times New Roman"/>
          <w:caps w:val="false"/>
          <w:smallCaps w:val="false"/>
          <w:sz w:val="20"/>
        </w:rPr>
        <w:t xml:space="preserve">in which to regain compliance. To regain compliance with the minimum bid price requirement, our common stock was required to have a closing bid price of at least $1.00 per share for a minimum of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consecutive trading days. As a result of the Reverse Split, our common stock has maintained a closing bid price in excess of $1.00 since </w:t>
      </w:r>
      <w:r>
        <w:rPr>
          <w:rStyle w:val="Emphasis"/>
          <w:rFonts w:ascii="Times New Roman" w:hAnsi="Times New Roman"/>
          <w:caps w:val="false"/>
          <w:smallCaps w:val="false"/>
          <w:sz w:val="20"/>
        </w:rPr>
        <w:t xml:space="preserve">June 7, 2023. </w:t>
      </w:r>
      <w:r>
        <w:rPr>
          <w:rFonts w:ascii="Times New Roman" w:hAnsi="Times New Roman"/>
          <w:caps w:val="false"/>
          <w:smallCaps w:val="false"/>
          <w:sz w:val="20"/>
        </w:rPr>
        <w:t xml:space="preserve">Although the Listing Qualifications Staff of Nasdaq advised us on </w:t>
      </w:r>
      <w:r>
        <w:rPr>
          <w:rStyle w:val="Emphasis"/>
          <w:rFonts w:ascii="Times New Roman" w:hAnsi="Times New Roman"/>
          <w:caps w:val="false"/>
          <w:smallCaps w:val="false"/>
          <w:sz w:val="20"/>
        </w:rPr>
        <w:t xml:space="preserve">June 22, 2023 </w:t>
      </w:r>
      <w:r>
        <w:rPr>
          <w:rFonts w:ascii="Times New Roman" w:hAnsi="Times New Roman"/>
          <w:caps w:val="false"/>
          <w:smallCaps w:val="false"/>
          <w:sz w:val="20"/>
        </w:rPr>
        <w:t xml:space="preserve">that we regained compliance with the minimum bid price requirement of the Nasdaq Capital Market,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our common stock will maintain a closing bid price sufficient to remain in compliance with the Minimum Bid Price Requirement or that we will maintain compliance with other continued listing standards for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preparation of financial statements in conformity with U.S. generally accepted accounting principles (</w:t>
      </w:r>
      <w:r>
        <w:rPr>
          <w:rFonts w:ascii="Times New Roman" w:hAnsi="Times New Roman"/>
          <w:i/>
          <w:caps w:val="false"/>
          <w:smallCaps w:val="false"/>
          <w:sz w:val="20"/>
        </w:rPr>
        <w:t>U.S. GAAP</w:t>
      </w:r>
      <w:r>
        <w:rPr>
          <w:rFonts w:ascii="Times New Roman" w:hAnsi="Times New Roman"/>
          <w:caps w:val="false"/>
          <w:smallCaps w:val="false"/>
          <w:sz w:val="20"/>
        </w:rPr>
        <w:t xml:space="preserve">)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those relating to stock-based compensation, revenue recognition, research and development expenses, determination of right-of-use assets under lease transactions and related lease obligations, and the assumptions used to value warrants, warrant modifications and useful lives for property and equipment and related depreciation 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Cash and cash equivalents are considered to be highly liquid investments with maturities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at the date of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is stated at cost, net of accumulated depreciation. Repairs and maintenance costs are expensed in the period incurred. Depreciation is calculated using the straight-line method over the estimated useful lives of the assets. The estimated useful lives of laboratory, information technology and office equipment range from three to seven years; the estimated useful lives of manufacturing equipment ranges from five to ten years. Leasehold improvements are amortized over the shorter of the lease term or the useful life of the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Impairment of Long-Lived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long-lived assets consist of property and equipment. Long-lived assets to be held and used are tested for recoverability whenever events or changes in business circumstances indicate that the carrying amount of the assets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fully recoverable. Factors that we consider in deciding when to perform an impairment review include significant underperformance of the business in relation to expectations, significant negative industry or economic trends, and significant changes or planned changes in our use of the assets.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any impairment losses on long-lived assets.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carry any capitalized intellectual property or product licenses as assets subject to impairment in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Deferred Offering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Deferred offering costs include registration expenses related to our current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Registration Statement (the </w:t>
      </w:r>
      <w:r>
        <w:rPr>
          <w:rFonts w:ascii="Times New Roman" w:hAnsi="Times New Roman"/>
          <w:i/>
          <w:caps w:val="false"/>
          <w:smallCaps w:val="false"/>
          <w:sz w:val="20"/>
        </w:rPr>
        <w:t>Shelf Registration</w:t>
      </w:r>
      <w:r>
        <w:rPr>
          <w:rFonts w:ascii="Times New Roman" w:hAnsi="Times New Roman"/>
          <w:caps w:val="false"/>
          <w:smallCaps w:val="false"/>
          <w:sz w:val="20"/>
        </w:rPr>
        <w:t xml:space="preserve">), which became effective on </w:t>
      </w:r>
      <w:r>
        <w:rPr>
          <w:rStyle w:val="Emphasis"/>
          <w:rFonts w:ascii="Times New Roman" w:hAnsi="Times New Roman"/>
          <w:caps w:val="false"/>
          <w:smallCaps w:val="false"/>
          <w:sz w:val="20"/>
        </w:rPr>
        <w:t xml:space="preserve">March 26, 2021, </w:t>
      </w:r>
      <w:r>
        <w:rPr>
          <w:rFonts w:ascii="Times New Roman" w:hAnsi="Times New Roman"/>
          <w:caps w:val="false"/>
          <w:smallCaps w:val="false"/>
          <w:sz w:val="20"/>
        </w:rPr>
        <w:t xml:space="preserve">and expenses related to the Sales Agreement for the ATM (as described in Note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w:t>
      </w:r>
      <w:r>
        <w:rPr>
          <w:rFonts w:ascii="Times New Roman" w:hAnsi="Times New Roman"/>
          <w:i/>
          <w:caps w:val="false"/>
          <w:smallCaps w:val="false"/>
          <w:sz w:val="20"/>
        </w:rPr>
        <w:t>Capital Stock</w:t>
      </w:r>
      <w:r>
        <w:rPr>
          <w:rFonts w:ascii="Times New Roman" w:hAnsi="Times New Roman"/>
          <w:caps w:val="false"/>
          <w:smallCaps w:val="false"/>
          <w:sz w:val="20"/>
        </w:rPr>
        <w:t xml:space="preserve">). These expenses consist primarily of legal, accounting, SEC filing fees, and, as appropriate, Nasdaq filing fees. Upon the completion or partial completion of an applicable equity offering, the deferred expenses are charged to additional paid-in capital. If there are any deferred offering costs remaining at the expiration of the Shelf Registration or the equity financing agreement, such costs are charged to expense. Upon termination of a financing agreement in </w:t>
      </w:r>
      <w:r>
        <w:rPr>
          <w:rStyle w:val="Emphasis"/>
          <w:rFonts w:ascii="Times New Roman" w:hAnsi="Times New Roman"/>
          <w:caps w:val="false"/>
          <w:smallCaps w:val="false"/>
          <w:sz w:val="20"/>
        </w:rPr>
        <w:t xml:space="preserve">June 2021, </w:t>
      </w:r>
      <w:r>
        <w:rPr>
          <w:rFonts w:ascii="Times New Roman" w:hAnsi="Times New Roman"/>
          <w:caps w:val="false"/>
          <w:smallCaps w:val="false"/>
          <w:sz w:val="20"/>
        </w:rPr>
        <w:t xml:space="preserve">we expensed the remaining $232,100 of deferred offering costs associated with the agreement as a noncash component of our general and administrative expenses in our Consolidated Statement of Operations and Comprehensive Loss for the fiscal year ended </w:t>
      </w:r>
      <w:r>
        <w:rPr>
          <w:rStyle w:val="Emphasis"/>
          <w:rFonts w:ascii="Times New Roman" w:hAnsi="Times New Roman"/>
          <w:caps w:val="false"/>
          <w:smallCaps w:val="false"/>
          <w:sz w:val="20"/>
        </w:rPr>
        <w:t>March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AffaMed Agreement, involving clinical development and commercialization of fasedienol for acute treatment of anxiety in adults with SAD, and potentially other anxiety-related disorders, in Greater China, South Korea, and Southeast Asia, has been the basis of our reported revenue for both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terms of the AffaMed Agreement include a $5.0 million non-refundable upfront license fee which we received in </w:t>
      </w:r>
      <w:r>
        <w:rPr>
          <w:rStyle w:val="Emphasis"/>
          <w:rFonts w:ascii="Times New Roman" w:hAnsi="Times New Roman"/>
          <w:caps w:val="false"/>
          <w:smallCaps w:val="false"/>
          <w:sz w:val="20"/>
        </w:rPr>
        <w:t xml:space="preserve">August 2020, </w:t>
      </w:r>
      <w:r>
        <w:rPr>
          <w:rFonts w:ascii="Times New Roman" w:hAnsi="Times New Roman"/>
          <w:caps w:val="false"/>
          <w:smallCaps w:val="false"/>
          <w:sz w:val="20"/>
        </w:rPr>
        <w:t>potential payments based upon achievement of certain development and commercial milestones, and royalties on product sales. In prior years, we have occasionally generated revenue from collaborative research and development arrangements, licensing and technology transfer agreements, including strategic licenses or sublicenses, and government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we recognize revenue when our customer obtains control of promised goods or services, in an amount that reflects the consideration that we expect to receive in exchange for those goods or services. To determine revenue recognition for arrangements that we determine are within the scope of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we perform the following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steps: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w:t>
      </w:r>
      <w:r>
        <w:rPr>
          <w:rStyle w:val="Emphasis"/>
          <w:rFonts w:ascii="Times New Roman" w:hAnsi="Times New Roman"/>
          <w:caps w:val="false"/>
          <w:smallCaps w:val="false"/>
          <w:sz w:val="20"/>
        </w:rPr>
        <w:t>five</w:t>
      </w:r>
      <w:r>
        <w:rPr>
          <w:rFonts w:ascii="Times New Roman" w:hAnsi="Times New Roman"/>
          <w:caps w:val="false"/>
          <w:smallCaps w:val="false"/>
          <w:sz w:val="20"/>
        </w:rPr>
        <w:t>-step model to contracts when it is probable that we will collect the consideration to which we are entitled in exchange for the goods or services we transfer to a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Once a contract is determined to be within the scope of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we assess the goods or services promised within each contract and determine those that are performance obligations. Arrangements that include rights to additional goods or services that are exercisable at a customer’s discretion are generally considered options. We assess whether these options provide a material right to the customer and if so, they are considered performance obligations. The exercise of a material right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accounted for as a contract modification or as a continuation of the contract for accounting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assess whether each promised good or service is distinct for the purpose of identifying the performance obligations in the contract. This assessment involves subjective determinations and requires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our promise to transfer the good or service to the customer is separately identifiable from other promises in the contract (that is, the promise to transfer the good or service is distinct within the context of the contract). In assessing whether a promised good or service is distinct in the evaluation of a collaboration arrangement subject to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we consider factors such as the research, manufacturing and commercialization capabilities of the collaboration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distinct, we are required to combine that good or service with other promised goods or services until we identify a bundle of goods or services that is distinct.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transaction price is then determined and allocated to the identified performance obligations in proportion to their standalone selling prices (</w:t>
      </w:r>
      <w:r>
        <w:rPr>
          <w:rFonts w:ascii="Times New Roman" w:hAnsi="Times New Roman"/>
          <w:i/>
          <w:caps w:val="false"/>
          <w:smallCaps w:val="false"/>
          <w:sz w:val="20"/>
        </w:rPr>
        <w:t>SSP</w:t>
      </w:r>
      <w:r>
        <w:rPr>
          <w:rFonts w:ascii="Times New Roman" w:hAnsi="Times New Roman"/>
          <w:caps w:val="false"/>
          <w:smallCaps w:val="false"/>
          <w:sz w:val="20"/>
        </w:rPr>
        <w:t xml:space="preserve">) on a relative SSP basis. SSP is determined at contract inception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updated to reflect changes between contract inception and satisfaction of the performance obligations. Determining the SSP for performance obligations requires significant judgment. In developing the SSP for a performance obligation, we consider applicable market conditions and relevant Company-specific factors, including factors that were contemplated in negotiating the agreement with the customer and estimated costs. In certain circumstances,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apply the residual method to determine the SSP of a good or service if the standalone selling price is considered highly variable or uncertain. We validate the SSP for performance obligations by evaluating whether changes in the key assumptions used to determine the SSP will have a significant effect on the allocation of arrangement consideration between multiple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the associated milestone value is included in the transaction price. Milestone payments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within our control or the licensee’s control, such as regulatory approvals, are generally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probable of being achieved until those approvals are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determining the transaction price, we adjust consideration for the effects of the time value of money if the timing of payments provides us with a significant benefit of financing.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assess whether a contract has a significant financing component if the expectation at contract inception is such that the period between payment by the licensee and the transfer of the promised goods or services to the licensee will be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then recognize as revenue the amount of the transaction price that is allocated to the respective performance obligation when (or as) each performance obligation is satisfied at a point in time or over time, and if over time, based on the use of an output or input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fasedienol, itruvone and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All such costs are charged to expense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record accruals for estimated ongoing clinical trial costs. Clinical trial costs represent costs incurred by contract research organizations (</w:t>
      </w:r>
      <w:r>
        <w:rPr>
          <w:rFonts w:ascii="Times New Roman" w:hAnsi="Times New Roman"/>
          <w:i/>
          <w:caps w:val="false"/>
          <w:smallCaps w:val="false"/>
          <w:sz w:val="20"/>
        </w:rPr>
        <w:t>CRO</w:t>
      </w:r>
      <w:r>
        <w:rPr>
          <w:rFonts w:ascii="Times New Roman" w:hAnsi="Times New Roman"/>
          <w:caps w:val="false"/>
          <w:smallCaps w:val="false"/>
          <w:sz w:val="20"/>
        </w:rPr>
        <w:t>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in determining the clinical trial accrual in any reporting period. Actual results could differ from those estimates under different assumptions. Revisions are charged to research and development expense in the period in which the facts that give rise to the revision become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Costs incurred in obtaining product or technology licenses are charged immediately to research and development expense if, at acquisition, the product or technology licensed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achieved regulatory approval or reached technical feasibility and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alternative future uses. We treated the Pherin Acquisition as an acquisition of assets for accounting purposes. Since, at the date of the acquisition, neither fasedienol, itruvone nor the other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pherines acquired had achieved regulatory approval and each required significant additional development and expense and were without alternative future use, we recorded the costs related to acquiring the assets as research and development expense in our Consolidated Statement of Operations and Comprehensive Loss for our fiscal year ended </w:t>
      </w:r>
      <w:r>
        <w:rPr>
          <w:rStyle w:val="Emphasis"/>
          <w:rFonts w:ascii="Times New Roman" w:hAnsi="Times New Roman"/>
          <w:caps w:val="false"/>
          <w:smallCaps w:val="false"/>
          <w:sz w:val="20"/>
        </w:rPr>
        <w:t>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 compensation cost for all stock-based awards to employees and non-employee consultants based on the grant date fair value of the award.  We record stock-based compensation expense over the period during which the employee or other grantee is required to perform services in exchange for the award, which generally represents the scheduled vesting period. We have not granted restricted stock awards to employees or consultants, nor do we have any awards with market or performance conditions. Noncash expense attributable to compensatory grants of our common stock to non-employees is determined by the quoted market price of the stock on the date of grant and is either recognized as fully-earned at the time of the grant or expensed ratably over the term of the related service agreement, depending on the terms of the specific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account for income taxes using the asset and liability approach promulgated by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Income Taxes</w:t>
      </w:r>
      <w:r>
        <w:rPr>
          <w:rFonts w:ascii="Times New Roman" w:hAnsi="Times New Roman"/>
          <w:caps w:val="false"/>
          <w:smallCaps w:val="false"/>
          <w:sz w:val="20"/>
        </w:rPr>
        <w:t>,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Right-of-use Assets and Operating Lease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account for our leases following the guidance of Accounting Standards Update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02,</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Leases (Topic </w:t>
      </w:r>
      <w:r>
        <w:rPr>
          <w:rStyle w:val="Emphasis"/>
          <w:rFonts w:ascii="Times New Roman" w:hAnsi="Times New Roman"/>
          <w:i/>
          <w:caps w:val="false"/>
          <w:smallCaps w:val="false"/>
          <w:sz w:val="20"/>
        </w:rPr>
        <w:t>842</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 xml:space="preserve">ASU </w:t>
      </w:r>
      <w:r>
        <w:rPr>
          <w:rStyle w:val="Emphasis"/>
          <w:rFonts w:ascii="Times New Roman" w:hAnsi="Times New Roman"/>
          <w:i/>
          <w:caps w:val="false"/>
          <w:smallCaps w:val="false"/>
          <w:sz w:val="20"/>
        </w:rPr>
        <w:t>2016</w:t>
      </w:r>
      <w:r>
        <w:rPr>
          <w:rFonts w:ascii="Times New Roman" w:hAnsi="Times New Roman"/>
          <w:i/>
          <w:caps w:val="false"/>
          <w:smallCaps w:val="false"/>
          <w:sz w:val="20"/>
        </w:rPr>
        <w:t>-</w:t>
      </w:r>
      <w:r>
        <w:rPr>
          <w:rStyle w:val="Emphasis"/>
          <w:rFonts w:ascii="Times New Roman" w:hAnsi="Times New Roman"/>
          <w:i/>
          <w:caps w:val="false"/>
          <w:smallCaps w:val="false"/>
          <w:sz w:val="20"/>
        </w:rPr>
        <w:t>02</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02</w:t>
      </w:r>
      <w:r>
        <w:rPr>
          <w:rFonts w:ascii="Times New Roman" w:hAnsi="Times New Roman"/>
          <w:caps w:val="false"/>
          <w:smallCaps w:val="false"/>
          <w:sz w:val="20"/>
        </w:rPr>
        <w:t xml:space="preserve"> requires that we determine, at the inception of an arrangement, whether the arrangement is or contains a lease, based on the unique facts and circumstances present. Operating lease assets represent our right to use an underlying asset for the lease term (</w:t>
      </w:r>
      <w:r>
        <w:rPr>
          <w:rFonts w:ascii="Times New Roman" w:hAnsi="Times New Roman"/>
          <w:i/>
          <w:caps w:val="false"/>
          <w:smallCaps w:val="false"/>
          <w:sz w:val="20"/>
        </w:rPr>
        <w:t>Right-of-use assets</w:t>
      </w:r>
      <w:r>
        <w:rPr>
          <w:rFonts w:ascii="Times New Roman" w:hAnsi="Times New Roman"/>
          <w:caps w:val="false"/>
          <w:smallCaps w:val="false"/>
          <w:sz w:val="20"/>
        </w:rPr>
        <w:t xml:space="preserve">) and operating lease liabilities represent our obligation to make lease payments arising from the lease. Right-of-use assets and operating lease liabilities are recognized at the commencement date of the lease based upon the present value of lease payments over the lease term. When determining the lease term, we include options to extend or terminate the lease when it is reasonably certain, at inception, that we will exercise that option. The interest rate implicit in lease contracts is typically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determinable; accordingly, we use our incremental borrowing rate, which is the rate that would be incurred to borrow on a collateralized basis over a similar term an amount equal to the lease payments in a similar economic environment, based upon the information available at the commencement date. The lease payments used to determine our operating lease assets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lease incentives, stated rent increases and escalation clauses linked to rates of inflation, when determinable, and are recognized in determining our Right-of-use assets. Our operating lease is reflected in the Right-of-use asset – operating lease; Operating lease obligation – current portion; and Operating lease obligation – non-current portion in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Lease expense for minimum lease payments is recognized on a straight-line basis over the lease term. Short-term leases, defined as leases that have a lease term of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or less at the commencement date, are excluded from this treatment and are recognized on a straight-line basis over the term of the lease. Variable lease payments are amounts owed by us to a lessor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fixed, such as reimbursement for common area maintenance costs for our facility lease; and are expensed when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Financing leases, formerly referred to as capitalized leases, are treated similarly to operating leases except that the asset subject to the lease is included in the appropriate fixed asset category, rather than recorded as a Right-of-use asset, and depreciated over its estimated useful life, or lease term, if shorter.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Concentrations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Financial instruments, which potentially subject us to concentrations of credit risk, consist of cash and cash equivalents. Our investment policies limit any such investments to short-term, low-risk instruments. We deposit cash and cash equivalents with financial institutions which are insured to the maximum of federal limitations. Balances in these accounts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exceed federally insured limits at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 derivative instruments for hedging market risks or for trading or speculative purposes. When applicable, we follow the principles of fair value accounting as they relate to our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broad levels is described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7"/>
        <w:gridCol w:w="9998"/>
      </w:tblGrid>
      <w:tr>
        <w:trPr/>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ind w:left="0" w:right="0" w:hanging="0"/>
              <w:jc w:val="both"/>
              <w:rPr/>
            </w:pPr>
            <w:r>
              <w:rPr/>
              <w:t xml:space="preserve">• </w:t>
            </w:r>
          </w:p>
        </w:tc>
        <w:tc>
          <w:tcPr>
            <w:tcW w:w="9998" w:type="dxa"/>
            <w:tcBorders/>
            <w:vAlign w:val="center"/>
          </w:tcPr>
          <w:p>
            <w:pPr>
              <w:pStyle w:val="TableContents"/>
              <w:bidi w:val="0"/>
              <w:spacing w:before="0" w:after="0"/>
              <w:ind w:left="0" w:right="0" w:hanging="0"/>
              <w:jc w:val="both"/>
              <w:rPr/>
            </w:pPr>
            <w:r>
              <w:rPr>
                <w:rFonts w:ascii="Times New Roman;Times;serif" w:hAnsi="Times New Roman;Times;serif"/>
                <w:i/>
                <w:sz w:val="20"/>
              </w:rPr>
              <w:t>Level</w:t>
            </w:r>
            <w:r>
              <w:rPr>
                <w:rFonts w:ascii="Times New Roman;Times;serif" w:hAnsi="Times New Roman;Times;serif"/>
                <w:sz w:val="20"/>
              </w:rPr>
              <w:t xml:space="preserve"> </w:t>
            </w:r>
            <w:r>
              <w:rPr>
                <w:rStyle w:val="Emphasis"/>
                <w:rFonts w:ascii="Times New Roman;Times;serif" w:hAnsi="Times New Roman;Times;serif"/>
                <w:i/>
                <w:sz w:val="20"/>
              </w:rPr>
              <w:t>1</w:t>
            </w:r>
            <w:r>
              <w:rPr>
                <w:rFonts w:ascii="Times New Roman;Times;serif" w:hAnsi="Times New Roman;Times;serif"/>
                <w:sz w:val="20"/>
              </w:rPr>
              <w:t xml:space="preserve"> — Quoted prices (unadjusted) in active markets that are accessible at the measurement date for assets or liabilities. The fair value hierarchy gives the highest priority to Level </w:t>
            </w:r>
            <w:r>
              <w:rPr>
                <w:rStyle w:val="Emphasis"/>
                <w:rFonts w:ascii="Times New Roman;Times;serif" w:hAnsi="Times New Roman;Times;serif"/>
                <w:sz w:val="20"/>
              </w:rPr>
              <w:t>1</w:t>
            </w:r>
            <w:r>
              <w:rPr>
                <w:rFonts w:ascii="Times New Roman;Times;serif" w:hAnsi="Times New Roman;Times;serif"/>
                <w:sz w:val="20"/>
              </w:rPr>
              <w:t xml:space="preserve"> inputs.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1"/>
        <w:gridCol w:w="10014"/>
      </w:tblGrid>
      <w:tr>
        <w:trPr/>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0"/>
              <w:ind w:left="0" w:right="0" w:hanging="0"/>
              <w:jc w:val="both"/>
              <w:rPr/>
            </w:pPr>
            <w:r>
              <w:rPr/>
              <w:t xml:space="preserve">• </w:t>
            </w:r>
          </w:p>
        </w:tc>
        <w:tc>
          <w:tcPr>
            <w:tcW w:w="10014" w:type="dxa"/>
            <w:tcBorders/>
            <w:vAlign w:val="center"/>
          </w:tcPr>
          <w:p>
            <w:pPr>
              <w:pStyle w:val="TableContents"/>
              <w:bidi w:val="0"/>
              <w:spacing w:before="0" w:after="0"/>
              <w:ind w:left="0" w:right="0" w:hanging="0"/>
              <w:jc w:val="both"/>
              <w:rPr/>
            </w:pPr>
            <w:r>
              <w:rPr>
                <w:rFonts w:ascii="Times New Roman;Times;serif" w:hAnsi="Times New Roman;Times;serif"/>
                <w:i/>
                <w:sz w:val="20"/>
              </w:rPr>
              <w:t>Level</w:t>
            </w:r>
            <w:r>
              <w:rPr>
                <w:rFonts w:ascii="Times New Roman;Times;serif" w:hAnsi="Times New Roman;Times;serif"/>
                <w:sz w:val="20"/>
              </w:rPr>
              <w:t xml:space="preserve"> </w:t>
            </w:r>
            <w:r>
              <w:rPr>
                <w:rStyle w:val="Emphasis"/>
                <w:rFonts w:ascii="Times New Roman;Times;serif" w:hAnsi="Times New Roman;Times;serif"/>
                <w:i/>
                <w:sz w:val="20"/>
              </w:rPr>
              <w:t>2</w:t>
            </w:r>
            <w:r>
              <w:rPr>
                <w:rFonts w:ascii="Times New Roman;Times;serif" w:hAnsi="Times New Roman;Times;serif"/>
                <w:sz w:val="20"/>
              </w:rPr>
              <w:t xml:space="preserve"> — Inputs other than Level </w:t>
            </w:r>
            <w:r>
              <w:rPr>
                <w:rStyle w:val="Emphasis"/>
                <w:rFonts w:ascii="Times New Roman;Times;serif" w:hAnsi="Times New Roman;Times;serif"/>
                <w:sz w:val="20"/>
              </w:rPr>
              <w:t>1</w:t>
            </w:r>
            <w:r>
              <w:rPr>
                <w:rFonts w:ascii="Times New Roman;Times;serif" w:hAnsi="Times New Roman;Times;serif"/>
                <w:sz w:val="20"/>
              </w:rPr>
              <w:t xml:space="preserve"> that are observable, either directly or indirectly, such as quoted prices for similar assets or liabilities; quoted prices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or other inputs that are observable or can be corroborated by observable market data for substantially the full term of the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1"/>
        <w:gridCol w:w="10014"/>
      </w:tblGrid>
      <w:tr>
        <w:trPr/>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0"/>
              <w:ind w:left="0" w:right="0" w:hanging="0"/>
              <w:jc w:val="both"/>
              <w:rPr/>
            </w:pPr>
            <w:r>
              <w:rPr/>
              <w:t xml:space="preserve">• </w:t>
            </w:r>
          </w:p>
        </w:tc>
        <w:tc>
          <w:tcPr>
            <w:tcW w:w="10014" w:type="dxa"/>
            <w:tcBorders/>
            <w:vAlign w:val="center"/>
          </w:tcPr>
          <w:p>
            <w:pPr>
              <w:pStyle w:val="TableContents"/>
              <w:bidi w:val="0"/>
              <w:spacing w:before="0" w:after="0"/>
              <w:ind w:left="0" w:right="0" w:hanging="0"/>
              <w:jc w:val="both"/>
              <w:rPr/>
            </w:pPr>
            <w:r>
              <w:rPr>
                <w:rFonts w:ascii="Times New Roman;Times;serif" w:hAnsi="Times New Roman;Times;serif"/>
                <w:i/>
                <w:sz w:val="20"/>
              </w:rPr>
              <w:t>Level</w:t>
            </w:r>
            <w:r>
              <w:rPr>
                <w:rFonts w:ascii="Times New Roman;Times;serif" w:hAnsi="Times New Roman;Times;serif"/>
                <w:sz w:val="20"/>
              </w:rPr>
              <w:t xml:space="preserve"> </w:t>
            </w:r>
            <w:r>
              <w:rPr>
                <w:rStyle w:val="Emphasis"/>
                <w:rFonts w:ascii="Times New Roman;Times;serif" w:hAnsi="Times New Roman;Times;serif"/>
                <w:i/>
                <w:sz w:val="20"/>
              </w:rPr>
              <w:t>3</w:t>
            </w:r>
            <w:r>
              <w:rPr>
                <w:rFonts w:ascii="Times New Roman;Times;serif" w:hAnsi="Times New Roman;Times;serif"/>
                <w:sz w:val="20"/>
              </w:rPr>
              <w:t xml:space="preserve"> — Unobservable inputs (</w:t>
            </w:r>
            <w:r>
              <w:rPr>
                <w:rFonts w:ascii="Times New Roman;Times;serif" w:hAnsi="Times New Roman;Times;serif"/>
                <w:i/>
                <w:sz w:val="20"/>
              </w:rPr>
              <w:t xml:space="preserve">i.e., </w:t>
            </w:r>
            <w:r>
              <w:rPr>
                <w:rFonts w:ascii="Times New Roman;Times;serif" w:hAnsi="Times New Roman;Times;serif"/>
                <w:sz w:val="20"/>
              </w:rPr>
              <w:t xml:space="preserve">inputs that reflect the reporting entity’s own assumptions about the assumptions that market participants would use in estimating the fair value of an asset or liability) are used when little or </w:t>
            </w:r>
            <w:r>
              <w:rPr>
                <w:rStyle w:val="Emphasis"/>
                <w:rFonts w:ascii="Times New Roman;Times;serif" w:hAnsi="Times New Roman;Times;serif"/>
                <w:sz w:val="20"/>
              </w:rPr>
              <w:t>no</w:t>
            </w:r>
            <w:r>
              <w:rPr>
                <w:rFonts w:ascii="Times New Roman;Times;serif" w:hAnsi="Times New Roman;Times;serif"/>
                <w:sz w:val="20"/>
              </w:rPr>
              <w:t xml:space="preserve"> market data is available. The fair value hierarchy gives the lowest priority to Level </w:t>
            </w:r>
            <w:r>
              <w:rPr>
                <w:rStyle w:val="Emphasis"/>
                <w:rFonts w:ascii="Times New Roman;Times;serif" w:hAnsi="Times New Roman;Times;serif"/>
                <w:sz w:val="20"/>
              </w:rPr>
              <w:t>3</w:t>
            </w:r>
            <w:r>
              <w:rPr>
                <w:rFonts w:ascii="Times New Roman;Times;serif" w:hAnsi="Times New Roman;Times;serif"/>
                <w:sz w:val="20"/>
              </w:rPr>
              <w:t xml:space="preserve"> inputs.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A financial instrument’s categorization within the valuation hierarchy is based upon the lowest level of input that is significant to the fair value measurement. Where quoted prices are available in an active market, securities are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valuation hierarchy. If quoted market prices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for the specific financial instrument, then we estimate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within the valuation hierarchy. Our only financial assets that are measured on a recurring basis at fair value were $5,010,800 and $65,094,900 held in money market funds and classified as cash equivalents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Our money market funds are classified within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fair value hierarchy and are valued based on quoted prices in active markets for identical securities. We had no financial liabilities that are measured on a recurring basis at fair value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March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Warrants Issued in Connection with Equity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evaluate the appropriate balance sheet classification of warrants we issue as either equity or as a derivative liability. In accordance with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w:t>
      </w:r>
      <w:r>
        <w:rPr>
          <w:rFonts w:ascii="Times New Roman" w:hAnsi="Times New Roman"/>
          <w:i/>
          <w:caps w:val="false"/>
          <w:smallCaps w:val="false"/>
          <w:sz w:val="20"/>
        </w:rPr>
        <w:t>Derivatives and Hedging-Contracts in the Entity</w:t>
      </w:r>
      <w:r>
        <w:rPr>
          <w:rFonts w:ascii="Times New Roman" w:hAnsi="Times New Roman"/>
          <w:caps w:val="false"/>
          <w:smallCaps w:val="false"/>
          <w:sz w:val="20"/>
        </w:rPr>
        <w:t>’</w:t>
      </w:r>
      <w:r>
        <w:rPr>
          <w:rFonts w:ascii="Times New Roman" w:hAnsi="Times New Roman"/>
          <w:i/>
          <w:caps w:val="false"/>
          <w:smallCaps w:val="false"/>
          <w:sz w:val="20"/>
        </w:rPr>
        <w:t>s Own Equity</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ASC </w:t>
      </w:r>
      <w:r>
        <w:rPr>
          <w:rStyle w:val="Emphasis"/>
          <w:rFonts w:ascii="Times New Roman" w:hAnsi="Times New Roman"/>
          <w:i/>
          <w:caps w:val="false"/>
          <w:smallCaps w:val="false"/>
          <w:sz w:val="20"/>
        </w:rPr>
        <w:t>815</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caps w:val="false"/>
          <w:smallCaps w:val="false"/>
          <w:sz w:val="20"/>
        </w:rPr>
        <w:t xml:space="preserve">), we classify a warrant as equity if it is “indexed to the Company’s equity” and meets several specific conditions for equity classification. A warrant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“indexed to the Company’s equity,” in general, when it contains certain types of exercise contingencies or potential adjustments to its exercise price. If a warrant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indexed to the Company’s equity or it has net cash settlement provisions that result in the warrants being accounted for under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w:t>
      </w:r>
      <w:r>
        <w:rPr>
          <w:rFonts w:ascii="Times New Roman" w:hAnsi="Times New Roman"/>
          <w:i/>
          <w:caps w:val="false"/>
          <w:smallCaps w:val="false"/>
          <w:sz w:val="20"/>
        </w:rPr>
        <w:t>Distinguishing Liabilities from Equity</w:t>
      </w:r>
      <w:r>
        <w:rPr>
          <w:rFonts w:ascii="Times New Roman" w:hAnsi="Times New Roman"/>
          <w:caps w:val="false"/>
          <w:smallCaps w:val="false"/>
          <w:sz w:val="20"/>
        </w:rPr>
        <w:t xml:space="preserve"> or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it is classified as a derivative liability which is carried on the consolidated balance sheet at fair value with any changes in its fair value recognized immediately in the Statement of Operations and Comprehensive Loss.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all of our outstanding warrants were classified as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components of other comprehensive loss other than net loss, and accordingly our comprehensive loss is equivalent to our net loss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Loss per Common Share Attributable to Common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Basic net loss attributable to common stockholders per share of common stock excludes the effect of dilution and has historically been computed by dividing net loss increased by the accrual of dividends on outstanding shares of our Series B 10% Convertible Preferred Stock (</w:t>
      </w:r>
      <w:r>
        <w:rPr>
          <w:rFonts w:ascii="Times New Roman" w:hAnsi="Times New Roman"/>
          <w:i/>
          <w:caps w:val="false"/>
          <w:smallCaps w:val="false"/>
          <w:sz w:val="20"/>
        </w:rPr>
        <w:t>Series B Preferred</w:t>
      </w:r>
      <w:r>
        <w:rPr>
          <w:rFonts w:ascii="Times New Roman" w:hAnsi="Times New Roman"/>
          <w:caps w:val="false"/>
          <w:smallCaps w:val="false"/>
          <w:sz w:val="20"/>
        </w:rPr>
        <w:t xml:space="preserve">) prior to its conversion during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a result of our net loss for both years presented and the conversion of all series of our preferred stock prior to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potentially dilutive securities were excluded from the computation of diluted net loss per share, as their effect would be antidilutive. Potentially dilutive securities excluded in determining diluted net loss attributable to common stockholders per common share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39"/>
        <w:gridCol w:w="60"/>
        <w:gridCol w:w="80"/>
        <w:gridCol w:w="932"/>
        <w:gridCol w:w="60"/>
        <w:gridCol w:w="60"/>
        <w:gridCol w:w="80"/>
        <w:gridCol w:w="932"/>
        <w:gridCol w:w="62"/>
      </w:tblGrid>
      <w:tr>
        <w:trPr/>
        <w:tc>
          <w:tcPr>
            <w:tcW w:w="79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2"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At March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2"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At March 31, </w:t>
            </w:r>
          </w:p>
        </w:tc>
        <w:tc>
          <w:tcPr>
            <w:tcW w:w="62" w:type="dxa"/>
            <w:tcBorders/>
            <w:vAlign w:val="center"/>
          </w:tcPr>
          <w:p>
            <w:pPr>
              <w:pStyle w:val="TableContents"/>
              <w:bidi w:val="0"/>
              <w:spacing w:before="0" w:after="283"/>
              <w:jc w:val="left"/>
              <w:rPr/>
            </w:pPr>
            <w:r>
              <w:rPr/>
              <w:t> </w:t>
            </w:r>
          </w:p>
        </w:tc>
      </w:tr>
      <w:tr>
        <w:trPr/>
        <w:tc>
          <w:tcPr>
            <w:tcW w:w="79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2" w:type="dxa"/>
            <w:tcBorders/>
            <w:vAlign w:val="center"/>
          </w:tcPr>
          <w:p>
            <w:pPr>
              <w:pStyle w:val="TableContents"/>
              <w:bidi w:val="0"/>
              <w:spacing w:before="0" w:after="283"/>
              <w:jc w:val="left"/>
              <w:rPr/>
            </w:pPr>
            <w:r>
              <w:rPr/>
              <w:t> </w:t>
            </w:r>
          </w:p>
        </w:tc>
      </w:tr>
      <w:tr>
        <w:trPr/>
        <w:tc>
          <w:tcPr>
            <w:tcW w:w="79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r>
      <w:tr>
        <w:trPr/>
        <w:tc>
          <w:tcPr>
            <w:tcW w:w="793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options under the Company's Amended and Restated 2016 (formerly 2008) Stock Incentive Plan and 2019 Omnibus Equity Incentive Plan</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646,213</w:t>
            </w:r>
          </w:p>
        </w:tc>
        <w:tc>
          <w:tcPr>
            <w:tcW w:w="62" w:type="dxa"/>
            <w:tcBorders/>
            <w:shd w:fill="CCEEFF" w:val="clear"/>
            <w:vAlign w:val="center"/>
          </w:tcPr>
          <w:p>
            <w:pPr>
              <w:pStyle w:val="TableContents"/>
              <w:bidi w:val="0"/>
              <w:spacing w:before="0" w:after="283"/>
              <w:jc w:val="left"/>
              <w:rPr/>
            </w:pPr>
            <w:r>
              <w:rPr/>
              <w:t> </w:t>
            </w:r>
          </w:p>
        </w:tc>
      </w:tr>
      <w:tr>
        <w:trPr/>
        <w:tc>
          <w:tcPr>
            <w:tcW w:w="79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r>
      <w:tr>
        <w:trPr/>
        <w:tc>
          <w:tcPr>
            <w:tcW w:w="793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warrants to purchase common stock</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309,195</w:t>
            </w:r>
          </w:p>
        </w:tc>
        <w:tc>
          <w:tcPr>
            <w:tcW w:w="62" w:type="dxa"/>
            <w:tcBorders/>
            <w:shd w:fill="CCEEFF" w:val="clear"/>
            <w:vAlign w:val="center"/>
          </w:tcPr>
          <w:p>
            <w:pPr>
              <w:pStyle w:val="TableContents"/>
              <w:bidi w:val="0"/>
              <w:spacing w:before="0" w:after="283"/>
              <w:jc w:val="left"/>
              <w:rPr/>
            </w:pPr>
            <w:r>
              <w:rPr/>
              <w:t> </w:t>
            </w:r>
          </w:p>
        </w:tc>
      </w:tr>
      <w:tr>
        <w:trPr/>
        <w:tc>
          <w:tcPr>
            <w:tcW w:w="793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955,408</w:t>
            </w:r>
          </w:p>
        </w:tc>
        <w:tc>
          <w:tcPr>
            <w:tcW w:w="6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the following recent accounting pronouncements or changes in accounting pronouncements are of significance or potential significance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2020, </w:t>
      </w:r>
      <w:r>
        <w:rPr>
          <w:rFonts w:ascii="Times New Roman" w:hAnsi="Times New Roman"/>
          <w:caps w:val="false"/>
          <w:smallCaps w:val="false"/>
          <w:sz w:val="20"/>
        </w:rPr>
        <w:t>the Financial Accounting Standards Board (</w:t>
      </w:r>
      <w:r>
        <w:rPr>
          <w:rFonts w:ascii="Times New Roman" w:hAnsi="Times New Roman"/>
          <w:i/>
          <w:caps w:val="false"/>
          <w:smallCaps w:val="false"/>
          <w:sz w:val="20"/>
        </w:rPr>
        <w:t>FASB</w:t>
      </w:r>
      <w:r>
        <w:rPr>
          <w:rFonts w:ascii="Times New Roman" w:hAnsi="Times New Roman"/>
          <w:caps w:val="false"/>
          <w:smallCaps w:val="false"/>
          <w:sz w:val="20"/>
        </w:rPr>
        <w:t xml:space="preserve">) issued ASU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Debt – </w:t>
      </w:r>
      <w:r>
        <w:rPr>
          <w:rFonts w:ascii="Times New Roman" w:hAnsi="Times New Roman"/>
          <w:i/>
          <w:caps w:val="false"/>
          <w:smallCaps w:val="false"/>
          <w:sz w:val="20"/>
        </w:rPr>
        <w:t xml:space="preserve">Debt with Conversion and Other Options (Subtopic </w:t>
      </w:r>
      <w:r>
        <w:rPr>
          <w:rStyle w:val="Emphasis"/>
          <w:rFonts w:ascii="Times New Roman" w:hAnsi="Times New Roman"/>
          <w:i/>
          <w:caps w:val="false"/>
          <w:smallCaps w:val="false"/>
          <w:sz w:val="20"/>
        </w:rPr>
        <w:t>470</w:t>
      </w:r>
      <w:r>
        <w:rPr>
          <w:rFonts w:ascii="Times New Roman" w:hAnsi="Times New Roman"/>
          <w:i/>
          <w:caps w:val="false"/>
          <w:smallCaps w:val="false"/>
          <w:sz w:val="20"/>
        </w:rPr>
        <w:t xml:space="preserve">- </w:t>
      </w:r>
      <w:r>
        <w:rPr>
          <w:rStyle w:val="Emphasis"/>
          <w:rFonts w:ascii="Times New Roman" w:hAnsi="Times New Roman"/>
          <w:i/>
          <w:caps w:val="false"/>
          <w:smallCaps w:val="false"/>
          <w:sz w:val="20"/>
        </w:rPr>
        <w:t>20</w:t>
      </w:r>
      <w:r>
        <w:rPr>
          <w:rFonts w:ascii="Times New Roman" w:hAnsi="Times New Roman"/>
          <w:i/>
          <w:caps w:val="false"/>
          <w:smallCaps w:val="false"/>
          <w:sz w:val="20"/>
        </w:rPr>
        <w:t xml:space="preserve">) and Derivatives and Hedging </w:t>
      </w:r>
      <w:r>
        <w:rPr>
          <w:rFonts w:ascii="Times New Roman" w:hAnsi="Times New Roman"/>
          <w:caps w:val="false"/>
          <w:smallCaps w:val="false"/>
          <w:sz w:val="20"/>
        </w:rPr>
        <w:t xml:space="preserve">– </w:t>
      </w:r>
      <w:r>
        <w:rPr>
          <w:rFonts w:ascii="Times New Roman" w:hAnsi="Times New Roman"/>
          <w:i/>
          <w:caps w:val="false"/>
          <w:smallCaps w:val="false"/>
          <w:sz w:val="20"/>
        </w:rPr>
        <w:t>Contracts in Entity</w:t>
      </w:r>
      <w:r>
        <w:rPr>
          <w:rFonts w:ascii="Times New Roman" w:hAnsi="Times New Roman"/>
          <w:caps w:val="false"/>
          <w:smallCaps w:val="false"/>
          <w:sz w:val="20"/>
        </w:rPr>
        <w:t>’</w:t>
      </w:r>
      <w:r>
        <w:rPr>
          <w:rFonts w:ascii="Times New Roman" w:hAnsi="Times New Roman"/>
          <w:i/>
          <w:caps w:val="false"/>
          <w:smallCaps w:val="false"/>
          <w:sz w:val="20"/>
        </w:rPr>
        <w:t>s Own Equity</w:t>
      </w:r>
      <w:r>
        <w:rPr>
          <w:rFonts w:ascii="Times New Roman" w:hAnsi="Times New Roman"/>
          <w:caps w:val="false"/>
          <w:smallCaps w:val="false"/>
          <w:sz w:val="20"/>
        </w:rPr>
        <w:t xml:space="preserve"> (Subtopic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Accounting for Convertible Instruments and Contracts in an Entity’s Own Equity (</w:t>
      </w:r>
      <w:r>
        <w:rPr>
          <w:rFonts w:ascii="Times New Roman" w:hAnsi="Times New Roman"/>
          <w:i/>
          <w:caps w:val="false"/>
          <w:smallCaps w:val="false"/>
          <w:sz w:val="20"/>
        </w:rPr>
        <w:t xml:space="preserve">ASU </w:t>
      </w:r>
      <w:r>
        <w:rPr>
          <w:rStyle w:val="Emphasis"/>
          <w:rFonts w:ascii="Times New Roman" w:hAnsi="Times New Roman"/>
          <w:i/>
          <w:caps w:val="false"/>
          <w:smallCaps w:val="false"/>
          <w:sz w:val="20"/>
        </w:rPr>
        <w:t>2020</w:t>
      </w:r>
      <w:r>
        <w:rPr>
          <w:rFonts w:ascii="Times New Roman" w:hAnsi="Times New Roman"/>
          <w:i/>
          <w:caps w:val="false"/>
          <w:smallCaps w:val="false"/>
          <w:sz w:val="20"/>
        </w:rPr>
        <w:t>-</w:t>
      </w:r>
      <w:r>
        <w:rPr>
          <w:rStyle w:val="Emphasis"/>
          <w:rFonts w:ascii="Times New Roman" w:hAnsi="Times New Roman"/>
          <w:i/>
          <w:caps w:val="false"/>
          <w:smallCaps w:val="false"/>
          <w:sz w:val="20"/>
        </w:rPr>
        <w:t>06</w:t>
      </w:r>
      <w:r>
        <w:rPr>
          <w:rFonts w:ascii="Times New Roman" w:hAnsi="Times New Roman"/>
          <w:caps w:val="false"/>
          <w:smallCaps w:val="false"/>
          <w:sz w:val="20"/>
        </w:rPr>
        <w:t>), to reduce complexity in applying GAAP to certain financial instruments with characteristics of liabilities and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guidance in ASU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simplifies the accounting for convertible debt instruments and convertible preferred stock by removing the existing guidance in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Debt: Debt with Conversion and Other Options, that requires entities to account for beneficial conversion features and cash conversion features in equity, separately from the host convertible debt or preferred stock. The guidance in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applies to convertible instruments for which the embedded conversion features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to be bifurcated from the host contract and accounted for as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addition, the amendments revise the scope exception from derivative accounting in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for freestanding financial instruments and embedded features that are both indexed to the issuer’s own stock and classified in stockholders’ equity, by removing certain criteria required for equity classification. These amendments are expected to result in more freestanding financial instruments qualifying for equity classification (and,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accounted for as derivatives), as well as fewer embedded features requiring separate accounting from the host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amendments in ASU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further revise the guidance in ASC </w:t>
      </w:r>
      <w:r>
        <w:rPr>
          <w:rStyle w:val="Emphasis"/>
          <w:rFonts w:ascii="Times New Roman" w:hAnsi="Times New Roman"/>
          <w:caps w:val="false"/>
          <w:smallCaps w:val="false"/>
          <w:sz w:val="20"/>
        </w:rPr>
        <w:t>260,</w:t>
      </w:r>
      <w:r>
        <w:rPr>
          <w:rFonts w:ascii="Times New Roman" w:hAnsi="Times New Roman"/>
          <w:caps w:val="false"/>
          <w:smallCaps w:val="false"/>
          <w:sz w:val="20"/>
        </w:rPr>
        <w:t xml:space="preserve"> </w:t>
      </w:r>
      <w:r>
        <w:rPr>
          <w:rFonts w:ascii="Times New Roman" w:hAnsi="Times New Roman"/>
          <w:i/>
          <w:caps w:val="false"/>
          <w:smallCaps w:val="false"/>
          <w:sz w:val="20"/>
        </w:rPr>
        <w:t>Earnings Per Share</w:t>
      </w:r>
      <w:r>
        <w:rPr>
          <w:rFonts w:ascii="Times New Roman" w:hAnsi="Times New Roman"/>
          <w:caps w:val="false"/>
          <w:smallCaps w:val="false"/>
          <w:sz w:val="20"/>
        </w:rPr>
        <w:t xml:space="preserve">, to require entities to calculate diluted earnings per share (EPS) for convertible instruments by using the if-converted method. In addition, entities must presume share settlement for purposes of calculating diluted EPS when an instrument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settled in cash or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amendments in ASU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are effective for our fiscal year beginning </w:t>
      </w:r>
      <w:r>
        <w:rPr>
          <w:rStyle w:val="Emphasis"/>
          <w:rFonts w:ascii="Times New Roman" w:hAnsi="Times New Roman"/>
          <w:caps w:val="false"/>
          <w:smallCaps w:val="false"/>
          <w:sz w:val="20"/>
        </w:rPr>
        <w:t xml:space="preserve">April 1, 2024. </w:t>
      </w:r>
      <w:r>
        <w:rPr>
          <w:rFonts w:ascii="Times New Roman" w:hAnsi="Times New Roman"/>
          <w:caps w:val="false"/>
          <w:smallCaps w:val="false"/>
          <w:sz w:val="20"/>
        </w:rPr>
        <w:t xml:space="preserve">We are evaluating the impact of this new guidance, but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our adoption of ASU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will have a material impact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Other accounting standards that have been issued or proposed by the FASB or other standards-setting bodies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adoption until a future date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impact on our Consolidated Financial Statements upon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 are composed of the following:</w:t>
      </w:r>
    </w:p>
    <w:p>
      <w:pPr>
        <w:pStyle w:val="TextBody"/>
        <w:bidi w:val="0"/>
        <w:spacing w:before="0" w:after="0"/>
        <w:ind w:left="0" w:right="0" w:hanging="0"/>
        <w:jc w:val="left"/>
        <w:rPr>
          <w:caps w:val="false"/>
          <w:smallCaps w:val="false"/>
        </w:rPr>
      </w:pPr>
      <w:r>
        <w:rPr>
          <w:caps w:val="false"/>
          <w:smallCaps w:val="false"/>
        </w:rPr>
        <w:t> </w:t>
      </w:r>
    </w:p>
    <w:tbl>
      <w:tblPr>
        <w:tblW w:w="6664" w:type="dxa"/>
        <w:jc w:val="left"/>
        <w:tblInd w:w="0" w:type="dxa"/>
        <w:tblLayout w:type="fixed"/>
        <w:tblCellMar>
          <w:top w:w="0" w:type="dxa"/>
          <w:left w:w="0" w:type="dxa"/>
          <w:bottom w:w="0" w:type="dxa"/>
          <w:right w:w="0" w:type="dxa"/>
        </w:tblCellMar>
      </w:tblPr>
      <w:tblGrid>
        <w:gridCol w:w="4520"/>
        <w:gridCol w:w="60"/>
        <w:gridCol w:w="142"/>
        <w:gridCol w:w="792"/>
        <w:gridCol w:w="60"/>
        <w:gridCol w:w="60"/>
        <w:gridCol w:w="125"/>
        <w:gridCol w:w="845"/>
        <w:gridCol w:w="60"/>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tc>
        <w:tc>
          <w:tcPr>
            <w:tcW w:w="60"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Clinical and nonclinical materials and contract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2,139,600</w:t>
            </w:r>
          </w:p>
        </w:tc>
        <w:tc>
          <w:tcPr>
            <w:tcW w:w="6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196,500</w:t>
            </w:r>
          </w:p>
        </w:tc>
        <w:tc>
          <w:tcPr>
            <w:tcW w:w="6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Receivable from CRO for cancelled project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337,900</w:t>
            </w:r>
          </w:p>
        </w:tc>
        <w:tc>
          <w:tcPr>
            <w:tcW w:w="6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Receivable from collaboration partner</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71,800</w:t>
            </w:r>
          </w:p>
        </w:tc>
        <w:tc>
          <w:tcPr>
            <w:tcW w:w="6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802,700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2,745,800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amount reported as receivable from CRO for cancelled project at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represents the amount of prepayments on a cancelled project net of expenses incurred by the CRO prior to project cancellation and was refunded to us in </w:t>
      </w:r>
      <w:r>
        <w:rPr>
          <w:rStyle w:val="Emphasis"/>
          <w:rFonts w:ascii="Times New Roman" w:hAnsi="Times New Roman"/>
          <w:caps w:val="false"/>
          <w:smallCaps w:val="false"/>
          <w:sz w:val="20"/>
        </w:rPr>
        <w:t xml:space="preserve">July 2022. </w:t>
      </w:r>
      <w:r>
        <w:rPr>
          <w:rFonts w:ascii="Times New Roman" w:hAnsi="Times New Roman"/>
          <w:caps w:val="false"/>
          <w:smallCaps w:val="false"/>
          <w:sz w:val="20"/>
        </w:rPr>
        <w:t xml:space="preserve">The amount reported as receivable from collaboration partner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represents payments we made to two CROs and another service provider for clinical trial services on behalf of our collaboration partner. At the date of this Report, our collaboration partner has reimbursed us for $174,700 of these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 is composed of the following:</w:t>
      </w:r>
    </w:p>
    <w:p>
      <w:pPr>
        <w:pStyle w:val="TextBody"/>
        <w:bidi w:val="0"/>
        <w:spacing w:before="0" w:after="0"/>
        <w:ind w:left="0" w:right="0" w:hanging="0"/>
        <w:jc w:val="left"/>
        <w:rPr>
          <w:caps w:val="false"/>
          <w:smallCaps w:val="false"/>
        </w:rPr>
      </w:pPr>
      <w:r>
        <w:rPr>
          <w:caps w:val="false"/>
          <w:smallCaps w:val="false"/>
        </w:rPr>
        <w:t> </w:t>
      </w:r>
    </w:p>
    <w:tbl>
      <w:tblPr>
        <w:tblW w:w="5930" w:type="dxa"/>
        <w:jc w:val="left"/>
        <w:tblInd w:w="0" w:type="dxa"/>
        <w:tblLayout w:type="fixed"/>
        <w:tblCellMar>
          <w:top w:w="0" w:type="dxa"/>
          <w:left w:w="0" w:type="dxa"/>
          <w:bottom w:w="0" w:type="dxa"/>
          <w:right w:w="0" w:type="dxa"/>
        </w:tblCellMar>
      </w:tblPr>
      <w:tblGrid>
        <w:gridCol w:w="3590"/>
        <w:gridCol w:w="60"/>
        <w:gridCol w:w="125"/>
        <w:gridCol w:w="905"/>
        <w:gridCol w:w="80"/>
        <w:gridCol w:w="60"/>
        <w:gridCol w:w="125"/>
        <w:gridCol w:w="905"/>
        <w:gridCol w:w="8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tc>
        <w:tc>
          <w:tcPr>
            <w:tcW w:w="8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Laboratory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1,234,800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1,181,300</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Tenant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214,400</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 furniture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76,200</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Manufacturing equipment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211,200</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1,700,700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1,683,100</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(1,193,400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(1,268,800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414,300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amounts reported above for manufacturing equipment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reflect the cost of certain process equipment acquired in connection with the manufacture of fasedienol drug product and placed in service at our CRO’s facilities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Included in amounts reported above for office furniture and equipment is the right-of-use asset related to a financing lease of certain office equipment. Amounts associated with assets subject to the financing lease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are as follows:</w:t>
      </w:r>
    </w:p>
    <w:p>
      <w:pPr>
        <w:pStyle w:val="TextBody"/>
        <w:bidi w:val="0"/>
        <w:spacing w:before="0" w:after="0"/>
        <w:ind w:left="0" w:right="0" w:hanging="0"/>
        <w:jc w:val="left"/>
        <w:rPr>
          <w:caps w:val="false"/>
          <w:smallCaps w:val="false"/>
        </w:rPr>
      </w:pPr>
      <w:r>
        <w:rPr>
          <w:caps w:val="false"/>
          <w:smallCaps w:val="false"/>
        </w:rPr>
        <w:t> </w:t>
      </w:r>
    </w:p>
    <w:tbl>
      <w:tblPr>
        <w:tblW w:w="7073" w:type="dxa"/>
        <w:jc w:val="left"/>
        <w:tblInd w:w="0" w:type="dxa"/>
        <w:tblLayout w:type="fixed"/>
        <w:tblCellMar>
          <w:top w:w="0" w:type="dxa"/>
          <w:left w:w="0" w:type="dxa"/>
          <w:bottom w:w="0" w:type="dxa"/>
          <w:right w:w="0" w:type="dxa"/>
        </w:tblCellMar>
      </w:tblPr>
      <w:tblGrid>
        <w:gridCol w:w="5015"/>
        <w:gridCol w:w="60"/>
        <w:gridCol w:w="155"/>
        <w:gridCol w:w="734"/>
        <w:gridCol w:w="80"/>
        <w:gridCol w:w="60"/>
        <w:gridCol w:w="143"/>
        <w:gridCol w:w="746"/>
        <w:gridCol w:w="8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8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 equipment subject to financing lease</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14,700</w:t>
            </w:r>
          </w:p>
        </w:tc>
        <w:tc>
          <w:tcPr>
            <w:tcW w:w="8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book value of office equipment subject to financing lease</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fully depreciated office equipment reported at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was subject to a lease that expired in </w:t>
      </w:r>
      <w:r>
        <w:rPr>
          <w:rStyle w:val="Emphasis"/>
          <w:rFonts w:ascii="Times New Roman" w:hAnsi="Times New Roman"/>
          <w:caps w:val="false"/>
          <w:smallCaps w:val="false"/>
          <w:sz w:val="20"/>
        </w:rPr>
        <w:t xml:space="preserve">January 2022. </w:t>
      </w:r>
      <w:r>
        <w:rPr>
          <w:rFonts w:ascii="Times New Roman" w:hAnsi="Times New Roman"/>
          <w:caps w:val="false"/>
          <w:smallCaps w:val="false"/>
          <w:sz w:val="20"/>
        </w:rPr>
        <w:t xml:space="preserve">That equipment was replaced subject to a new lease in </w:t>
      </w:r>
      <w:r>
        <w:rPr>
          <w:rStyle w:val="Emphasis"/>
          <w:rFonts w:ascii="Times New Roman" w:hAnsi="Times New Roman"/>
          <w:caps w:val="false"/>
          <w:smallCaps w:val="false"/>
          <w:sz w:val="20"/>
        </w:rPr>
        <w:t xml:space="preserve">April 2022. </w:t>
      </w:r>
      <w:r>
        <w:rPr>
          <w:rFonts w:ascii="Times New Roman" w:hAnsi="Times New Roman"/>
          <w:caps w:val="false"/>
          <w:smallCaps w:val="false"/>
          <w:sz w:val="20"/>
        </w:rPr>
        <w:t xml:space="preserve">The new lease requires a monthly payment of approximately $200 through </w:t>
      </w:r>
      <w:r>
        <w:rPr>
          <w:rStyle w:val="Emphasis"/>
          <w:rFonts w:ascii="Times New Roman" w:hAnsi="Times New Roman"/>
          <w:caps w:val="false"/>
          <w:smallCaps w:val="false"/>
          <w:sz w:val="20"/>
        </w:rPr>
        <w:t xml:space="preserve">June 2027. </w:t>
      </w:r>
      <w:r>
        <w:rPr>
          <w:rFonts w:ascii="Times New Roman" w:hAnsi="Times New Roman"/>
          <w:caps w:val="false"/>
          <w:smallCaps w:val="false"/>
          <w:sz w:val="20"/>
        </w:rPr>
        <w:t xml:space="preserve">Other than certain leased office equipment,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our assets were subject 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security interests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summarizes depreciation and amortization expense attributable to owned and leased property and equipment for the fiscal years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p>
    <w:p>
      <w:pPr>
        <w:pStyle w:val="TextBody"/>
        <w:bidi w:val="0"/>
        <w:spacing w:before="0" w:after="0"/>
        <w:ind w:left="0" w:right="0" w:hanging="0"/>
        <w:jc w:val="left"/>
        <w:rPr>
          <w:caps w:val="false"/>
          <w:smallCaps w:val="false"/>
        </w:rPr>
      </w:pPr>
      <w:r>
        <w:rPr>
          <w:caps w:val="false"/>
          <w:smallCaps w:val="false"/>
        </w:rPr>
        <w:t> </w:t>
      </w:r>
    </w:p>
    <w:tbl>
      <w:tblPr>
        <w:tblW w:w="5677" w:type="dxa"/>
        <w:jc w:val="left"/>
        <w:tblInd w:w="0" w:type="dxa"/>
        <w:tblLayout w:type="fixed"/>
        <w:tblCellMar>
          <w:top w:w="0" w:type="dxa"/>
          <w:left w:w="0" w:type="dxa"/>
          <w:bottom w:w="0" w:type="dxa"/>
          <w:right w:w="0" w:type="dxa"/>
        </w:tblCellMar>
      </w:tblPr>
      <w:tblGrid>
        <w:gridCol w:w="2945"/>
        <w:gridCol w:w="60"/>
        <w:gridCol w:w="185"/>
        <w:gridCol w:w="1032"/>
        <w:gridCol w:w="89"/>
        <w:gridCol w:w="89"/>
        <w:gridCol w:w="185"/>
        <w:gridCol w:w="1032"/>
        <w:gridCol w:w="60"/>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Fiscal Years Ended March 31, </w:t>
            </w:r>
          </w:p>
        </w:tc>
        <w:tc>
          <w:tcPr>
            <w:tcW w:w="60"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127,500</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151,200</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Leased assets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2,300</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depreciation and amortization</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129,500</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153,500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Accrued expenses are composed of the following:</w:t>
      </w:r>
    </w:p>
    <w:p>
      <w:pPr>
        <w:pStyle w:val="TextBody"/>
        <w:bidi w:val="0"/>
        <w:spacing w:before="0" w:after="0"/>
        <w:ind w:left="0" w:right="0" w:hanging="0"/>
        <w:jc w:val="both"/>
        <w:rPr>
          <w:caps w:val="false"/>
          <w:smallCaps w:val="false"/>
        </w:rPr>
      </w:pPr>
      <w:r>
        <w:rPr>
          <w:caps w:val="false"/>
          <w:smallCaps w:val="false"/>
        </w:rPr>
        <w:t> </w:t>
      </w:r>
    </w:p>
    <w:tbl>
      <w:tblPr>
        <w:tblW w:w="9544" w:type="dxa"/>
        <w:jc w:val="left"/>
        <w:tblInd w:w="0" w:type="dxa"/>
        <w:tblLayout w:type="fixed"/>
        <w:tblCellMar>
          <w:top w:w="0" w:type="dxa"/>
          <w:left w:w="0" w:type="dxa"/>
          <w:bottom w:w="0" w:type="dxa"/>
          <w:right w:w="0" w:type="dxa"/>
        </w:tblCellMar>
      </w:tblPr>
      <w:tblGrid>
        <w:gridCol w:w="7400"/>
        <w:gridCol w:w="60"/>
        <w:gridCol w:w="142"/>
        <w:gridCol w:w="792"/>
        <w:gridCol w:w="60"/>
        <w:gridCol w:w="60"/>
        <w:gridCol w:w="125"/>
        <w:gridCol w:w="845"/>
        <w:gridCol w:w="60"/>
      </w:tblGrid>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tc>
        <w:tc>
          <w:tcPr>
            <w:tcW w:w="6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for clinical and nonclinical materials, development and contract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1,070,800</w:t>
            </w:r>
          </w:p>
        </w:tc>
        <w:tc>
          <w:tcPr>
            <w:tcW w:w="6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66,200</w:t>
            </w:r>
          </w:p>
        </w:tc>
        <w:tc>
          <w:tcPr>
            <w:tcW w:w="6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professional services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159,500</w:t>
            </w:r>
          </w:p>
        </w:tc>
        <w:tc>
          <w:tcPr>
            <w:tcW w:w="6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32,700</w:t>
            </w:r>
          </w:p>
        </w:tc>
        <w:tc>
          <w:tcPr>
            <w:tcW w:w="6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787,400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1,329,200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both periods, accrued expenses for clinical and nonclinical services includes accrued clinical trial expenses and other amounts accrued for contract manufacturing and product development services. Accrued compensation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includes an accrual of $300,000 representing an estimated liability associated with matters related to a terminated former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Note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summarizes our outstanding note payable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23"/>
        <w:gridCol w:w="60"/>
        <w:gridCol w:w="125"/>
        <w:gridCol w:w="695"/>
        <w:gridCol w:w="60"/>
        <w:gridCol w:w="60"/>
        <w:gridCol w:w="423"/>
        <w:gridCol w:w="272"/>
        <w:gridCol w:w="60"/>
        <w:gridCol w:w="60"/>
        <w:gridCol w:w="125"/>
        <w:gridCol w:w="695"/>
        <w:gridCol w:w="60"/>
        <w:gridCol w:w="60"/>
        <w:gridCol w:w="460"/>
        <w:gridCol w:w="295"/>
        <w:gridCol w:w="90"/>
        <w:gridCol w:w="90"/>
        <w:gridCol w:w="423"/>
        <w:gridCol w:w="272"/>
        <w:gridCol w:w="90"/>
        <w:gridCol w:w="90"/>
        <w:gridCol w:w="277"/>
        <w:gridCol w:w="178"/>
        <w:gridCol w:w="62"/>
      </w:tblGrid>
      <w:tr>
        <w:trPr/>
        <w:tc>
          <w:tcPr>
            <w:tcW w:w="51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7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6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2022</w:t>
            </w:r>
          </w:p>
        </w:tc>
        <w:tc>
          <w:tcPr>
            <w:tcW w:w="62" w:type="dxa"/>
            <w:tcBorders/>
            <w:vAlign w:val="center"/>
          </w:tcPr>
          <w:p>
            <w:pPr>
              <w:pStyle w:val="TableContents"/>
              <w:bidi w:val="0"/>
              <w:spacing w:before="0" w:after="283"/>
              <w:jc w:val="left"/>
              <w:rPr/>
            </w:pPr>
            <w:r>
              <w:rPr/>
              <w:t> </w:t>
            </w:r>
          </w:p>
        </w:tc>
      </w:tr>
      <w:tr>
        <w:trPr/>
        <w:tc>
          <w:tcPr>
            <w:tcW w:w="51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Accrued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Accrued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r>
      <w:tr>
        <w:trPr/>
        <w:tc>
          <w:tcPr>
            <w:tcW w:w="51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Interest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Interest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62" w:type="dxa"/>
            <w:tcBorders/>
            <w:vAlign w:val="center"/>
          </w:tcPr>
          <w:p>
            <w:pPr>
              <w:pStyle w:val="TableContents"/>
              <w:bidi w:val="0"/>
              <w:spacing w:before="0" w:after="283"/>
              <w:jc w:val="left"/>
              <w:rPr/>
            </w:pPr>
            <w:r>
              <w:rPr/>
              <w:t> </w:t>
            </w:r>
          </w:p>
        </w:tc>
      </w:tr>
      <w:tr>
        <w:trPr/>
        <w:tc>
          <w:tcPr>
            <w:tcW w:w="51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r>
      <w:tr>
        <w:trPr/>
        <w:tc>
          <w:tcPr>
            <w:tcW w:w="5123"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3.88% Note payable to insurance premium financing company (current)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4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2022, </w:t>
      </w:r>
      <w:r>
        <w:rPr>
          <w:rFonts w:ascii="Times New Roman" w:hAnsi="Times New Roman"/>
          <w:caps w:val="false"/>
          <w:smallCaps w:val="false"/>
          <w:sz w:val="20"/>
        </w:rPr>
        <w:t xml:space="preserve">we executed a 3.88% promissory note in the principal amount of $1,139,700 in connection with certain insurance policy premiums. The note is payable in monthly installments of $105,600, including principal and interest, through </w:t>
      </w:r>
      <w:r>
        <w:rPr>
          <w:rStyle w:val="Emphasis"/>
          <w:rFonts w:ascii="Times New Roman" w:hAnsi="Times New Roman"/>
          <w:caps w:val="false"/>
          <w:smallCaps w:val="false"/>
          <w:sz w:val="20"/>
        </w:rPr>
        <w:t>April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rPr>
        <w:t xml:space="preserve">Capital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our Special Meeting of Stockholders on </w:t>
      </w:r>
      <w:r>
        <w:rPr>
          <w:rStyle w:val="Emphasis"/>
          <w:rFonts w:ascii="Times New Roman" w:hAnsi="Times New Roman"/>
          <w:caps w:val="false"/>
          <w:smallCaps w:val="false"/>
          <w:sz w:val="20"/>
        </w:rPr>
        <w:t xml:space="preserve">March 5, 2021, </w:t>
      </w:r>
      <w:r>
        <w:rPr>
          <w:rFonts w:ascii="Times New Roman" w:hAnsi="Times New Roman"/>
          <w:caps w:val="false"/>
          <w:smallCaps w:val="false"/>
          <w:sz w:val="20"/>
        </w:rPr>
        <w:t xml:space="preserve">as approved by and recommended to our stockholders by our Board, our stockholders approved an amendment to our Restated Articles of Incorporation to increase the authorized number of shares of common stock that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issue from 175.0 million shares to 325.0 million shares. The amendment became effective on </w:t>
      </w:r>
      <w:r>
        <w:rPr>
          <w:rStyle w:val="Emphasis"/>
          <w:rFonts w:ascii="Times New Roman" w:hAnsi="Times New Roman"/>
          <w:caps w:val="false"/>
          <w:smallCaps w:val="false"/>
          <w:sz w:val="20"/>
        </w:rPr>
        <w:t xml:space="preserve">March 5, 2021, </w:t>
      </w:r>
      <w:r>
        <w:rPr>
          <w:rFonts w:ascii="Times New Roman" w:hAnsi="Times New Roman"/>
          <w:caps w:val="false"/>
          <w:smallCaps w:val="false"/>
          <w:sz w:val="20"/>
        </w:rPr>
        <w:t xml:space="preserve">upon our filing of a certificate of amendment with the Nevada Secretary of State. In connection with an underwritten public offering of our common stock and warrants in </w:t>
      </w:r>
      <w:r>
        <w:rPr>
          <w:rStyle w:val="Emphasis"/>
          <w:rFonts w:ascii="Times New Roman" w:hAnsi="Times New Roman"/>
          <w:caps w:val="false"/>
          <w:smallCaps w:val="false"/>
          <w:sz w:val="20"/>
        </w:rPr>
        <w:t xml:space="preserve">May 2016, </w:t>
      </w:r>
      <w:r>
        <w:rPr>
          <w:rFonts w:ascii="Times New Roman" w:hAnsi="Times New Roman"/>
          <w:caps w:val="false"/>
          <w:smallCaps w:val="false"/>
          <w:sz w:val="20"/>
        </w:rPr>
        <w:t xml:space="preserve">our common stock was approved for listing on the Nasdaq Capital Market. Our common stock has traded on the Nasdaq Capital Market under the symbol “VTGN” since </w:t>
      </w:r>
      <w:r>
        <w:rPr>
          <w:rStyle w:val="Emphasis"/>
          <w:rFonts w:ascii="Times New Roman" w:hAnsi="Times New Roman"/>
          <w:caps w:val="false"/>
          <w:smallCaps w:val="false"/>
          <w:sz w:val="20"/>
        </w:rPr>
        <w:t>May 11, 2016.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Series 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2011, </w:t>
      </w:r>
      <w:r>
        <w:rPr>
          <w:rFonts w:ascii="Times New Roman" w:hAnsi="Times New Roman"/>
          <w:caps w:val="false"/>
          <w:smallCaps w:val="false"/>
          <w:sz w:val="20"/>
        </w:rPr>
        <w:t>our Board authorized the creation of a series of up to 500,000 shares of Series A Preferred, par value $0.001 (</w:t>
      </w:r>
      <w:r>
        <w:rPr>
          <w:rFonts w:ascii="Times New Roman" w:hAnsi="Times New Roman"/>
          <w:i/>
          <w:caps w:val="false"/>
          <w:smallCaps w:val="false"/>
          <w:sz w:val="20"/>
        </w:rPr>
        <w:t>Series A Preferred</w:t>
      </w:r>
      <w:r>
        <w:rPr>
          <w:rFonts w:ascii="Times New Roman" w:hAnsi="Times New Roman"/>
          <w:caps w:val="false"/>
          <w:smallCaps w:val="false"/>
          <w:sz w:val="20"/>
        </w:rPr>
        <w:t>).  Each restricted share of Series A Preferred was convertible at the option of the holder into one-</w:t>
      </w:r>
      <w:r>
        <w:rPr>
          <w:rStyle w:val="Emphasis"/>
          <w:rFonts w:ascii="Times New Roman" w:hAnsi="Times New Roman"/>
          <w:caps w:val="false"/>
          <w:smallCaps w:val="false"/>
          <w:sz w:val="20"/>
        </w:rPr>
        <w:t>twentieth</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1/20</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restricted share of our common stock.  The Series A Preferred ranked prior to the common stock for purposes of liquidation preference.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March 31, 2021, </w:t>
      </w:r>
      <w:r>
        <w:rPr>
          <w:rFonts w:ascii="Times New Roman" w:hAnsi="Times New Roman"/>
          <w:caps w:val="false"/>
          <w:smallCaps w:val="false"/>
          <w:sz w:val="20"/>
        </w:rPr>
        <w:t xml:space="preserve">there were 500,000 restricted shares of Series A Preferred outstanding, convertible into 25,000 shares of our common stock at the option of the holders.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the custodial holder of the 500,000 outstanding shares of our Series A Preferred exercised its rights for conversion into common stock and we issued 25,000 unregistered shares of our common stock. In </w:t>
      </w:r>
      <w:r>
        <w:rPr>
          <w:rStyle w:val="Emphasis"/>
          <w:rFonts w:ascii="Times New Roman" w:hAnsi="Times New Roman"/>
          <w:caps w:val="false"/>
          <w:smallCaps w:val="false"/>
          <w:sz w:val="20"/>
        </w:rPr>
        <w:t xml:space="preserve">November 2022, </w:t>
      </w:r>
      <w:r>
        <w:rPr>
          <w:rFonts w:ascii="Times New Roman" w:hAnsi="Times New Roman"/>
          <w:caps w:val="false"/>
          <w:smallCaps w:val="false"/>
          <w:sz w:val="20"/>
        </w:rPr>
        <w:t>the Company filed a Certificate of Withdrawal of the Relative Rights and Preferences of the Series A Convertible Preferred Stock with the Nevada Secretary of State and the Series A Preferred was retired.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Series B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2014, </w:t>
      </w:r>
      <w:r>
        <w:rPr>
          <w:rFonts w:ascii="Times New Roman" w:hAnsi="Times New Roman"/>
          <w:caps w:val="false"/>
          <w:smallCaps w:val="false"/>
          <w:sz w:val="20"/>
        </w:rPr>
        <w:t>our Board authorized the creation of a class of Series B Preferred Stock, par value $0.001 (</w:t>
      </w:r>
      <w:r>
        <w:rPr>
          <w:rFonts w:ascii="Times New Roman" w:hAnsi="Times New Roman"/>
          <w:i/>
          <w:caps w:val="false"/>
          <w:smallCaps w:val="false"/>
          <w:sz w:val="20"/>
        </w:rPr>
        <w:t>Series B Preferred</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May 2015, </w:t>
      </w:r>
      <w:r>
        <w:rPr>
          <w:rFonts w:ascii="Times New Roman" w:hAnsi="Times New Roman"/>
          <w:caps w:val="false"/>
          <w:smallCaps w:val="false"/>
          <w:sz w:val="20"/>
        </w:rPr>
        <w:t>we filed a Certificate of Designation of the Relative Rights and Preferences of the Series B 10% Preferred Stock (</w:t>
      </w:r>
      <w:r>
        <w:rPr>
          <w:rFonts w:ascii="Times New Roman" w:hAnsi="Times New Roman"/>
          <w:i/>
          <w:caps w:val="false"/>
          <w:smallCaps w:val="false"/>
          <w:sz w:val="20"/>
        </w:rPr>
        <w:t>Series B Certificate of Designation</w:t>
      </w:r>
      <w:r>
        <w:rPr>
          <w:rFonts w:ascii="Times New Roman" w:hAnsi="Times New Roman"/>
          <w:caps w:val="false"/>
          <w:smallCaps w:val="false"/>
          <w:sz w:val="20"/>
        </w:rPr>
        <w:t>) with the Nevada Secretary of State to designate 4.0 million shares of our authorized preferred stock as Series B Preferred.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Each share of Series B Preferred was convertible, at the option of the holder (</w:t>
      </w:r>
      <w:r>
        <w:rPr>
          <w:rFonts w:ascii="Times New Roman" w:hAnsi="Times New Roman"/>
          <w:i/>
          <w:caps w:val="false"/>
          <w:smallCaps w:val="false"/>
          <w:sz w:val="20"/>
        </w:rPr>
        <w:t>Conversion</w:t>
      </w:r>
      <w:r>
        <w:rPr>
          <w:rFonts w:ascii="Times New Roman" w:hAnsi="Times New Roman"/>
          <w:caps w:val="false"/>
          <w:smallCaps w:val="false"/>
          <w:sz w:val="20"/>
        </w:rPr>
        <w:t xml:space="preserve">), into </w:t>
      </w:r>
      <w:r>
        <w:rPr>
          <w:rStyle w:val="Emphasis"/>
          <w:rFonts w:ascii="Times New Roman" w:hAnsi="Times New Roman"/>
          <w:caps w:val="false"/>
          <w:smallCaps w:val="false"/>
          <w:sz w:val="20"/>
        </w:rPr>
        <w:t>one</w:t>
      </w:r>
      <w:r>
        <w:rPr>
          <w:rFonts w:ascii="Times New Roman" w:hAnsi="Times New Roman"/>
          <w:caps w:val="false"/>
          <w:smallCaps w:val="false"/>
          <w:sz w:val="20"/>
        </w:rPr>
        <w:t>-</w:t>
      </w:r>
      <w:r>
        <w:rPr>
          <w:rStyle w:val="Emphasis"/>
          <w:rFonts w:ascii="Times New Roman" w:hAnsi="Times New Roman"/>
          <w:caps w:val="false"/>
          <w:smallCaps w:val="false"/>
          <w:sz w:val="20"/>
        </w:rPr>
        <w:t>thirtieth</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1/30</w:t>
      </w:r>
      <w:r>
        <w:rPr>
          <w:rFonts w:ascii="Times New Roman" w:hAnsi="Times New Roman"/>
          <w:caps w:val="false"/>
          <w:smallCaps w:val="false"/>
          <w:sz w:val="20"/>
        </w:rPr>
        <w:t xml:space="preserve">) of one share of our common stock. Approximately 2.4 million shares of Series B Preferred were converted into approximately 80,000 shares of our common stock following the completion of our underwritten public offering in </w:t>
      </w:r>
      <w:r>
        <w:rPr>
          <w:rStyle w:val="Emphasis"/>
          <w:rFonts w:ascii="Times New Roman" w:hAnsi="Times New Roman"/>
          <w:caps w:val="false"/>
          <w:smallCaps w:val="false"/>
          <w:sz w:val="20"/>
        </w:rPr>
        <w:t xml:space="preserve">May 2016, </w:t>
      </w:r>
      <w:r>
        <w:rPr>
          <w:rFonts w:ascii="Times New Roman" w:hAnsi="Times New Roman"/>
          <w:caps w:val="false"/>
          <w:smallCaps w:val="false"/>
          <w:sz w:val="20"/>
        </w:rPr>
        <w:t>which occurred concurrently with and facilitated the listing of our common stock on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Prior to Conversion, shares of Series B Preferred accrued in-kind dividends (payable only in unregistered shares of our common stock) at a rate of 10% per annum (</w:t>
      </w:r>
      <w:r>
        <w:rPr>
          <w:rFonts w:ascii="Times New Roman" w:hAnsi="Times New Roman"/>
          <w:i/>
          <w:caps w:val="false"/>
          <w:smallCaps w:val="false"/>
          <w:sz w:val="20"/>
        </w:rPr>
        <w:t>Accrued Dividends</w:t>
      </w:r>
      <w:r>
        <w:rPr>
          <w:rFonts w:ascii="Times New Roman" w:hAnsi="Times New Roman"/>
          <w:caps w:val="false"/>
          <w:smallCaps w:val="false"/>
          <w:sz w:val="20"/>
        </w:rPr>
        <w:t xml:space="preserve">).  The Accrued Dividends were payable on the date of a Conversion in that number of shares of common stock equal to the Accrued Dividends. At </w:t>
      </w:r>
      <w:r>
        <w:rPr>
          <w:rStyle w:val="Emphasis"/>
          <w:rFonts w:ascii="Times New Roman" w:hAnsi="Times New Roman"/>
          <w:caps w:val="false"/>
          <w:smallCaps w:val="false"/>
          <w:sz w:val="20"/>
        </w:rPr>
        <w:t xml:space="preserve">March 31, 2021, </w:t>
      </w:r>
      <w:r>
        <w:rPr>
          <w:rFonts w:ascii="Times New Roman" w:hAnsi="Times New Roman"/>
          <w:caps w:val="false"/>
          <w:smallCaps w:val="false"/>
          <w:sz w:val="20"/>
        </w:rPr>
        <w:t xml:space="preserve">there remained 1,131,669 shares of Series B Preferred outstanding, which were exchangeable by the remaining holder by Conversion into 37,722 shares of our common stock, excluding shares of our common stock which would have been issued in payment of Accrued Dividends upon conversion.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the custodial holder of the 1,131,669 outstanding shares of our Series B Preferred exercised its rights for conversion into common stock and we issued 37,722 shares of our common stock, of which 13,151 shares were registered and 24,571 were unregistered. From initial issuance in </w:t>
      </w:r>
      <w:r>
        <w:rPr>
          <w:rStyle w:val="Emphasis"/>
          <w:rFonts w:ascii="Times New Roman" w:hAnsi="Times New Roman"/>
          <w:caps w:val="false"/>
          <w:smallCaps w:val="false"/>
          <w:sz w:val="20"/>
        </w:rPr>
        <w:t xml:space="preserve">May 2015 </w:t>
      </w:r>
      <w:r>
        <w:rPr>
          <w:rFonts w:ascii="Times New Roman" w:hAnsi="Times New Roman"/>
          <w:caps w:val="false"/>
          <w:smallCaps w:val="false"/>
          <w:sz w:val="20"/>
        </w:rPr>
        <w:t xml:space="preserve">through the time of conversion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the remaining Series B Preferred shares had accrued dividends aggregating $7,217,800 and, in accordance with the terms of the Series B Certificate of Designation, we issued 109,860 shares of our unregistered common stock in payment of the Accrued Dividends. We recognized a deduction from net loss of $945,100 related to Accrued Dividends on the outstanding Series B Preferred for the period of </w:t>
      </w:r>
      <w:r>
        <w:rPr>
          <w:rStyle w:val="Emphasis"/>
          <w:rFonts w:ascii="Times New Roman" w:hAnsi="Times New Roman"/>
          <w:caps w:val="false"/>
          <w:smallCaps w:val="false"/>
          <w:sz w:val="20"/>
        </w:rPr>
        <w:t xml:space="preserve">April 2021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in arriving at net loss attributable to common stockholders in the Consolidated Statement of Operations and Comprehensive Loss for the fiscal year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2022, </w:t>
      </w:r>
      <w:r>
        <w:rPr>
          <w:rFonts w:ascii="Times New Roman" w:hAnsi="Times New Roman"/>
          <w:caps w:val="false"/>
          <w:smallCaps w:val="false"/>
          <w:sz w:val="20"/>
        </w:rPr>
        <w:t>the Company filed a Certificate of Withdrawal of the Relative Rights and Preferences of the Series B 10% Preferred Stock with the Nevada Secretary of State and the Series B Preferred was retired.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Series C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2016, </w:t>
      </w:r>
      <w:r>
        <w:rPr>
          <w:rFonts w:ascii="Times New Roman" w:hAnsi="Times New Roman"/>
          <w:caps w:val="false"/>
          <w:smallCaps w:val="false"/>
          <w:sz w:val="20"/>
        </w:rPr>
        <w:t xml:space="preserve">our Board authorized the creation of, and we filed a Certificate of Designation of the Relative Rights and Preferences of, the Series C Convertible Preferred Stock of Vistagen Therapeutics, Inc. (the </w:t>
      </w:r>
      <w:r>
        <w:rPr>
          <w:rFonts w:ascii="Times New Roman" w:hAnsi="Times New Roman"/>
          <w:i/>
          <w:caps w:val="false"/>
          <w:smallCaps w:val="false"/>
          <w:sz w:val="20"/>
        </w:rPr>
        <w:t>Series C Preferred</w:t>
      </w:r>
      <w:r>
        <w:rPr>
          <w:rFonts w:ascii="Times New Roman" w:hAnsi="Times New Roman"/>
          <w:caps w:val="false"/>
          <w:smallCaps w:val="false"/>
          <w:sz w:val="20"/>
        </w:rPr>
        <w:t xml:space="preserve"> </w:t>
      </w:r>
      <w:r>
        <w:rPr>
          <w:rFonts w:ascii="Times New Roman" w:hAnsi="Times New Roman"/>
          <w:i/>
          <w:caps w:val="false"/>
          <w:smallCaps w:val="false"/>
          <w:sz w:val="20"/>
        </w:rPr>
        <w:t>Certificate of Designation</w:t>
      </w:r>
      <w:r>
        <w:rPr>
          <w:rFonts w:ascii="Times New Roman" w:hAnsi="Times New Roman"/>
          <w:caps w:val="false"/>
          <w:smallCaps w:val="false"/>
          <w:sz w:val="20"/>
        </w:rPr>
        <w:t>) with the Nevada Secretary of State to designate 3.0 million shares of our preferred stock, par value $0.001 per share, as Series C Convertible Preferred Stock (</w:t>
      </w:r>
      <w:r>
        <w:rPr>
          <w:rFonts w:ascii="Times New Roman" w:hAnsi="Times New Roman"/>
          <w:i/>
          <w:caps w:val="false"/>
          <w:smallCaps w:val="false"/>
          <w:sz w:val="20"/>
        </w:rPr>
        <w:t>Series C Preferred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Each share of Series C Preferred was convertible, at the option of the holder into one-</w:t>
      </w:r>
      <w:r>
        <w:rPr>
          <w:rStyle w:val="Emphasis"/>
          <w:rFonts w:ascii="Times New Roman" w:hAnsi="Times New Roman"/>
          <w:caps w:val="false"/>
          <w:smallCaps w:val="false"/>
          <w:sz w:val="20"/>
        </w:rPr>
        <w:t>thirtieth</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1/30</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share of our common stock. At </w:t>
      </w:r>
      <w:r>
        <w:rPr>
          <w:rStyle w:val="Emphasis"/>
          <w:rFonts w:ascii="Times New Roman" w:hAnsi="Times New Roman"/>
          <w:caps w:val="false"/>
          <w:smallCaps w:val="false"/>
          <w:sz w:val="20"/>
        </w:rPr>
        <w:t>March 31, 2021, one</w:t>
      </w:r>
      <w:r>
        <w:rPr>
          <w:rFonts w:ascii="Times New Roman" w:hAnsi="Times New Roman"/>
          <w:caps w:val="false"/>
          <w:smallCaps w:val="false"/>
          <w:sz w:val="20"/>
        </w:rPr>
        <w:t xml:space="preserve"> custodial holder held all 2,318,012 outstanding shares of Series C Preferred. In </w:t>
      </w:r>
      <w:r>
        <w:rPr>
          <w:rStyle w:val="Emphasis"/>
          <w:rFonts w:ascii="Times New Roman" w:hAnsi="Times New Roman"/>
          <w:caps w:val="false"/>
          <w:smallCaps w:val="false"/>
          <w:sz w:val="20"/>
        </w:rPr>
        <w:t xml:space="preserve">October 2021, </w:t>
      </w:r>
      <w:r>
        <w:rPr>
          <w:rFonts w:ascii="Times New Roman" w:hAnsi="Times New Roman"/>
          <w:caps w:val="false"/>
          <w:smallCaps w:val="false"/>
          <w:sz w:val="20"/>
        </w:rPr>
        <w:t xml:space="preserve">the custodial holder of 2,318,012 outstanding shares of our Series C Preferred exercised its rights for conversion into common stock and we issued 77,267 unregistered shares of our common stock. In </w:t>
      </w:r>
      <w:r>
        <w:rPr>
          <w:rStyle w:val="Emphasis"/>
          <w:rFonts w:ascii="Times New Roman" w:hAnsi="Times New Roman"/>
          <w:caps w:val="false"/>
          <w:smallCaps w:val="false"/>
          <w:sz w:val="20"/>
        </w:rPr>
        <w:t xml:space="preserve">November 2022, </w:t>
      </w:r>
      <w:r>
        <w:rPr>
          <w:rFonts w:ascii="Times New Roman" w:hAnsi="Times New Roman"/>
          <w:caps w:val="false"/>
          <w:smallCaps w:val="false"/>
          <w:sz w:val="20"/>
        </w:rPr>
        <w:t>the Company filed a Certificate of Withdrawal of the Relative Rights and Preferences of the Series C Convertible Preferred Stock with the Nevada Secretary of State and the Series C Preferred was retired.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Series D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17, 2020, </w:t>
      </w:r>
      <w:r>
        <w:rPr>
          <w:rFonts w:ascii="Times New Roman" w:hAnsi="Times New Roman"/>
          <w:caps w:val="false"/>
          <w:smallCaps w:val="false"/>
          <w:sz w:val="20"/>
        </w:rPr>
        <w:t>in connection with the a public offering of our equity securities, our Board authorized the creation of a series of up to 2,000,000 shares of Series D Preferred Stock, par value $0.001 (</w:t>
      </w:r>
      <w:r>
        <w:rPr>
          <w:rFonts w:ascii="Times New Roman" w:hAnsi="Times New Roman"/>
          <w:i/>
          <w:caps w:val="false"/>
          <w:smallCaps w:val="false"/>
          <w:sz w:val="20"/>
        </w:rPr>
        <w:t>Series D Preferred</w:t>
      </w:r>
      <w:r>
        <w:rPr>
          <w:rFonts w:ascii="Times New Roman" w:hAnsi="Times New Roman"/>
          <w:caps w:val="false"/>
          <w:smallCaps w:val="false"/>
          <w:sz w:val="20"/>
        </w:rPr>
        <w:t>), which became effective with the filing of a Certificate of Designation of the Relative Rights and Preferences of the Series D Convertible Preferred Stock (</w:t>
      </w:r>
      <w:r>
        <w:rPr>
          <w:rFonts w:ascii="Times New Roman" w:hAnsi="Times New Roman"/>
          <w:i/>
          <w:caps w:val="false"/>
          <w:smallCaps w:val="false"/>
          <w:sz w:val="20"/>
        </w:rPr>
        <w:t>Series D</w:t>
      </w:r>
      <w:r>
        <w:rPr>
          <w:rFonts w:ascii="Times New Roman" w:hAnsi="Times New Roman"/>
          <w:caps w:val="false"/>
          <w:smallCaps w:val="false"/>
          <w:sz w:val="20"/>
        </w:rPr>
        <w:t xml:space="preserve"> </w:t>
      </w:r>
      <w:r>
        <w:rPr>
          <w:rFonts w:ascii="Times New Roman" w:hAnsi="Times New Roman"/>
          <w:i/>
          <w:caps w:val="false"/>
          <w:smallCaps w:val="false"/>
          <w:sz w:val="20"/>
        </w:rPr>
        <w:t>Certificate of Designation</w:t>
      </w:r>
      <w:r>
        <w:rPr>
          <w:rFonts w:ascii="Times New Roman" w:hAnsi="Times New Roman"/>
          <w:caps w:val="false"/>
          <w:smallCaps w:val="false"/>
          <w:sz w:val="20"/>
        </w:rPr>
        <w:t xml:space="preserve">) with the Nevada Secretary of State on </w:t>
      </w:r>
      <w:r>
        <w:rPr>
          <w:rStyle w:val="Emphasis"/>
          <w:rFonts w:ascii="Times New Roman" w:hAnsi="Times New Roman"/>
          <w:caps w:val="false"/>
          <w:smallCaps w:val="false"/>
          <w:sz w:val="20"/>
        </w:rPr>
        <w:t>December 21,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Each share of our Series D Preferred was initially convertible into approximately 0.7667 (</w:t>
      </w:r>
      <w:r>
        <w:rPr>
          <w:rStyle w:val="Emphasis"/>
          <w:rFonts w:ascii="Times New Roman" w:hAnsi="Times New Roman"/>
          <w:caps w:val="false"/>
          <w:smallCaps w:val="false"/>
          <w:sz w:val="20"/>
        </w:rPr>
        <w:t>23/30</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share of our common stock at any time at the option of the holder, provided that, the Series D Preferred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convertible prior to the date on which we received approval from our stockholders to increase the total authorized shares of our common stock by at least an amount necessary to reserve shares sufficient to satisfy our conversion obligations in respect of the Series D Preferred and an amendment to our Restated and Amended Articles of Incorporation reflecting such increase became effective (the </w:t>
      </w:r>
      <w:r>
        <w:rPr>
          <w:rFonts w:ascii="Times New Roman" w:hAnsi="Times New Roman"/>
          <w:i/>
          <w:caps w:val="false"/>
          <w:smallCaps w:val="false"/>
          <w:sz w:val="20"/>
        </w:rPr>
        <w:t>Approval Date</w:t>
      </w:r>
      <w:r>
        <w:rPr>
          <w:rFonts w:ascii="Times New Roman" w:hAnsi="Times New Roman"/>
          <w:caps w:val="false"/>
          <w:smallCaps w:val="false"/>
          <w:sz w:val="20"/>
        </w:rPr>
        <w:t xml:space="preserve">). We obtained such approval from our stockholders at a special meeting of stockholders held on </w:t>
      </w:r>
      <w:r>
        <w:rPr>
          <w:rStyle w:val="Emphasis"/>
          <w:rFonts w:ascii="Times New Roman" w:hAnsi="Times New Roman"/>
          <w:caps w:val="false"/>
          <w:smallCaps w:val="false"/>
          <w:sz w:val="20"/>
        </w:rPr>
        <w:t xml:space="preserve">March 5, 2021. </w:t>
      </w:r>
      <w:r>
        <w:rPr>
          <w:rFonts w:ascii="Times New Roman" w:hAnsi="Times New Roman"/>
          <w:caps w:val="false"/>
          <w:smallCaps w:val="false"/>
          <w:sz w:val="20"/>
        </w:rPr>
        <w:t xml:space="preserve">Between </w:t>
      </w:r>
      <w:r>
        <w:rPr>
          <w:rStyle w:val="Emphasis"/>
          <w:rFonts w:ascii="Times New Roman" w:hAnsi="Times New Roman"/>
          <w:caps w:val="false"/>
          <w:smallCaps w:val="false"/>
          <w:sz w:val="20"/>
        </w:rPr>
        <w:t xml:space="preserve">March 12,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March 31, 2021, </w:t>
      </w:r>
      <w:r>
        <w:rPr>
          <w:rFonts w:ascii="Times New Roman" w:hAnsi="Times New Roman"/>
          <w:caps w:val="false"/>
          <w:smallCaps w:val="false"/>
          <w:sz w:val="20"/>
        </w:rPr>
        <w:t xml:space="preserve">holders of an aggregate of 1,597,851 shares of Series D Preferred converted such shares into 1,225,019 registered shares of our common stock. At </w:t>
      </w:r>
      <w:r>
        <w:rPr>
          <w:rStyle w:val="Emphasis"/>
          <w:rFonts w:ascii="Times New Roman" w:hAnsi="Times New Roman"/>
          <w:caps w:val="false"/>
          <w:smallCaps w:val="false"/>
          <w:sz w:val="20"/>
        </w:rPr>
        <w:t xml:space="preserve">March 31, 2021, </w:t>
      </w:r>
      <w:r>
        <w:rPr>
          <w:rFonts w:ascii="Times New Roman" w:hAnsi="Times New Roman"/>
          <w:caps w:val="false"/>
          <w:smallCaps w:val="false"/>
          <w:sz w:val="20"/>
        </w:rPr>
        <w:t xml:space="preserve">there were 402,149 shares of Series D Preferred outstanding, which were convertible into 308,314 shares of our common stock. During </w:t>
      </w:r>
      <w:r>
        <w:rPr>
          <w:rStyle w:val="Emphasis"/>
          <w:rFonts w:ascii="Times New Roman" w:hAnsi="Times New Roman"/>
          <w:caps w:val="false"/>
          <w:smallCaps w:val="false"/>
          <w:sz w:val="20"/>
        </w:rPr>
        <w:t xml:space="preserve">April 2021, </w:t>
      </w:r>
      <w:r>
        <w:rPr>
          <w:rFonts w:ascii="Times New Roman" w:hAnsi="Times New Roman"/>
          <w:caps w:val="false"/>
          <w:smallCaps w:val="false"/>
          <w:sz w:val="20"/>
        </w:rPr>
        <w:t xml:space="preserve">the remaining investors in the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 xml:space="preserve">public offering converted their 402,149 outstanding shares of Series D Preferred into an aggregate of 308,314 registered shares of our common stock. In </w:t>
      </w:r>
      <w:r>
        <w:rPr>
          <w:rStyle w:val="Emphasis"/>
          <w:rFonts w:ascii="Times New Roman" w:hAnsi="Times New Roman"/>
          <w:caps w:val="false"/>
          <w:smallCaps w:val="false"/>
          <w:sz w:val="20"/>
        </w:rPr>
        <w:t xml:space="preserve">November 2022, </w:t>
      </w:r>
      <w:r>
        <w:rPr>
          <w:rFonts w:ascii="Times New Roman" w:hAnsi="Times New Roman"/>
          <w:caps w:val="false"/>
          <w:smallCaps w:val="false"/>
          <w:sz w:val="20"/>
        </w:rPr>
        <w:t>the Company filed a Certificate of Withdrawal of the Relative Rights and Preferences of the Series D Convertible Preferred Stock with the Nevada Secretary of State and the Series D Preferred was retired.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through the date of this Report, we have 10 million shares of preferred stock authorized and no preferred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Financing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complete any financing transactions 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initiated the Open Market Sales Agreement, as described below, during Fiscal </w:t>
      </w:r>
      <w:r>
        <w:rPr>
          <w:rStyle w:val="Emphasis"/>
          <w:rFonts w:ascii="Times New Roman" w:hAnsi="Times New Roman"/>
          <w:caps w:val="false"/>
          <w:smallCaps w:val="false"/>
          <w:sz w:val="20"/>
        </w:rPr>
        <w:t>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Open Market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we entered into an Open Market Sale AgreementSM (the </w:t>
      </w:r>
      <w:r>
        <w:rPr>
          <w:rFonts w:ascii="Times New Roman" w:hAnsi="Times New Roman"/>
          <w:i/>
          <w:caps w:val="false"/>
          <w:smallCaps w:val="false"/>
          <w:sz w:val="20"/>
        </w:rPr>
        <w:t>Sales Agreement</w:t>
      </w:r>
      <w:r>
        <w:rPr>
          <w:rFonts w:ascii="Times New Roman" w:hAnsi="Times New Roman"/>
          <w:caps w:val="false"/>
          <w:smallCaps w:val="false"/>
          <w:sz w:val="20"/>
        </w:rPr>
        <w:t>) with Jefferies LLC, as sales agent (</w:t>
      </w:r>
      <w:r>
        <w:rPr>
          <w:rFonts w:ascii="Times New Roman" w:hAnsi="Times New Roman"/>
          <w:i/>
          <w:caps w:val="false"/>
          <w:smallCaps w:val="false"/>
          <w:sz w:val="20"/>
        </w:rPr>
        <w:t>Jefferies</w:t>
      </w:r>
      <w:r>
        <w:rPr>
          <w:rFonts w:ascii="Times New Roman" w:hAnsi="Times New Roman"/>
          <w:caps w:val="false"/>
          <w:smallCaps w:val="false"/>
          <w:sz w:val="20"/>
        </w:rPr>
        <w:t xml:space="preserve">), with respect to an at-the-market offering program (the </w:t>
      </w:r>
      <w:r>
        <w:rPr>
          <w:rFonts w:ascii="Times New Roman" w:hAnsi="Times New Roman"/>
          <w:i/>
          <w:caps w:val="false"/>
          <w:smallCaps w:val="false"/>
          <w:sz w:val="20"/>
        </w:rPr>
        <w:t>ATM</w:t>
      </w:r>
      <w:r>
        <w:rPr>
          <w:rFonts w:ascii="Times New Roman" w:hAnsi="Times New Roman"/>
          <w:caps w:val="false"/>
          <w:smallCaps w:val="false"/>
          <w:sz w:val="20"/>
        </w:rPr>
        <w:t xml:space="preserve">) under which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at our sole discretion, offer and sell, from time to time, shares of our common stock having an aggregate offering price of up to $75.0 million (the </w:t>
      </w:r>
      <w:r>
        <w:rPr>
          <w:rFonts w:ascii="Times New Roman" w:hAnsi="Times New Roman"/>
          <w:i/>
          <w:caps w:val="false"/>
          <w:smallCaps w:val="false"/>
          <w:sz w:val="20"/>
        </w:rPr>
        <w:t>Shares</w:t>
      </w:r>
      <w:r>
        <w:rPr>
          <w:rFonts w:ascii="Times New Roman" w:hAnsi="Times New Roman"/>
          <w:caps w:val="false"/>
          <w:smallCaps w:val="false"/>
          <w:sz w:val="20"/>
        </w:rPr>
        <w:t xml:space="preserve">) through Jefferies. We will pay Jefferies a commission equal 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percent (3.0%) of the aggregate gross proceeds from any sales of the Shares under the Sales Agreement. If and when we direct Jefferies to offer and sell Shares under the Sales Agreement, Jefferies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sell the Shares by any method permitted by law and deemed to be an “at the market offering” as defined in Rule </w:t>
      </w:r>
      <w:r>
        <w:rPr>
          <w:rStyle w:val="Emphasis"/>
          <w:rFonts w:ascii="Times New Roman" w:hAnsi="Times New Roman"/>
          <w:caps w:val="false"/>
          <w:smallCaps w:val="false"/>
          <w:sz w:val="20"/>
        </w:rPr>
        <w:t>415</w:t>
      </w:r>
      <w:r>
        <w:rPr>
          <w:rFonts w:ascii="Times New Roman" w:hAnsi="Times New Roman"/>
          <w:caps w:val="false"/>
          <w:smallCaps w:val="false"/>
          <w:sz w:val="20"/>
        </w:rPr>
        <w:t>(a)(</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promulgated under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including block transactions, sales made directly on the Nasdaq Capital Market or any other trading market for our common stock. In addition, with our consent, Jefferies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sell the Shares in negotiated transactions. Under certain circumstances,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instruct Jefferies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sell the Shares if the sales cannot be effected at or above the price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designate from time to time. Shares offered and sold under the Sales Agreement will be issued and sold pursuant to our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filed with the SEC on </w:t>
      </w:r>
      <w:r>
        <w:rPr>
          <w:rStyle w:val="Emphasis"/>
          <w:rFonts w:ascii="Times New Roman" w:hAnsi="Times New Roman"/>
          <w:caps w:val="false"/>
          <w:smallCaps w:val="false"/>
          <w:sz w:val="20"/>
        </w:rPr>
        <w:t xml:space="preserve">March 15, 2021 </w:t>
      </w:r>
      <w:r>
        <w:rPr>
          <w:rFonts w:ascii="Times New Roman" w:hAnsi="Times New Roman"/>
          <w:caps w:val="false"/>
          <w:smallCaps w:val="false"/>
          <w:sz w:val="20"/>
        </w:rPr>
        <w:t xml:space="preserve">and declared effective on </w:t>
      </w:r>
      <w:r>
        <w:rPr>
          <w:rStyle w:val="Emphasis"/>
          <w:rFonts w:ascii="Times New Roman" w:hAnsi="Times New Roman"/>
          <w:caps w:val="false"/>
          <w:smallCaps w:val="false"/>
          <w:sz w:val="20"/>
        </w:rPr>
        <w:t>March 26,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In transactions occurring during </w:t>
      </w:r>
      <w:r>
        <w:rPr>
          <w:rStyle w:val="Emphasis"/>
          <w:rFonts w:ascii="Times New Roman" w:hAnsi="Times New Roman"/>
          <w:caps w:val="false"/>
          <w:smallCaps w:val="false"/>
          <w:sz w:val="20"/>
        </w:rPr>
        <w:t xml:space="preserve">September 2021 </w:t>
      </w:r>
      <w:r>
        <w:rPr>
          <w:rFonts w:ascii="Times New Roman" w:hAnsi="Times New Roman"/>
          <w:caps w:val="false"/>
          <w:smallCaps w:val="false"/>
          <w:sz w:val="20"/>
        </w:rPr>
        <w:t xml:space="preserve">and on </w:t>
      </w:r>
      <w:r>
        <w:rPr>
          <w:rStyle w:val="Emphasis"/>
          <w:rFonts w:ascii="Times New Roman" w:hAnsi="Times New Roman"/>
          <w:caps w:val="false"/>
          <w:smallCaps w:val="false"/>
          <w:sz w:val="20"/>
        </w:rPr>
        <w:t xml:space="preserve">October 1, 2021, </w:t>
      </w:r>
      <w:r>
        <w:rPr>
          <w:rFonts w:ascii="Times New Roman" w:hAnsi="Times New Roman"/>
          <w:caps w:val="false"/>
          <w:smallCaps w:val="false"/>
          <w:sz w:val="20"/>
        </w:rPr>
        <w:t xml:space="preserve">we sold an aggregate of 50,593 shares of our common stock and received gross cash proceeds of approximately $4.45 million under the ATM. We did not sell any shares of our common stock under the ATM 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Refer to Note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w:t>
      </w:r>
      <w:r>
        <w:rPr>
          <w:rFonts w:ascii="Times New Roman" w:hAnsi="Times New Roman"/>
          <w:i/>
          <w:caps w:val="false"/>
          <w:smallCaps w:val="false"/>
          <w:sz w:val="20"/>
        </w:rPr>
        <w:t>Subsequent Events</w:t>
      </w:r>
      <w:r>
        <w:rPr>
          <w:rFonts w:ascii="Times New Roman" w:hAnsi="Times New Roman"/>
          <w:caps w:val="false"/>
          <w:smallCaps w:val="false"/>
          <w:sz w:val="20"/>
        </w:rPr>
        <w:t xml:space="preserve">, for information regarding additional sales of our common stock under the ATM after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We record transactions under the Sales Agreement on a settlement date basis. All legal fees and accounting expenses incurred in connection with the Sales Agreement are recorded as Deferred Offering Costs and are amortized to Additional Paid-in Capital as costs of the offering as sales of Shares are made under the Sales Agreement. Between execution of the Sales Agreement 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we incurred legal fees and accounting expenses aggregating approximately $450,300 in connection with the Sales Agreement, of which approximately $16,400 had been amortized to Additional Paid-in Capital during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none in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Sales Agreement will terminate upon the earlier of (i) the sale of all Shares subject to the Sales Agreement or (ii) the termination of the Sales Agreement by Jefferies or by us, as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 Option Exercises and Employee Stock Purchase Plan 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holders of outstanding stock options, including members of management, exercised such options to purchase an aggregate of 9,533 shares of our common stock at a weighted average exercise price of $18.30 per share and we received cash proceeds of $104,400. Certain of the options were exercised on a net exercise basis as permitted by the option plans and we issued an aggregate of 7,346 shares of our common stock pursuant to the exercises. During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holders of outstanding stock options, including members of management, exercised such options to purchase an aggregate of 11,873 shares of our common stock at a weighted average exercise price of $24.30 per share and we received cash proceeds of $140,000. Certain of the exercises were on a net exercise basis and we issued an aggregate of 10,223 shares of our common stock pursuant to the exercises. On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30, 2022, </w:t>
      </w:r>
      <w:r>
        <w:rPr>
          <w:rFonts w:ascii="Times New Roman" w:hAnsi="Times New Roman"/>
          <w:caps w:val="false"/>
          <w:smallCaps w:val="false"/>
          <w:sz w:val="20"/>
        </w:rPr>
        <w:t xml:space="preserve">participants in our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completed purchase periods pursuant to which we issued 2,500 shares and 2,667 shares of our registered common stock and received proceeds of $56,100 and $7,000, respectively. On </w:t>
      </w:r>
      <w:r>
        <w:rPr>
          <w:rStyle w:val="Emphasis"/>
          <w:rFonts w:ascii="Times New Roman" w:hAnsi="Times New Roman"/>
          <w:caps w:val="false"/>
          <w:smallCaps w:val="false"/>
          <w:sz w:val="20"/>
        </w:rPr>
        <w:t xml:space="preserve">June 30,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participants in our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completed purchase periods pursuant to which we issued 542 shares and 1,365 shares of our common stock and received proceeds of $31,600 and $67,800,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Warrant Exercises, Expirations and Modifications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were no warrant exercises 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however, warrants to purchase 263,510 shares of our common stock at a weighted average exercise price of $48.94 per share expired unexercised 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During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holders of outstanding warrants to purchase an aggregate of 243,293 shares of our common stock exercised such warrants, and we received cash proceeds of approximately $6.2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5, 2022, </w:t>
      </w:r>
      <w:r>
        <w:rPr>
          <w:rFonts w:ascii="Times New Roman" w:hAnsi="Times New Roman"/>
          <w:caps w:val="false"/>
          <w:smallCaps w:val="false"/>
          <w:sz w:val="20"/>
        </w:rPr>
        <w:t xml:space="preserve">our Board modified outstanding warrants to purchase an aggregate of 33,333 registered shares of our common stock exercisable at $15.00 per share that were due to expire on </w:t>
      </w:r>
      <w:r>
        <w:rPr>
          <w:rStyle w:val="Emphasis"/>
          <w:rFonts w:ascii="Times New Roman" w:hAnsi="Times New Roman"/>
          <w:caps w:val="false"/>
          <w:smallCaps w:val="false"/>
          <w:sz w:val="20"/>
        </w:rPr>
        <w:t xml:space="preserve">December 9, 2022 </w:t>
      </w:r>
      <w:r>
        <w:rPr>
          <w:rFonts w:ascii="Times New Roman" w:hAnsi="Times New Roman"/>
          <w:caps w:val="false"/>
          <w:smallCaps w:val="false"/>
          <w:sz w:val="20"/>
        </w:rPr>
        <w:t xml:space="preserve">to extend the exercisability of such warrants for a period of two years.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term of the warrants, including exercise price, was modified. We calculated the fair value of the modified warrants immediately before and after the modification using the Black Scholes Option Pricing Model and the assumptions indicated in the table below. We recognized the incremental fair value, $77,400, as a component of general and administrative expense in our Consolidated Statements of Operations and Comprehensive Loss for the fiscal year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and as an increase in additional paid-in capital in our Consolidated Statements of Changes in Stockholders’ Equity for the same period.</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28" w:type="dxa"/>
          <w:right w:w="0" w:type="dxa"/>
        </w:tblCellMar>
      </w:tblPr>
      <w:tblGrid>
        <w:gridCol w:w="3275"/>
        <w:gridCol w:w="60"/>
        <w:gridCol w:w="255"/>
        <w:gridCol w:w="1205"/>
        <w:gridCol w:w="185"/>
        <w:gridCol w:w="60"/>
        <w:gridCol w:w="265"/>
        <w:gridCol w:w="1255"/>
        <w:gridCol w:w="185"/>
      </w:tblGrid>
      <w:tr>
        <w:trPr/>
        <w:tc>
          <w:tcPr>
            <w:tcW w:w="327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Assumption: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46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Pre-modification</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2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Post-modification</w:t>
            </w:r>
          </w:p>
        </w:tc>
        <w:tc>
          <w:tcPr>
            <w:tcW w:w="185" w:type="dxa"/>
            <w:tcBorders/>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 price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 price per share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5"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5"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ind w:left="0" w:right="0" w:hanging="0"/>
              <w:jc w:val="left"/>
              <w:rPr/>
            </w:pPr>
            <w:r>
              <w:rPr/>
              <w:t> </w:t>
            </w:r>
          </w:p>
        </w:tc>
        <w:tc>
          <w:tcPr>
            <w:tcW w:w="12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Remaining contractual term in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ind w:left="0" w:right="0" w:hanging="0"/>
              <w:jc w:val="left"/>
              <w:rPr/>
            </w:pPr>
            <w:r>
              <w:rPr/>
              <w:t> </w:t>
            </w:r>
          </w:p>
        </w:tc>
        <w:tc>
          <w:tcPr>
            <w:tcW w:w="12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0.011</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ind w:left="0" w:right="0" w:hanging="0"/>
              <w:jc w:val="left"/>
              <w:rPr/>
            </w:pPr>
            <w:r>
              <w:rPr/>
              <w:t> </w:t>
            </w:r>
          </w:p>
        </w:tc>
        <w:tc>
          <w:tcPr>
            <w:tcW w:w="12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2.012</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65.60</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ind w:left="0" w:right="0" w:hanging="0"/>
              <w:jc w:val="left"/>
              <w:rPr/>
            </w:pPr>
            <w:r>
              <w:rPr/>
              <w:t> </w:t>
            </w:r>
          </w:p>
        </w:tc>
        <w:tc>
          <w:tcPr>
            <w:tcW w:w="12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175.27</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ind w:left="0" w:right="0" w:hanging="0"/>
              <w:jc w:val="left"/>
              <w:rPr/>
            </w:pPr>
            <w:r>
              <w:rPr/>
              <w:t> </w:t>
            </w:r>
          </w:p>
        </w:tc>
        <w:tc>
          <w:tcPr>
            <w:tcW w:w="12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ind w:left="0" w:right="0" w:hanging="0"/>
              <w:jc w:val="left"/>
              <w:rPr/>
            </w:pPr>
            <w:r>
              <w:rPr/>
              <w:t> </w:t>
            </w:r>
          </w:p>
        </w:tc>
        <w:tc>
          <w:tcPr>
            <w:tcW w:w="12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jc w:val="left"/>
              <w:rPr/>
            </w:pPr>
            <w:r>
              <w:rPr/>
              <w:t> </w:t>
            </w:r>
          </w:p>
        </w:tc>
        <w:tc>
          <w:tcPr>
            <w:tcW w:w="1255"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 of warrant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ind w:left="0" w:right="0" w:hanging="0"/>
              <w:jc w:val="left"/>
              <w:rPr/>
            </w:pPr>
            <w:r>
              <w:rPr/>
              <w:t> </w:t>
            </w:r>
          </w:p>
        </w:tc>
        <w:tc>
          <w:tcPr>
            <w:tcW w:w="12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33,333</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ind w:left="0" w:right="0" w:hanging="0"/>
              <w:jc w:val="left"/>
              <w:rPr/>
            </w:pPr>
            <w:r>
              <w:rPr/>
              <w:t> </w:t>
            </w:r>
          </w:p>
        </w:tc>
        <w:tc>
          <w:tcPr>
            <w:tcW w:w="12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33.333</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Weighted average fair value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0.00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2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2.40</w:t>
            </w:r>
          </w:p>
        </w:tc>
        <w:tc>
          <w:tcPr>
            <w:tcW w:w="18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summarizes outstanding and exercisable warrants to purchase shares of our common stock as of </w:t>
      </w:r>
      <w:r>
        <w:rPr>
          <w:rStyle w:val="Emphasis"/>
          <w:rFonts w:ascii="Times New Roman" w:hAnsi="Times New Roman"/>
          <w:caps w:val="false"/>
          <w:smallCaps w:val="false"/>
          <w:sz w:val="20"/>
        </w:rPr>
        <w:t>March 31, 2023.  </w:t>
      </w:r>
      <w:r>
        <w:rPr>
          <w:rFonts w:ascii="Times New Roman" w:hAnsi="Times New Roman"/>
          <w:caps w:val="false"/>
          <w:smallCaps w:val="false"/>
          <w:sz w:val="20"/>
        </w:rPr>
        <w:t xml:space="preserve">The weighted average exercise price of outstanding and exercisable warrants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was $16.87 per share.</w:t>
      </w:r>
    </w:p>
    <w:p>
      <w:pPr>
        <w:pStyle w:val="TextBody"/>
        <w:bidi w:val="0"/>
        <w:spacing w:before="0" w:after="0"/>
        <w:ind w:left="0" w:right="0" w:hanging="0"/>
        <w:jc w:val="left"/>
        <w:rPr>
          <w:caps w:val="false"/>
          <w:smallCaps w:val="false"/>
        </w:rPr>
      </w:pPr>
      <w:r>
        <w:rPr>
          <w:caps w:val="false"/>
          <w:smallCaps w:val="false"/>
        </w:rPr>
        <w:t> </w:t>
      </w:r>
    </w:p>
    <w:tbl>
      <w:tblPr>
        <w:tblW w:w="3899" w:type="dxa"/>
        <w:jc w:val="left"/>
        <w:tblInd w:w="0" w:type="dxa"/>
        <w:tblLayout w:type="fixed"/>
        <w:tblCellMar>
          <w:top w:w="0" w:type="dxa"/>
          <w:left w:w="0" w:type="dxa"/>
          <w:bottom w:w="0" w:type="dxa"/>
          <w:right w:w="0" w:type="dxa"/>
        </w:tblCellMar>
      </w:tblPr>
      <w:tblGrid>
        <w:gridCol w:w="845"/>
        <w:gridCol w:w="60"/>
        <w:gridCol w:w="950"/>
        <w:gridCol w:w="60"/>
        <w:gridCol w:w="176"/>
        <w:gridCol w:w="1748"/>
        <w:gridCol w:w="60"/>
      </w:tblGrid>
      <w:tr>
        <w:trPr/>
        <w:tc>
          <w:tcPr>
            <w:tcW w:w="8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2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Warrants Outstanding</w:t>
            </w:r>
          </w:p>
        </w:tc>
        <w:tc>
          <w:tcPr>
            <w:tcW w:w="6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vAlign w:val="center"/>
          </w:tcPr>
          <w:p>
            <w:pPr>
              <w:pStyle w:val="TableContents"/>
              <w:bidi w:val="0"/>
              <w:spacing w:before="0" w:after="283"/>
              <w:ind w:left="0" w:right="0" w:hanging="0"/>
              <w:jc w:val="left"/>
              <w:rPr/>
            </w:pPr>
            <w:r>
              <w:rPr/>
              <w:t> </w:t>
            </w:r>
          </w:p>
        </w:tc>
        <w:tc>
          <w:tcPr>
            <w:tcW w:w="9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Expiration</w:t>
            </w:r>
          </w:p>
        </w:tc>
        <w:tc>
          <w:tcPr>
            <w:tcW w:w="60" w:type="dxa"/>
            <w:tcBorders/>
            <w:vAlign w:val="center"/>
          </w:tcPr>
          <w:p>
            <w:pPr>
              <w:pStyle w:val="TableContents"/>
              <w:bidi w:val="0"/>
              <w:spacing w:before="0" w:after="283"/>
              <w:ind w:left="0" w:right="0" w:hanging="0"/>
              <w:jc w:val="left"/>
              <w:rPr/>
            </w:pPr>
            <w:r>
              <w:rPr/>
              <w:t> </w:t>
            </w:r>
          </w:p>
        </w:tc>
        <w:tc>
          <w:tcPr>
            <w:tcW w:w="192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Exercisable at</w:t>
            </w:r>
          </w:p>
        </w:tc>
        <w:tc>
          <w:tcPr>
            <w:tcW w:w="60" w:type="dxa"/>
            <w:tcBorders/>
            <w:vAlign w:val="center"/>
          </w:tcPr>
          <w:p>
            <w:pPr>
              <w:pStyle w:val="TableContents"/>
              <w:bidi w:val="0"/>
              <w:spacing w:before="0" w:after="283"/>
              <w:jc w:val="left"/>
              <w:rPr/>
            </w:pPr>
            <w:r>
              <w:rPr/>
              <w:t> </w:t>
            </w:r>
          </w:p>
        </w:tc>
      </w:tr>
      <w:tr>
        <w:trPr/>
        <w:tc>
          <w:tcPr>
            <w:tcW w:w="8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 Share</w:t>
            </w:r>
          </w:p>
        </w:tc>
        <w:tc>
          <w:tcPr>
            <w:tcW w:w="60" w:type="dxa"/>
            <w:tcBorders/>
            <w:vAlign w:val="center"/>
          </w:tcPr>
          <w:p>
            <w:pPr>
              <w:pStyle w:val="TableContents"/>
              <w:bidi w:val="0"/>
              <w:spacing w:before="0" w:after="283"/>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c>
          <w:tcPr>
            <w:tcW w:w="60" w:type="dxa"/>
            <w:tcBorders/>
            <w:vAlign w:val="center"/>
          </w:tcPr>
          <w:p>
            <w:pPr>
              <w:pStyle w:val="TableContents"/>
              <w:bidi w:val="0"/>
              <w:spacing w:before="0" w:after="283"/>
              <w:ind w:left="0" w:right="0" w:hanging="0"/>
              <w:jc w:val="left"/>
              <w:rPr/>
            </w:pPr>
            <w:r>
              <w:rPr/>
              <w:t> </w:t>
            </w:r>
          </w:p>
        </w:tc>
        <w:tc>
          <w:tcPr>
            <w:tcW w:w="19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2023 </w:t>
            </w:r>
          </w:p>
        </w:tc>
        <w:tc>
          <w:tcPr>
            <w:tcW w:w="6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84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$15.00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12/9/2024</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7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33,333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845"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$21.90</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7/25/2025</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12,352</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rStyle w:val="Emphasis"/>
              </w:rPr>
              <w:t> </w:t>
            </w:r>
          </w:p>
        </w:tc>
        <w:tc>
          <w:tcPr>
            <w:tcW w:w="95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45,685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all shares of common stock underlying the outstanding warrants have been registered for resale by the warrant holders.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outstanding warrant is subject to any down round anti-dilution protection feature. All outstanding warrants are exercisable by the holders only by payment in cash of the stated exercise price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Reserved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we have reserved shares of our common stock for future issuance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80"/>
        <w:gridCol w:w="60"/>
        <w:gridCol w:w="60"/>
        <w:gridCol w:w="845"/>
        <w:gridCol w:w="60"/>
      </w:tblGrid>
      <w:tr>
        <w:trPr/>
        <w:tc>
          <w:tcPr>
            <w:tcW w:w="9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warrants to purchase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91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Subject to outstanding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45,685</w:t>
            </w:r>
          </w:p>
        </w:tc>
        <w:tc>
          <w:tcPr>
            <w:tcW w:w="60" w:type="dxa"/>
            <w:tcBorders/>
            <w:shd w:fill="FFFFFF" w:val="clear"/>
            <w:vAlign w:val="center"/>
          </w:tcPr>
          <w:p>
            <w:pPr>
              <w:pStyle w:val="TableContents"/>
              <w:bidi w:val="0"/>
              <w:spacing w:before="0" w:after="283"/>
              <w:jc w:val="left"/>
              <w:rPr/>
            </w:pPr>
            <w:r>
              <w:rPr/>
              <w:t> </w:t>
            </w:r>
          </w:p>
        </w:tc>
      </w:tr>
      <w:tr>
        <w:trPr/>
        <w:tc>
          <w:tcPr>
            <w:tcW w:w="91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91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stock incentive plans: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918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Subject to outstanding options under the Amended and Restated 2016 Stock Incentive Plan and the Amended and Restated 2019 Omnibus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702,545</w:t>
            </w:r>
          </w:p>
        </w:tc>
        <w:tc>
          <w:tcPr>
            <w:tcW w:w="60" w:type="dxa"/>
            <w:tcBorders/>
            <w:shd w:fill="CCEEFF" w:val="clear"/>
            <w:vAlign w:val="center"/>
          </w:tcPr>
          <w:p>
            <w:pPr>
              <w:pStyle w:val="TableContents"/>
              <w:bidi w:val="0"/>
              <w:spacing w:before="0" w:after="283"/>
              <w:jc w:val="left"/>
              <w:rPr/>
            </w:pPr>
            <w:r>
              <w:rPr/>
              <w:t> </w:t>
            </w:r>
          </w:p>
        </w:tc>
      </w:tr>
      <w:tr>
        <w:trPr/>
        <w:tc>
          <w:tcPr>
            <w:tcW w:w="918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Available for future grants under the Amended and Restated 2019 Omnibus Equity Incentive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179,260</w:t>
            </w:r>
          </w:p>
        </w:tc>
        <w:tc>
          <w:tcPr>
            <w:tcW w:w="60" w:type="dxa"/>
            <w:tcBorders/>
            <w:shd w:fill="FFFFFF" w:val="clear"/>
            <w:vAlign w:val="center"/>
          </w:tcPr>
          <w:p>
            <w:pPr>
              <w:pStyle w:val="TableContents"/>
              <w:bidi w:val="0"/>
              <w:spacing w:before="0" w:after="283"/>
              <w:jc w:val="left"/>
              <w:rPr/>
            </w:pPr>
            <w:r>
              <w:rPr/>
              <w:t> </w:t>
            </w:r>
          </w:p>
        </w:tc>
      </w:tr>
      <w:tr>
        <w:trPr/>
        <w:tc>
          <w:tcPr>
            <w:tcW w:w="918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Available for future issuance under the 2019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24,322</w:t>
            </w:r>
          </w:p>
        </w:tc>
        <w:tc>
          <w:tcPr>
            <w:tcW w:w="60" w:type="dxa"/>
            <w:tcBorders/>
            <w:shd w:fill="CCEEFF" w:val="clear"/>
            <w:vAlign w:val="center"/>
          </w:tcPr>
          <w:p>
            <w:pPr>
              <w:pStyle w:val="TableContents"/>
              <w:bidi w:val="0"/>
              <w:spacing w:before="0" w:after="283"/>
              <w:jc w:val="left"/>
              <w:rPr/>
            </w:pPr>
            <w:r>
              <w:rPr/>
              <w:t> </w:t>
            </w:r>
          </w:p>
        </w:tc>
      </w:tr>
      <w:tr>
        <w:trPr/>
        <w:tc>
          <w:tcPr>
            <w:tcW w:w="9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906,127</w:t>
            </w:r>
          </w:p>
        </w:tc>
        <w:tc>
          <w:tcPr>
            <w:tcW w:w="60" w:type="dxa"/>
            <w:tcBorders/>
            <w:shd w:fill="FFFFFF" w:val="clear"/>
            <w:vAlign w:val="center"/>
          </w:tcPr>
          <w:p>
            <w:pPr>
              <w:pStyle w:val="TableContents"/>
              <w:bidi w:val="0"/>
              <w:spacing w:before="0" w:after="283"/>
              <w:jc w:val="left"/>
              <w:rPr/>
            </w:pPr>
            <w:r>
              <w:rPr/>
              <w:t> </w:t>
            </w:r>
          </w:p>
        </w:tc>
      </w:tr>
      <w:tr>
        <w:trPr/>
        <w:tc>
          <w:tcPr>
            <w:tcW w:w="9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Reserved for issuance under the Sales Agreement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858,498</w:t>
            </w:r>
          </w:p>
        </w:tc>
        <w:tc>
          <w:tcPr>
            <w:tcW w:w="60" w:type="dxa"/>
            <w:tcBorders/>
            <w:shd w:fill="CCEEFF" w:val="clear"/>
            <w:vAlign w:val="center"/>
          </w:tcPr>
          <w:p>
            <w:pPr>
              <w:pStyle w:val="TableContents"/>
              <w:bidi w:val="0"/>
              <w:spacing w:before="0" w:after="283"/>
              <w:jc w:val="left"/>
              <w:rPr/>
            </w:pPr>
            <w:r>
              <w:rPr/>
              <w:t> </w:t>
            </w:r>
          </w:p>
        </w:tc>
      </w:tr>
      <w:tr>
        <w:trPr/>
        <w:tc>
          <w:tcPr>
            <w:tcW w:w="91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1,810,310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we have 315,878,808 authorized shares of our common stock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reserves and available for future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recorded research and development expenses of approximately $44.4 million and $35.4 million in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including approximately $4.6 million and $1.5 million of noncash expense in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including stock-based compensation and depreciation expense in both periods and, in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approximately $3.1 million representing the fair market value of our common stock issued in the Pherin Acquisition. Research and development expense is composed of employee compensation expenses, including stock–based compensation, both internal and external direct project expenses, notably including costs related to our various clinical trials of fasedienol and itruvone and other preclinical and nonclinical projects for fasedienol, itruvone and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in both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 xml:space="preserve">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provision for income taxes for the periods presented in the Consolidated Statements of Operations and Comprehensive Loss represents minimum California franchise tax, North Carolina and Utah income tax.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Income tax expense (benefit) differed from the amounts computed by applying the statutory federal income tax rate of 21% to pretax income (loss) as a result of the following:</w:t>
      </w:r>
    </w:p>
    <w:p>
      <w:pPr>
        <w:pStyle w:val="TextBody"/>
        <w:bidi w:val="0"/>
        <w:spacing w:before="0" w:after="0"/>
        <w:ind w:left="0" w:right="0" w:hanging="0"/>
        <w:jc w:val="left"/>
        <w:rPr>
          <w:caps w:val="false"/>
          <w:smallCaps w:val="false"/>
        </w:rPr>
      </w:pPr>
      <w:r>
        <w:rPr>
          <w:caps w:val="false"/>
          <w:smallCaps w:val="false"/>
        </w:rPr>
        <w:t> </w:t>
      </w:r>
    </w:p>
    <w:tbl>
      <w:tblPr>
        <w:tblW w:w="6521" w:type="dxa"/>
        <w:jc w:val="left"/>
        <w:tblInd w:w="0" w:type="dxa"/>
        <w:tblLayout w:type="fixed"/>
        <w:tblCellMar>
          <w:top w:w="0" w:type="dxa"/>
          <w:left w:w="0" w:type="dxa"/>
          <w:bottom w:w="0" w:type="dxa"/>
          <w:right w:w="0" w:type="dxa"/>
        </w:tblCellMar>
      </w:tblPr>
      <w:tblGrid>
        <w:gridCol w:w="3785"/>
        <w:gridCol w:w="60"/>
        <w:gridCol w:w="96"/>
        <w:gridCol w:w="875"/>
        <w:gridCol w:w="393"/>
        <w:gridCol w:w="96"/>
        <w:gridCol w:w="96"/>
        <w:gridCol w:w="875"/>
        <w:gridCol w:w="245"/>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Fiscal Years Ended March 31,</w:t>
            </w:r>
          </w:p>
        </w:tc>
        <w:tc>
          <w:tcPr>
            <w:tcW w:w="24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c>
          <w:tcPr>
            <w:tcW w:w="3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0"/>
              <w:jc w:val="left"/>
              <w:rPr/>
            </w:pPr>
            <w:r>
              <w:rPr/>
              <w:t> </w:t>
            </w:r>
          </w:p>
        </w:tc>
        <w:tc>
          <w:tcPr>
            <w:tcW w:w="9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24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Computed expected tax benefit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(21.00</w:t>
            </w:r>
          </w:p>
        </w:tc>
        <w:tc>
          <w:tcPr>
            <w:tcW w:w="39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(21.00</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7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 income taxes, net of federal benefit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0.00</w:t>
            </w:r>
          </w:p>
        </w:tc>
        <w:tc>
          <w:tcPr>
            <w:tcW w:w="39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0.01</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effect of warrant modifications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0.03</w:t>
            </w:r>
          </w:p>
        </w:tc>
        <w:tc>
          <w:tcPr>
            <w:tcW w:w="39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0.00</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7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effect of research and development credits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(0.78</w:t>
            </w:r>
          </w:p>
        </w:tc>
        <w:tc>
          <w:tcPr>
            <w:tcW w:w="39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(0.73</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effect of stock compensation</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0.50</w:t>
            </w:r>
          </w:p>
        </w:tc>
        <w:tc>
          <w:tcPr>
            <w:tcW w:w="39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0.59</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7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effect of other non-deductible items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39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0.11</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Expired net operating loss carryforwards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0.17</w:t>
            </w:r>
          </w:p>
        </w:tc>
        <w:tc>
          <w:tcPr>
            <w:tcW w:w="39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0.74</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7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valuation allowance (federal only)</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18.57</w:t>
            </w:r>
          </w:p>
        </w:tc>
        <w:tc>
          <w:tcPr>
            <w:tcW w:w="39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20.40</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w:t>
            </w:r>
          </w:p>
        </w:tc>
        <w:tc>
          <w:tcPr>
            <w:tcW w:w="39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6"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0.00</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7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0.00</w:t>
            </w:r>
          </w:p>
        </w:tc>
        <w:tc>
          <w:tcPr>
            <w:tcW w:w="39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6"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0.12</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income taxes reflect the net tax effect of temporary differences between the carrying amounts of assets and liabilities for financial reporting purposes and the amounts used for income tax purposes. Significant components of our deferred tax assets and liabilities are as follows:</w:t>
      </w:r>
    </w:p>
    <w:p>
      <w:pPr>
        <w:pStyle w:val="TextBody"/>
        <w:bidi w:val="0"/>
        <w:spacing w:before="0" w:after="0"/>
        <w:ind w:left="0" w:right="0" w:hanging="0"/>
        <w:jc w:val="left"/>
        <w:rPr>
          <w:caps w:val="false"/>
          <w:smallCaps w:val="false"/>
        </w:rPr>
      </w:pPr>
      <w:r>
        <w:rPr>
          <w:caps w:val="false"/>
          <w:smallCaps w:val="false"/>
        </w:rPr>
        <w:t> </w:t>
      </w:r>
    </w:p>
    <w:tbl>
      <w:tblPr>
        <w:tblW w:w="6725" w:type="dxa"/>
        <w:jc w:val="left"/>
        <w:tblInd w:w="0" w:type="dxa"/>
        <w:tblLayout w:type="fixed"/>
        <w:tblCellMar>
          <w:top w:w="0" w:type="dxa"/>
          <w:left w:w="0" w:type="dxa"/>
          <w:bottom w:w="0" w:type="dxa"/>
          <w:right w:w="0" w:type="dxa"/>
        </w:tblCellMar>
      </w:tblPr>
      <w:tblGrid>
        <w:gridCol w:w="4175"/>
        <w:gridCol w:w="60"/>
        <w:gridCol w:w="125"/>
        <w:gridCol w:w="1010"/>
        <w:gridCol w:w="80"/>
        <w:gridCol w:w="60"/>
        <w:gridCol w:w="125"/>
        <w:gridCol w:w="1010"/>
        <w:gridCol w:w="80"/>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w:t>
            </w:r>
          </w:p>
        </w:tc>
        <w:tc>
          <w:tcPr>
            <w:tcW w:w="8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80" w:type="dxa"/>
            <w:tcBorders/>
            <w:vAlign w:val="center"/>
          </w:tcPr>
          <w:p>
            <w:pPr>
              <w:pStyle w:val="TableContents"/>
              <w:bidi w:val="0"/>
              <w:spacing w:before="0" w:after="283"/>
              <w:ind w:left="0" w:right="0" w:hanging="0"/>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operating loss carryovers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43,602,800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41,924,800</w:t>
            </w:r>
          </w:p>
        </w:tc>
        <w:tc>
          <w:tcPr>
            <w:tcW w:w="8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Basis differences in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47,000</w:t>
            </w:r>
          </w:p>
        </w:tc>
        <w:tc>
          <w:tcPr>
            <w:tcW w:w="8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credit carryforwards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3,591,100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3,032,800</w:t>
            </w:r>
          </w:p>
        </w:tc>
        <w:tc>
          <w:tcPr>
            <w:tcW w:w="8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 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2,985,600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3,469,300</w:t>
            </w:r>
          </w:p>
        </w:tc>
        <w:tc>
          <w:tcPr>
            <w:tcW w:w="8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79,700</w:t>
            </w:r>
          </w:p>
        </w:tc>
        <w:tc>
          <w:tcPr>
            <w:tcW w:w="8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Capitalized research and development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8,214,700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642,500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Accruals and reserves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66,700</w:t>
            </w:r>
          </w:p>
        </w:tc>
        <w:tc>
          <w:tcPr>
            <w:tcW w:w="8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59,256,100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48,620,300</w:t>
            </w:r>
          </w:p>
        </w:tc>
        <w:tc>
          <w:tcPr>
            <w:tcW w:w="8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(59,251,300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(48,620,300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deferred tax assets net of valuation allowance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Basis differences in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deferred tax asset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Realization of deferred tax assets is dependent upon future earnings, if any, the timing and amount of which are uncertain. Accordingly, the deferred tax assets have been fully offset by a valuation allowance. The valuation allowance increased by $10,631,000 and $8,743,700 during the fiscal years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we had U.S. federal net operating loss carryforwards of approximately $191,935,600. Federal net operating loss carryforwards of approximately $84,111,700 generated through our fiscal year ended </w:t>
      </w:r>
      <w:r>
        <w:rPr>
          <w:rStyle w:val="Emphasis"/>
          <w:rFonts w:ascii="Times New Roman" w:hAnsi="Times New Roman"/>
          <w:caps w:val="false"/>
          <w:smallCaps w:val="false"/>
          <w:sz w:val="20"/>
        </w:rPr>
        <w:t xml:space="preserve">March 31, 2018 </w:t>
      </w:r>
      <w:r>
        <w:rPr>
          <w:rFonts w:ascii="Times New Roman" w:hAnsi="Times New Roman"/>
          <w:caps w:val="false"/>
          <w:smallCaps w:val="false"/>
          <w:sz w:val="20"/>
        </w:rPr>
        <w:t xml:space="preserve">will expire in our fiscal years ending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March 31, 2038. </w:t>
      </w:r>
      <w:r>
        <w:rPr>
          <w:rFonts w:ascii="Times New Roman" w:hAnsi="Times New Roman"/>
          <w:caps w:val="false"/>
          <w:smallCaps w:val="false"/>
          <w:sz w:val="20"/>
        </w:rPr>
        <w:t xml:space="preserve">Federal net operating loss carryforwards of approximately $107,823,900 generated in fiscal years ending after </w:t>
      </w:r>
      <w:r>
        <w:rPr>
          <w:rStyle w:val="Emphasis"/>
          <w:rFonts w:ascii="Times New Roman" w:hAnsi="Times New Roman"/>
          <w:caps w:val="false"/>
          <w:smallCaps w:val="false"/>
          <w:sz w:val="20"/>
        </w:rPr>
        <w:t xml:space="preserve">March 31, 2018 </w:t>
      </w:r>
      <w:r>
        <w:rPr>
          <w:rFonts w:ascii="Times New Roman" w:hAnsi="Times New Roman"/>
          <w:caps w:val="false"/>
          <w:smallCaps w:val="false"/>
          <w:sz w:val="20"/>
        </w:rPr>
        <w:t xml:space="preserve">will carry forward indefinitely, but are subject to an 80% taxable income limitation. As of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we had state net operating loss carryforwards of approximately $65,195,200, which will expire in fiscal years ending in </w:t>
      </w:r>
      <w:r>
        <w:rPr>
          <w:rStyle w:val="Emphasis"/>
          <w:rFonts w:ascii="Times New Roman" w:hAnsi="Times New Roman"/>
          <w:caps w:val="false"/>
          <w:smallCaps w:val="false"/>
          <w:sz w:val="20"/>
        </w:rPr>
        <w:t>2029</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2043.</w:t>
      </w:r>
      <w:r>
        <w:rPr>
          <w:rFonts w:ascii="Times New Roman" w:hAnsi="Times New Roman"/>
          <w:caps w:val="false"/>
          <w:smallCaps w:val="false"/>
          <w:sz w:val="20"/>
        </w:rPr>
        <w:t xml:space="preserve"> We also have federal and state research and development tax credit carryforwards of approximately $3,495,500 and $1,636,200, respectively. The federal tax credits will expire at various dates beginning with our fiscal year ending </w:t>
      </w:r>
      <w:r>
        <w:rPr>
          <w:rStyle w:val="Emphasis"/>
          <w:rFonts w:ascii="Times New Roman" w:hAnsi="Times New Roman"/>
          <w:caps w:val="false"/>
          <w:smallCaps w:val="false"/>
          <w:sz w:val="20"/>
        </w:rPr>
        <w:t xml:space="preserve">March 31, 2029, </w:t>
      </w:r>
      <w:r>
        <w:rPr>
          <w:rFonts w:ascii="Times New Roman" w:hAnsi="Times New Roman"/>
          <w:caps w:val="false"/>
          <w:smallCaps w:val="false"/>
          <w:sz w:val="20"/>
        </w:rPr>
        <w:t xml:space="preserve">unless previously utilized. The state tax credits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expire and will carry forward indefinitely until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Tax Cuts and Jobs Act of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w:t>
      </w:r>
      <w:r>
        <w:rPr>
          <w:rFonts w:ascii="Times New Roman" w:hAnsi="Times New Roman"/>
          <w:i/>
          <w:caps w:val="false"/>
          <w:smallCaps w:val="false"/>
          <w:sz w:val="20"/>
        </w:rPr>
        <w:t>TCJA</w:t>
      </w:r>
      <w:r>
        <w:rPr>
          <w:rFonts w:ascii="Times New Roman" w:hAnsi="Times New Roman"/>
          <w:caps w:val="false"/>
          <w:smallCaps w:val="false"/>
          <w:sz w:val="20"/>
        </w:rPr>
        <w:t xml:space="preserve">) made a significant change to Internal Revenue Code Section </w:t>
      </w:r>
      <w:r>
        <w:rPr>
          <w:rStyle w:val="Emphasis"/>
          <w:rFonts w:ascii="Times New Roman" w:hAnsi="Times New Roman"/>
          <w:caps w:val="false"/>
          <w:smallCaps w:val="false"/>
          <w:sz w:val="20"/>
        </w:rPr>
        <w:t>174</w:t>
      </w:r>
      <w:r>
        <w:rPr>
          <w:rFonts w:ascii="Times New Roman" w:hAnsi="Times New Roman"/>
          <w:caps w:val="false"/>
          <w:smallCaps w:val="false"/>
          <w:sz w:val="20"/>
        </w:rPr>
        <w:t xml:space="preserve"> that went into effect for taxable years beginning after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 change eliminated the ability to currently deduct research and development costs. Instead, these costs must be capitalized and amortized over a period of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for domestic activity and a period of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years for foreign activity. As a result, we capitalized research and development costs of approximately $42,755,300 for tax purposes for the year ended </w:t>
      </w:r>
      <w:r>
        <w:rPr>
          <w:rStyle w:val="Emphasis"/>
          <w:rFonts w:ascii="Times New Roman" w:hAnsi="Times New Roman"/>
          <w:caps w:val="false"/>
          <w:smallCaps w:val="false"/>
          <w:sz w:val="20"/>
        </w:rPr>
        <w:t>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27, 2020 </w:t>
      </w:r>
      <w:r>
        <w:rPr>
          <w:rFonts w:ascii="Times New Roman" w:hAnsi="Times New Roman"/>
          <w:caps w:val="false"/>
          <w:smallCaps w:val="false"/>
          <w:sz w:val="20"/>
        </w:rPr>
        <w:t xml:space="preserve">the U.S. enacted the Coronavirus Aid, Relief, and Economic Security Act (the CARES Act). On </w:t>
      </w:r>
      <w:r>
        <w:rPr>
          <w:rStyle w:val="Emphasis"/>
          <w:rFonts w:ascii="Times New Roman" w:hAnsi="Times New Roman"/>
          <w:caps w:val="false"/>
          <w:smallCaps w:val="false"/>
          <w:sz w:val="20"/>
        </w:rPr>
        <w:t xml:space="preserve">December 21, 2020, </w:t>
      </w:r>
      <w:r>
        <w:rPr>
          <w:rFonts w:ascii="Times New Roman" w:hAnsi="Times New Roman"/>
          <w:caps w:val="false"/>
          <w:smallCaps w:val="false"/>
          <w:sz w:val="20"/>
        </w:rPr>
        <w:t xml:space="preserve">The U.S. Congress passed the Consolidation Appropriations Act,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CAA Act). The Company evaluated the provisions of the CARES Act and CCA Act and determined that it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 in a significant impact on its tax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29, 2020, </w:t>
      </w:r>
      <w:r>
        <w:rPr>
          <w:rFonts w:ascii="Times New Roman" w:hAnsi="Times New Roman"/>
          <w:caps w:val="false"/>
          <w:smallCaps w:val="false"/>
          <w:sz w:val="20"/>
        </w:rPr>
        <w:t xml:space="preserve">California Assembly Bill </w:t>
      </w:r>
      <w:r>
        <w:rPr>
          <w:rStyle w:val="Emphasis"/>
          <w:rFonts w:ascii="Times New Roman" w:hAnsi="Times New Roman"/>
          <w:caps w:val="false"/>
          <w:smallCaps w:val="false"/>
          <w:sz w:val="20"/>
        </w:rPr>
        <w:t>85</w:t>
      </w:r>
      <w:r>
        <w:rPr>
          <w:rFonts w:ascii="Times New Roman" w:hAnsi="Times New Roman"/>
          <w:caps w:val="false"/>
          <w:smallCaps w:val="false"/>
          <w:sz w:val="20"/>
        </w:rPr>
        <w:t xml:space="preserve"> (AB </w:t>
      </w:r>
      <w:r>
        <w:rPr>
          <w:rStyle w:val="Emphasis"/>
          <w:rFonts w:ascii="Times New Roman" w:hAnsi="Times New Roman"/>
          <w:caps w:val="false"/>
          <w:smallCaps w:val="false"/>
          <w:sz w:val="20"/>
        </w:rPr>
        <w:t>85</w:t>
      </w:r>
      <w:r>
        <w:rPr>
          <w:rFonts w:ascii="Times New Roman" w:hAnsi="Times New Roman"/>
          <w:caps w:val="false"/>
          <w:smallCaps w:val="false"/>
          <w:sz w:val="20"/>
        </w:rPr>
        <w:t xml:space="preserve">) was signed into law, which suspended the use of California net operating losses and limits the use of California research tax credits for tax years beginning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before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However, on </w:t>
      </w:r>
      <w:r>
        <w:rPr>
          <w:rStyle w:val="Emphasis"/>
          <w:rFonts w:ascii="Times New Roman" w:hAnsi="Times New Roman"/>
          <w:caps w:val="false"/>
          <w:smallCaps w:val="false"/>
          <w:sz w:val="20"/>
        </w:rPr>
        <w:t xml:space="preserve">February 9, 2022, </w:t>
      </w:r>
      <w:r>
        <w:rPr>
          <w:rFonts w:ascii="Times New Roman" w:hAnsi="Times New Roman"/>
          <w:caps w:val="false"/>
          <w:smallCaps w:val="false"/>
          <w:sz w:val="20"/>
        </w:rPr>
        <w:t xml:space="preserve">California Senate Bill </w:t>
      </w:r>
      <w:r>
        <w:rPr>
          <w:rStyle w:val="Emphasis"/>
          <w:rFonts w:ascii="Times New Roman" w:hAnsi="Times New Roman"/>
          <w:caps w:val="false"/>
          <w:smallCaps w:val="false"/>
          <w:sz w:val="20"/>
        </w:rPr>
        <w:t>113</w:t>
      </w:r>
      <w:r>
        <w:rPr>
          <w:rFonts w:ascii="Times New Roman" w:hAnsi="Times New Roman"/>
          <w:caps w:val="false"/>
          <w:smallCaps w:val="false"/>
          <w:sz w:val="20"/>
        </w:rPr>
        <w:t xml:space="preserve"> (SB </w:t>
      </w:r>
      <w:r>
        <w:rPr>
          <w:rStyle w:val="Emphasis"/>
          <w:rFonts w:ascii="Times New Roman" w:hAnsi="Times New Roman"/>
          <w:caps w:val="false"/>
          <w:smallCaps w:val="false"/>
          <w:sz w:val="20"/>
        </w:rPr>
        <w:t>113</w:t>
      </w:r>
      <w:r>
        <w:rPr>
          <w:rFonts w:ascii="Times New Roman" w:hAnsi="Times New Roman"/>
          <w:caps w:val="false"/>
          <w:smallCaps w:val="false"/>
          <w:sz w:val="20"/>
        </w:rPr>
        <w:t xml:space="preserve">) was signed into law and removed the limitation on the net operating losses and credits for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year and allows, after taxable years beginning on or after </w:t>
      </w:r>
      <w:r>
        <w:rPr>
          <w:rStyle w:val="Emphasis"/>
          <w:rFonts w:ascii="Times New Roman" w:hAnsi="Times New Roman"/>
          <w:caps w:val="false"/>
          <w:smallCaps w:val="false"/>
          <w:sz w:val="20"/>
        </w:rPr>
        <w:t xml:space="preserve">January 1, 2022, </w:t>
      </w:r>
      <w:r>
        <w:rPr>
          <w:rFonts w:ascii="Times New Roman" w:hAnsi="Times New Roman"/>
          <w:caps w:val="false"/>
          <w:smallCaps w:val="false"/>
          <w:sz w:val="20"/>
        </w:rPr>
        <w:t xml:space="preserve">the ability to utilize net operating losses and credits. These changes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 in a significant impact on the value of the Company's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U.S. federal and state tax laws include substantial restrictions on the utilization of net operating loss carryforwards in the event of an ownership change of a corporation.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performed a change in ownership analysis since our inception in </w:t>
      </w:r>
      <w:r>
        <w:rPr>
          <w:rStyle w:val="Emphasis"/>
          <w:rFonts w:ascii="Times New Roman" w:hAnsi="Times New Roman"/>
          <w:caps w:val="false"/>
          <w:smallCaps w:val="false"/>
          <w:sz w:val="20"/>
        </w:rPr>
        <w:t>1998</w:t>
      </w:r>
      <w:r>
        <w:rPr>
          <w:rFonts w:ascii="Times New Roman" w:hAnsi="Times New Roman"/>
          <w:caps w:val="false"/>
          <w:smallCaps w:val="false"/>
          <w:sz w:val="20"/>
        </w:rPr>
        <w:t xml:space="preserve"> and accordingly some or all of our net operating loss carryforwards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available to offset future taxable income,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file income tax returns in the U.S. federal, and various U.S. state jurisdictions. We are subject to U.S. federal and state income tax examinations by tax authorities for tax years </w:t>
      </w:r>
      <w:r>
        <w:rPr>
          <w:rStyle w:val="Emphasis"/>
          <w:rFonts w:ascii="Times New Roman" w:hAnsi="Times New Roman"/>
          <w:caps w:val="false"/>
          <w:smallCaps w:val="false"/>
          <w:sz w:val="20"/>
        </w:rPr>
        <w:t>2004</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due to net operating losses that are being carried forward for tax purposes, but we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under examination by tax authorities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unrecognized tax benefits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relate entirely to research and development tax credits. The total amount of unrecognized tax benefits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is $1,283,000 and $1,088,100, respectively. If recognized,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the unrecognized tax benefits would impact our effective tax rate. The following table summarizes the activity related to our unrecognized tax benefits.</w:t>
      </w:r>
    </w:p>
    <w:p>
      <w:pPr>
        <w:pStyle w:val="TextBody"/>
        <w:bidi w:val="0"/>
        <w:spacing w:before="0" w:after="0"/>
        <w:ind w:left="0" w:right="0" w:hanging="0"/>
        <w:jc w:val="left"/>
        <w:rPr>
          <w:caps w:val="false"/>
          <w:smallCaps w:val="false"/>
        </w:rPr>
      </w:pPr>
      <w:r>
        <w:rPr>
          <w:caps w:val="false"/>
          <w:smallCaps w:val="false"/>
        </w:rPr>
        <w:t> </w:t>
      </w:r>
    </w:p>
    <w:tbl>
      <w:tblPr>
        <w:tblW w:w="6095" w:type="dxa"/>
        <w:jc w:val="left"/>
        <w:tblInd w:w="0" w:type="dxa"/>
        <w:tblLayout w:type="fixed"/>
        <w:tblCellMar>
          <w:top w:w="0" w:type="dxa"/>
          <w:left w:w="0" w:type="dxa"/>
          <w:bottom w:w="0" w:type="dxa"/>
          <w:right w:w="0" w:type="dxa"/>
        </w:tblCellMar>
      </w:tblPr>
      <w:tblGrid>
        <w:gridCol w:w="3545"/>
        <w:gridCol w:w="60"/>
        <w:gridCol w:w="147"/>
        <w:gridCol w:w="998"/>
        <w:gridCol w:w="70"/>
        <w:gridCol w:w="70"/>
        <w:gridCol w:w="147"/>
        <w:gridCol w:w="998"/>
        <w:gridCol w:w="60"/>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Fiscal Years Ended March 31,</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Unrecognized benefit -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1,088,100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931,900</w:t>
            </w:r>
          </w:p>
        </w:tc>
        <w:tc>
          <w:tcPr>
            <w:tcW w:w="6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period tax position increases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194,900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156,200</w:t>
            </w:r>
          </w:p>
        </w:tc>
        <w:tc>
          <w:tcPr>
            <w:tcW w:w="6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Unrecognized benefit -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1,283,000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1,088,100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policy is to recognize interest and penalties related to income taxes as components of interest expense and other expense, respectively. We incurred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interest or penalties related to unrecognized tax benefits in the years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any significant changes in our uncertain tax positions within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of this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Licensing, Sublicensing and Collaborative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Fasedienol Sublicense Agreement with EverInsight Therapeutics, Inc. (now AffaMed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24, 2020, </w:t>
      </w:r>
      <w:r>
        <w:rPr>
          <w:rFonts w:ascii="Times New Roman" w:hAnsi="Times New Roman"/>
          <w:caps w:val="false"/>
          <w:smallCaps w:val="false"/>
          <w:sz w:val="20"/>
        </w:rPr>
        <w:t>we entered into a license and collaboration agreement with EverInsight Therapeutics Inc. (</w:t>
      </w:r>
      <w:r>
        <w:rPr>
          <w:rFonts w:ascii="Times New Roman" w:hAnsi="Times New Roman"/>
          <w:i/>
          <w:caps w:val="false"/>
          <w:smallCaps w:val="false"/>
          <w:sz w:val="20"/>
        </w:rPr>
        <w:t>EverInsight</w:t>
      </w:r>
      <w:r>
        <w:rPr>
          <w:rFonts w:ascii="Times New Roman" w:hAnsi="Times New Roman"/>
          <w:caps w:val="false"/>
          <w:smallCaps w:val="false"/>
          <w:sz w:val="20"/>
        </w:rPr>
        <w:t xml:space="preserve">). Subsequent to entering into the agreement with EverInsight, in </w:t>
      </w:r>
      <w:r>
        <w:rPr>
          <w:rStyle w:val="Emphasis"/>
          <w:rFonts w:ascii="Times New Roman" w:hAnsi="Times New Roman"/>
          <w:caps w:val="false"/>
          <w:smallCaps w:val="false"/>
          <w:sz w:val="20"/>
        </w:rPr>
        <w:t xml:space="preserve">October 2020, </w:t>
      </w:r>
      <w:r>
        <w:rPr>
          <w:rFonts w:ascii="Times New Roman" w:hAnsi="Times New Roman"/>
          <w:caps w:val="false"/>
          <w:smallCaps w:val="false"/>
          <w:sz w:val="20"/>
        </w:rPr>
        <w:t xml:space="preserve">EverInsight merged with AffaMed Therapeutics, Inc., which as a combined entity is focusing on developing and commercializing therapeutics to address ophthalmologic and CNS disorders in Greater China (which includes Mainland China, Hong Kong, Macau and Taiwan) and beyond. Accordingly, we are now referring to EverInsight as AffaMed and the agreement originally entered into with EverInsight as the AffaMed Agreement. Under the AffaMed Agreement, we granted AffaMed an exclusive license to develop and commercialize fasedienol for SAD and other anxiety-related disorders in Greater China, South Korea and Southeast Asia (which includes Indonesia, Malaysia, Philippines, Thailand and Vietnam) (collectively, the </w:t>
      </w:r>
      <w:r>
        <w:rPr>
          <w:rFonts w:ascii="Times New Roman" w:hAnsi="Times New Roman"/>
          <w:i/>
          <w:caps w:val="false"/>
          <w:smallCaps w:val="false"/>
          <w:sz w:val="20"/>
        </w:rPr>
        <w:t>Territory</w:t>
      </w:r>
      <w:r>
        <w:rPr>
          <w:rFonts w:ascii="Times New Roman" w:hAnsi="Times New Roman"/>
          <w:caps w:val="false"/>
          <w:smallCaps w:val="false"/>
          <w:sz w:val="20"/>
        </w:rPr>
        <w:t>). We retain exclusive development and commercialization rights for fasedienol in the U.S. and throughout the rest of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terms of the AffaMed Agreement, AffaMed is responsible for all costs related to developing, obtaining regulatory approval of, and commercializing fasedienol for treatment of SAD, and potentially other anxiety-related indications, in the Territory. A joint development committee has been established between AffaMed and us to coordinate and review the development and commercialization plans with respect to fasedienol in the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are responsible for pursuing clinical development and regulatory submissions of fasedienol for acute treatment of anxiety in adults with SAD, and potentially other anxiety-related indications, in the United States on a ‘‘best efforts’’ basis,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guarantee of success. AffaMed will participate in the Phase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global clinical trial of fasedienol and will assume all direct costs and expenses of conducting such clinical trial in the Territory and a portion of the indirect costs of the global trial. We will transfer all development data (nonclinical and clinical data) and our regulatory documentation related to fasedienol throughout the term as it is developed or generated or otherwise comes into our control. We will grant to AffaMed a Right of Reference to our regulatory documentation and our development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Under the terms of the AffaMed Agreement, AffaMed paid us a non-refundable upfront license payment of $5.0 million in </w:t>
      </w:r>
      <w:r>
        <w:rPr>
          <w:rStyle w:val="Emphasis"/>
          <w:rFonts w:ascii="Times New Roman" w:hAnsi="Times New Roman"/>
          <w:caps w:val="false"/>
          <w:smallCaps w:val="false"/>
          <w:sz w:val="20"/>
        </w:rPr>
        <w:t xml:space="preserve">August 2020. </w:t>
      </w:r>
      <w:r>
        <w:rPr>
          <w:rFonts w:ascii="Times New Roman" w:hAnsi="Times New Roman"/>
          <w:caps w:val="false"/>
          <w:smallCaps w:val="false"/>
          <w:sz w:val="20"/>
        </w:rPr>
        <w:t xml:space="preserve">Additionally, upon successful development and commercialization of fasedienol in the Territory, we are eligible to receive milestone payments of up to $172.0 million. Further, we are eligible to receive royalty payments on a country-by-country basis on net sales for the later of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years or the expiration of market or regulatory exclusivity in the jurisdiction, except that payments will be reduced on a country-by-country basis in the event that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exclusivity in the period. Royalty payments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also be reduced if there is generic competitive product in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have determined that we have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combined performance obligation for the license to develop and commercialize fasedienol in the Territory and related development and regulatory services. In addition, AffaMed has an option that will create manufacturing obligations for us during development upon exercise by AffaMed. This option for manufacturing services was evaluated and determined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include a material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Development and commercialization milestones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probable at inception and therefore were excluded from the initial transaction price. The royalties were excluded from the initial transaction price because they relate to a license of intellectual property and are subject to the royalty constraint.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recognize revenue as the combined performance obligation is satisfied over time using an output method. The measure of progress is stand-ready straight-line over the period in which we expect to perform the services related to the sublicense of fasedienol. Significant management judgment is required to determine the level of effort attributable to the performance obligation included in the AffaMed Agreement and the period over which we expect to complete our performance obligation under the arrangement. The performance period or measure of progress was estimated at the inception of the arrangement and is re-evaluated in subsequent reporting periods. This re-evaluation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shorten or lengthen the period over which we recognize revenue. Due to the failure of PALISADE-</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 meet its primary efficacy endpoint and the resulting anticipated delay in subsequent clinical and regulatory processes for </w:t>
      </w:r>
      <w:r>
        <w:rPr>
          <w:rStyle w:val="Emphasis"/>
          <w:rFonts w:ascii="Times New Roman" w:hAnsi="Times New Roman"/>
          <w:caps w:val="false"/>
          <w:smallCaps w:val="false"/>
          <w:sz w:val="20"/>
        </w:rPr>
        <w:t>PH94B,</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 xml:space="preserve">we estimated that our performance obligation under the AffaMed Agreement will be completed in mid-calendar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rather than mid-calendar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subsequently revised our estimate, however, we will further adjust our estimates, as necessary, in subsequent periods as we obtain additional information on which to base our projections, including our ability to finance future clinical trials and satisfy other NDA-enabling requirements and/or our prospects for partnering future development of fasedienol in SAD with other entities. As described in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Fonts w:ascii="Times New Roman" w:hAnsi="Times New Roman"/>
          <w:i/>
          <w:caps w:val="false"/>
          <w:smallCaps w:val="false"/>
          <w:sz w:val="20"/>
        </w:rPr>
        <w:t>Summary of Significant Accounting Policies</w:t>
      </w:r>
      <w:r>
        <w:rPr>
          <w:rFonts w:ascii="Times New Roman" w:hAnsi="Times New Roman"/>
          <w:caps w:val="false"/>
          <w:smallCaps w:val="false"/>
          <w:sz w:val="20"/>
        </w:rPr>
        <w:t xml:space="preserve">, as a result of the change in our estimate of the time required to complete our performance obligation, we recorded a cumulative catch-up adjustment for the quarter ending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 xml:space="preserve">pursuant to which we derecognized $892,600 of previously recognized revenue, resulting in a $227,300 net derecognition of income for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Following the cumulative catch-up adjustment and subsequent amortization, through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we have recognized an aggregate of $1,971,100 in revenue under the AffaMed Agreement. We recognized $1,108,900 as revenue during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the aggregate amount of the transaction price allocated to the remaining performance obligation (deferred revenue) is $3,028,900 which will be recognized as revenue as our performance obligation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presents changes in our contract liabilities for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tbl>
      <w:tblPr>
        <w:tblW w:w="8578" w:type="dxa"/>
        <w:jc w:val="left"/>
        <w:tblInd w:w="0" w:type="dxa"/>
        <w:tblLayout w:type="fixed"/>
        <w:tblCellMar>
          <w:top w:w="0" w:type="dxa"/>
          <w:left w:w="0" w:type="dxa"/>
          <w:bottom w:w="0" w:type="dxa"/>
          <w:right w:w="0" w:type="dxa"/>
        </w:tblCellMar>
      </w:tblPr>
      <w:tblGrid>
        <w:gridCol w:w="3140"/>
        <w:gridCol w:w="60"/>
        <w:gridCol w:w="170"/>
        <w:gridCol w:w="1154"/>
        <w:gridCol w:w="60"/>
        <w:gridCol w:w="60"/>
        <w:gridCol w:w="131"/>
        <w:gridCol w:w="954"/>
        <w:gridCol w:w="80"/>
        <w:gridCol w:w="60"/>
        <w:gridCol w:w="734"/>
        <w:gridCol w:w="471"/>
        <w:gridCol w:w="60"/>
        <w:gridCol w:w="60"/>
        <w:gridCol w:w="170"/>
        <w:gridCol w:w="1154"/>
        <w:gridCol w:w="60"/>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Revenue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4"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Balance 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Recognition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4"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Balance at</w:t>
            </w:r>
          </w:p>
        </w:tc>
        <w:tc>
          <w:tcPr>
            <w:tcW w:w="6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Derecognition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2022</w:t>
            </w:r>
          </w:p>
        </w:tc>
        <w:tc>
          <w:tcPr>
            <w:tcW w:w="6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revenue - 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1,420,200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(176,200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1,244,000</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revenue - non-current portion</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(932,700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1,557,600</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(1,108,900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2,801,600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578" w:type="dxa"/>
        <w:jc w:val="left"/>
        <w:tblInd w:w="0" w:type="dxa"/>
        <w:tblLayout w:type="fixed"/>
        <w:tblCellMar>
          <w:top w:w="0" w:type="dxa"/>
          <w:left w:w="0" w:type="dxa"/>
          <w:bottom w:w="0" w:type="dxa"/>
          <w:right w:w="0" w:type="dxa"/>
        </w:tblCellMar>
      </w:tblPr>
      <w:tblGrid>
        <w:gridCol w:w="3140"/>
        <w:gridCol w:w="60"/>
        <w:gridCol w:w="170"/>
        <w:gridCol w:w="1154"/>
        <w:gridCol w:w="60"/>
        <w:gridCol w:w="60"/>
        <w:gridCol w:w="153"/>
        <w:gridCol w:w="932"/>
        <w:gridCol w:w="80"/>
        <w:gridCol w:w="60"/>
        <w:gridCol w:w="183"/>
        <w:gridCol w:w="1022"/>
        <w:gridCol w:w="60"/>
        <w:gridCol w:w="60"/>
        <w:gridCol w:w="170"/>
        <w:gridCol w:w="1154"/>
        <w:gridCol w:w="60"/>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Revenue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4"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Balance 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Recognition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4"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Balance at</w:t>
            </w:r>
          </w:p>
        </w:tc>
        <w:tc>
          <w:tcPr>
            <w:tcW w:w="6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Derecognition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2023</w:t>
            </w:r>
          </w:p>
        </w:tc>
        <w:tc>
          <w:tcPr>
            <w:tcW w:w="6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revenue - 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(665,300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714,300</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revenue - non-current portion</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1,557,600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2,314,600</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2,801,600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(665,300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3,028,900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Contract Acquisition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quarter ended </w:t>
      </w:r>
      <w:r>
        <w:rPr>
          <w:rStyle w:val="Emphasis"/>
          <w:rFonts w:ascii="Times New Roman" w:hAnsi="Times New Roman"/>
          <w:caps w:val="false"/>
          <w:smallCaps w:val="false"/>
          <w:sz w:val="20"/>
        </w:rPr>
        <w:t xml:space="preserve">September 30, 2020, </w:t>
      </w:r>
      <w:r>
        <w:rPr>
          <w:rFonts w:ascii="Times New Roman" w:hAnsi="Times New Roman"/>
          <w:caps w:val="false"/>
          <w:smallCaps w:val="false"/>
          <w:sz w:val="20"/>
        </w:rPr>
        <w:t xml:space="preserve">we made cash payments aggregating $345,000 for sublicense fees, which we were obligated to make pursuant to our fasedienol license from Pherin, and fees for consulting services exclusively related to the AffaMed Agreement. Additionally, on </w:t>
      </w:r>
      <w:r>
        <w:rPr>
          <w:rStyle w:val="Emphasis"/>
          <w:rFonts w:ascii="Times New Roman" w:hAnsi="Times New Roman"/>
          <w:caps w:val="false"/>
          <w:smallCaps w:val="false"/>
          <w:sz w:val="20"/>
        </w:rPr>
        <w:t xml:space="preserve">June 24, 2020, </w:t>
      </w:r>
      <w:r>
        <w:rPr>
          <w:rFonts w:ascii="Times New Roman" w:hAnsi="Times New Roman"/>
          <w:caps w:val="false"/>
          <w:smallCaps w:val="false"/>
          <w:sz w:val="20"/>
        </w:rPr>
        <w:t xml:space="preserve">we issued </w:t>
      </w:r>
      <w:r>
        <w:rPr>
          <w:rStyle w:val="Emphasis"/>
          <w:rFonts w:ascii="Times New Roman" w:hAnsi="Times New Roman"/>
          <w:caps w:val="false"/>
          <w:smallCaps w:val="false"/>
          <w:sz w:val="20"/>
        </w:rPr>
        <w:t>7,788</w:t>
      </w:r>
      <w:r>
        <w:rPr>
          <w:rFonts w:ascii="Times New Roman" w:hAnsi="Times New Roman"/>
          <w:caps w:val="false"/>
          <w:smallCaps w:val="false"/>
          <w:sz w:val="20"/>
        </w:rPr>
        <w:t xml:space="preserve"> unregistered shares of our common stock, valued at $125,000, as partial compensation for consulting services exclusively related to the AffaMed Agreement. These sublicense fees and consulting payments and the fair value of the common stock issued, aggregating $470,000, were capitalized as deferred contract acquisition costs in our Consolidated Balance Sheet. Similar to the related deferred revenue, capitalized contract acquisition costs are amortized over the periods during which we expect to satisfy the performance obligation under the AffaMed Agreement. As with deferred revenue, we recorded a cumulative catch-up adjustment in </w:t>
      </w:r>
      <w:r>
        <w:rPr>
          <w:rStyle w:val="Emphasis"/>
          <w:rFonts w:ascii="Times New Roman" w:hAnsi="Times New Roman"/>
          <w:caps w:val="false"/>
          <w:smallCaps w:val="false"/>
          <w:sz w:val="20"/>
        </w:rPr>
        <w:t>September 2022 </w:t>
      </w:r>
      <w:r>
        <w:rPr>
          <w:rFonts w:ascii="Times New Roman" w:hAnsi="Times New Roman"/>
          <w:caps w:val="false"/>
          <w:smallCaps w:val="false"/>
          <w:sz w:val="20"/>
        </w:rPr>
        <w:t xml:space="preserve">pursuant to which we reversed $83,900 of previously recognized contract acquisition cost expense related to the reassessment of the timeline for satisfying our performance obligation. Accordingly, amortization expense of approximately ($21,400) and $104,100 has been included in general and administrative expenses in our Consolidated Statement of Operations and Comprehensive Loss for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There has been no impairment loss in relation to the costs capitalized.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Unless earlier terminated due to certain material breaches of the contract, or otherwise, the AffaMed Agreement will expire on a jurisdiction-by-jurisdiction basis until the latest to occur of the expiration of the last valid claim under a licensed patent of fasedienol in such jurisdiction, the expiration of regulatory exclusivity in such jurisdiction or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years after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fasedienol in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License Agreements with Pherin Pharmaceuticals, Inc. (Pherin)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2018, </w:t>
      </w:r>
      <w:r>
        <w:rPr>
          <w:rFonts w:ascii="Times New Roman" w:hAnsi="Times New Roman"/>
          <w:caps w:val="false"/>
          <w:smallCaps w:val="false"/>
          <w:sz w:val="20"/>
        </w:rPr>
        <w:t xml:space="preserve">we issued 54,348 shares of our unregistered common stock having a fair market value of $2,250,000 to Pherin to acquire an exclusive worldwide license to develop and commercialize fasedienol for social anxiety disorder and an option to acquire a similar license for itruvone for MDD. In </w:t>
      </w:r>
      <w:r>
        <w:rPr>
          <w:rStyle w:val="Emphasis"/>
          <w:rFonts w:ascii="Times New Roman" w:hAnsi="Times New Roman"/>
          <w:caps w:val="false"/>
          <w:smallCaps w:val="false"/>
          <w:sz w:val="20"/>
        </w:rPr>
        <w:t xml:space="preserve">October 2018, </w:t>
      </w:r>
      <w:r>
        <w:rPr>
          <w:rFonts w:ascii="Times New Roman" w:hAnsi="Times New Roman"/>
          <w:caps w:val="false"/>
          <w:smallCaps w:val="false"/>
          <w:sz w:val="20"/>
        </w:rPr>
        <w:t xml:space="preserve">we exercised our option to acquire an exclusive worldwide license to develop and commercialize itruvone by issuing an additional 30,864 shares of our unregistered common stock having a fair market value of $2,000,000 to Pherin under the terms of the itruvone license agreement. Under the terms of the fasedienol and itruvone license agreements, we were obligated to make additional cash payments and pay royalties to Pherin in the event that certain regulatory and performance-based milestones and commercial sales are achieved. As a result of the Pherin Acquisition, we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obligated to pay such milestone or royalty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rPr>
        <w:t xml:space="preserve">Stock Option Plans, Employee Stock Purchase Plan, and </w:t>
      </w:r>
      <w:r>
        <w:rPr>
          <w:rStyle w:val="Emphasis"/>
          <w:rFonts w:ascii="Times New Roman" w:hAnsi="Times New Roman"/>
          <w:b/>
          <w:caps w:val="false"/>
          <w:smallCaps w:val="false"/>
          <w:sz w:val="20"/>
        </w:rPr>
        <w:t>401</w:t>
      </w:r>
      <w:r>
        <w:rPr>
          <w:rFonts w:ascii="Times New Roman" w:hAnsi="Times New Roman"/>
          <w:b/>
          <w:caps w:val="false"/>
          <w:smallCaps w:val="false"/>
          <w:sz w:val="20"/>
        </w:rPr>
        <w:t>(k)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we have the following stock-based compensation plans, which are described below:</w:t>
      </w:r>
    </w:p>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60"/>
        <w:gridCol w:w="170"/>
        <w:gridCol w:w="71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60" w:type="dxa"/>
            <w:tcBorders/>
            <w:vAlign w:val="center"/>
          </w:tcPr>
          <w:p>
            <w:pPr>
              <w:pStyle w:val="TableContents"/>
              <w:bidi w:val="0"/>
              <w:spacing w:before="0" w:after="0"/>
              <w:ind w:left="0" w:right="0" w:hanging="0"/>
              <w:jc w:val="left"/>
              <w:rPr/>
            </w:pPr>
            <w:r>
              <w:rPr>
                <w:rFonts w:ascii="Times New Roman;Times;serif" w:hAnsi="Times New Roman;Times;serif"/>
                <w:b/>
                <w:i/>
                <w:caps w:val="false"/>
                <w:smallCaps w:val="false"/>
                <w:sz w:val="20"/>
              </w:rPr>
              <w:t xml:space="preserve">Amended and Restated </w:t>
            </w:r>
            <w:r>
              <w:rPr>
                <w:rStyle w:val="Emphasis"/>
                <w:rFonts w:ascii="Times New Roman;Times;serif" w:hAnsi="Times New Roman;Times;serif"/>
                <w:b/>
                <w:i/>
                <w:caps w:val="false"/>
                <w:smallCaps w:val="false"/>
                <w:sz w:val="20"/>
              </w:rPr>
              <w:t>2016</w:t>
            </w:r>
            <w:r>
              <w:rPr>
                <w:rFonts w:ascii="Times New Roman;Times;serif" w:hAnsi="Times New Roman;Times;serif"/>
                <w:b/>
                <w:i/>
                <w:caps w:val="false"/>
                <w:smallCaps w:val="false"/>
                <w:sz w:val="20"/>
              </w:rPr>
              <w:t xml:space="preserve"> Stock Incentive Plan (the </w:t>
            </w:r>
            <w:r>
              <w:rPr>
                <w:rStyle w:val="Emphasis"/>
                <w:rFonts w:ascii="Times New Roman;Times;serif" w:hAnsi="Times New Roman;Times;serif"/>
                <w:b/>
                <w:i/>
                <w:caps w:val="false"/>
                <w:smallCaps w:val="false"/>
                <w:sz w:val="20"/>
              </w:rPr>
              <w:t>2016</w:t>
            </w:r>
            <w:r>
              <w:rPr>
                <w:rFonts w:ascii="Times New Roman;Times;serif" w:hAnsi="Times New Roman;Times;serif"/>
                <w:b/>
                <w:i/>
                <w:caps w:val="false"/>
                <w:smallCaps w:val="false"/>
                <w:sz w:val="20"/>
              </w:rPr>
              <w:t xml:space="preserve"> Plan);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60" w:type="dxa"/>
            <w:tcBorders/>
            <w:vAlign w:val="center"/>
          </w:tcPr>
          <w:p>
            <w:pPr>
              <w:pStyle w:val="TableContents"/>
              <w:bidi w:val="0"/>
              <w:spacing w:before="0" w:after="0"/>
              <w:ind w:left="0" w:right="0" w:hanging="0"/>
              <w:jc w:val="left"/>
              <w:rPr/>
            </w:pPr>
            <w:r>
              <w:rPr>
                <w:rFonts w:ascii="Times New Roman;Times;serif" w:hAnsi="Times New Roman;Times;serif"/>
                <w:b/>
                <w:i/>
                <w:caps w:val="false"/>
                <w:smallCaps w:val="false"/>
                <w:sz w:val="20"/>
              </w:rPr>
              <w:t xml:space="preserve">Amended and Restated </w:t>
            </w:r>
            <w:r>
              <w:rPr>
                <w:rStyle w:val="Emphasis"/>
                <w:rFonts w:ascii="Times New Roman;Times;serif" w:hAnsi="Times New Roman;Times;serif"/>
                <w:b/>
                <w:i/>
                <w:caps w:val="false"/>
                <w:smallCaps w:val="false"/>
                <w:sz w:val="20"/>
              </w:rPr>
              <w:t>2019</w:t>
            </w:r>
            <w:r>
              <w:rPr>
                <w:rFonts w:ascii="Times New Roman;Times;serif" w:hAnsi="Times New Roman;Times;serif"/>
                <w:b/>
                <w:i/>
                <w:caps w:val="false"/>
                <w:smallCaps w:val="false"/>
                <w:sz w:val="20"/>
              </w:rPr>
              <w:t xml:space="preserve"> Omnibus Equity Incentive Plan (the Amended </w:t>
            </w:r>
            <w:r>
              <w:rPr>
                <w:rStyle w:val="Emphasis"/>
                <w:rFonts w:ascii="Times New Roman;Times;serif" w:hAnsi="Times New Roman;Times;serif"/>
                <w:b/>
                <w:i/>
                <w:caps w:val="false"/>
                <w:smallCaps w:val="false"/>
                <w:sz w:val="20"/>
              </w:rPr>
              <w:t>2019</w:t>
            </w:r>
            <w:r>
              <w:rPr>
                <w:rFonts w:ascii="Times New Roman;Times;serif" w:hAnsi="Times New Roman;Times;serif"/>
                <w:b/>
                <w:i/>
                <w:caps w:val="false"/>
                <w:smallCaps w:val="false"/>
                <w:sz w:val="20"/>
              </w:rPr>
              <w:t xml:space="preser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i/>
          <w:caps w:val="false"/>
          <w:smallCaps w:val="false"/>
          <w:sz w:val="20"/>
        </w:rPr>
        <w:t xml:space="preserve">Description of the </w:t>
      </w:r>
      <w:r>
        <w:rPr>
          <w:rStyle w:val="Emphasis"/>
          <w:rFonts w:ascii="Times New Roman" w:hAnsi="Times New Roman"/>
          <w:b/>
          <w:i/>
          <w:caps w:val="false"/>
          <w:smallCaps w:val="false"/>
          <w:sz w:val="20"/>
        </w:rPr>
        <w:t>2016</w:t>
      </w:r>
      <w:r>
        <w:rPr>
          <w:rFonts w:ascii="Times New Roman" w:hAnsi="Times New Roman"/>
          <w:b/>
          <w:i/>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Board unanimously approved the Company’s Amended and Restated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Stock Incentive Plan, formerly titled the </w:t>
      </w:r>
      <w:r>
        <w:rPr>
          <w:rStyle w:val="Emphasis"/>
          <w:rFonts w:ascii="Times New Roman" w:hAnsi="Times New Roman"/>
          <w:caps w:val="false"/>
          <w:smallCaps w:val="false"/>
          <w:sz w:val="20"/>
        </w:rPr>
        <w:t>2008</w:t>
      </w:r>
      <w:r>
        <w:rPr>
          <w:rFonts w:ascii="Times New Roman" w:hAnsi="Times New Roman"/>
          <w:caps w:val="false"/>
          <w:smallCaps w:val="false"/>
          <w:sz w:val="20"/>
        </w:rPr>
        <w:t xml:space="preserve"> Stock Incentive Plan (the </w:t>
      </w:r>
      <w:r>
        <w:rPr>
          <w:rStyle w:val="Emphasis"/>
          <w:rFonts w:ascii="Times New Roman" w:hAnsi="Times New Roman"/>
          <w:i/>
          <w:caps w:val="false"/>
          <w:smallCaps w:val="false"/>
          <w:sz w:val="20"/>
        </w:rPr>
        <w:t>2016</w:t>
      </w:r>
      <w:r>
        <w:rPr>
          <w:rFonts w:ascii="Times New Roman" w:hAnsi="Times New Roman"/>
          <w:i/>
          <w:caps w:val="false"/>
          <w:smallCaps w:val="false"/>
          <w:sz w:val="20"/>
        </w:rPr>
        <w:t xml:space="preserve"> Plan</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July 26, 2016, </w:t>
      </w:r>
      <w:r>
        <w:rPr>
          <w:rFonts w:ascii="Times New Roman" w:hAnsi="Times New Roman"/>
          <w:caps w:val="false"/>
          <w:smallCaps w:val="false"/>
          <w:sz w:val="20"/>
        </w:rPr>
        <w:t xml:space="preserve">and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was approved by our stockholders at our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Annual Meeting of Stockholders on </w:t>
      </w:r>
      <w:r>
        <w:rPr>
          <w:rStyle w:val="Emphasis"/>
          <w:rFonts w:ascii="Times New Roman" w:hAnsi="Times New Roman"/>
          <w:caps w:val="false"/>
          <w:smallCaps w:val="false"/>
          <w:sz w:val="20"/>
        </w:rPr>
        <w:t xml:space="preserve">September 26, 2016, </w:t>
      </w:r>
      <w:r>
        <w:rPr>
          <w:rFonts w:ascii="Times New Roman" w:hAnsi="Times New Roman"/>
          <w:caps w:val="false"/>
          <w:smallCaps w:val="false"/>
          <w:sz w:val="20"/>
        </w:rPr>
        <w:t xml:space="preserve">and further amended to increase the number of shares authorized for issuance therefrom at our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Annual Meeting of Stockholders on </w:t>
      </w:r>
      <w:r>
        <w:rPr>
          <w:rStyle w:val="Emphasis"/>
          <w:rFonts w:ascii="Times New Roman" w:hAnsi="Times New Roman"/>
          <w:caps w:val="false"/>
          <w:smallCaps w:val="false"/>
          <w:sz w:val="20"/>
        </w:rPr>
        <w:t xml:space="preserve">September 15, 2017.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provided for the grant of stock options, restricted shares of common stock, stock appreciation rights and dividend equivalent rights, collectively referred to as “Awards”. Stock options granted under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were either incentive stock options under the provisions of Section </w:t>
      </w:r>
      <w:r>
        <w:rPr>
          <w:rStyle w:val="Emphasis"/>
          <w:rFonts w:ascii="Times New Roman" w:hAnsi="Times New Roman"/>
          <w:caps w:val="false"/>
          <w:smallCaps w:val="false"/>
          <w:sz w:val="20"/>
        </w:rPr>
        <w:t>422</w:t>
      </w:r>
      <w:r>
        <w:rPr>
          <w:rFonts w:ascii="Times New Roman" w:hAnsi="Times New Roman"/>
          <w:caps w:val="false"/>
          <w:smallCaps w:val="false"/>
          <w:sz w:val="20"/>
        </w:rPr>
        <w:t xml:space="preserve"> of the Internal Revenue Code of </w:t>
      </w:r>
      <w:r>
        <w:rPr>
          <w:rStyle w:val="Emphasis"/>
          <w:rFonts w:ascii="Times New Roman" w:hAnsi="Times New Roman"/>
          <w:caps w:val="false"/>
          <w:smallCaps w:val="false"/>
          <w:sz w:val="20"/>
        </w:rPr>
        <w:t>1986,</w:t>
      </w:r>
      <w:r>
        <w:rPr>
          <w:rFonts w:ascii="Times New Roman" w:hAnsi="Times New Roman"/>
          <w:caps w:val="false"/>
          <w:smallCaps w:val="false"/>
          <w:sz w:val="20"/>
        </w:rPr>
        <w:t xml:space="preserve"> as amended (the </w:t>
      </w:r>
      <w:r>
        <w:rPr>
          <w:rFonts w:ascii="Times New Roman" w:hAnsi="Times New Roman"/>
          <w:i/>
          <w:caps w:val="false"/>
          <w:smallCaps w:val="false"/>
          <w:sz w:val="20"/>
        </w:rPr>
        <w:t>Code</w:t>
      </w:r>
      <w:r>
        <w:rPr>
          <w:rFonts w:ascii="Times New Roman" w:hAnsi="Times New Roman"/>
          <w:caps w:val="false"/>
          <w:smallCaps w:val="false"/>
          <w:sz w:val="20"/>
        </w:rPr>
        <w:t xml:space="preserve">), or non-qualified stock options. We could grant incentive stock options only to employees of the Company or any parent or subsidiary of the Company. Awards other than incentive stock options could be granted to employees, directors and consultants. A total of 333,333 shares of our common stock were authorized for issuance under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of which options to purchase 215,773 shares remain outstanding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Upon the adoption of our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grants were permissible under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and 46,280 authorized shares were transferred to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and became issuable therefrom. All options granted from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remain operative under the terms of the respective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Description of the Amended </w:t>
      </w:r>
      <w:r>
        <w:rPr>
          <w:rStyle w:val="Emphasis"/>
          <w:rFonts w:ascii="Times New Roman" w:hAnsi="Times New Roman"/>
          <w:b/>
          <w:i/>
          <w:caps w:val="false"/>
          <w:smallCaps w:val="false"/>
          <w:sz w:val="20"/>
        </w:rPr>
        <w:t>2019</w:t>
      </w:r>
      <w:r>
        <w:rPr>
          <w:rFonts w:ascii="Times New Roman" w:hAnsi="Times New Roman"/>
          <w:b/>
          <w:i/>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Board approved the Vistagen Therapeutics, Inc.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Omnibus Equity Incentive Plan (the </w:t>
      </w:r>
      <w:r>
        <w:rPr>
          <w:rStyle w:val="Emphasis"/>
          <w:rFonts w:ascii="Times New Roman" w:hAnsi="Times New Roman"/>
          <w:i/>
          <w:caps w:val="false"/>
          <w:smallCaps w:val="false"/>
          <w:sz w:val="20"/>
        </w:rPr>
        <w:t>2019</w:t>
      </w:r>
      <w:r>
        <w:rPr>
          <w:rFonts w:ascii="Times New Roman" w:hAnsi="Times New Roman"/>
          <w:i/>
          <w:caps w:val="false"/>
          <w:smallCaps w:val="false"/>
          <w:sz w:val="20"/>
        </w:rPr>
        <w:t xml:space="preserve"> Plan</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May 27, 2019, </w:t>
      </w:r>
      <w:r>
        <w:rPr>
          <w:rFonts w:ascii="Times New Roman" w:hAnsi="Times New Roman"/>
          <w:caps w:val="false"/>
          <w:smallCaps w:val="false"/>
          <w:sz w:val="20"/>
        </w:rPr>
        <w:t xml:space="preserve">and our stockholders adopted it and ratified all previously issued grants on </w:t>
      </w:r>
      <w:r>
        <w:rPr>
          <w:rStyle w:val="Emphasis"/>
          <w:rFonts w:ascii="Times New Roman" w:hAnsi="Times New Roman"/>
          <w:caps w:val="false"/>
          <w:smallCaps w:val="false"/>
          <w:sz w:val="20"/>
        </w:rPr>
        <w:t xml:space="preserve">September 5, 2019.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28, 2021 </w:t>
      </w:r>
      <w:r>
        <w:rPr>
          <w:rFonts w:ascii="Times New Roman" w:hAnsi="Times New Roman"/>
          <w:caps w:val="false"/>
          <w:smallCaps w:val="false"/>
          <w:sz w:val="20"/>
        </w:rPr>
        <w:t xml:space="preserve">our Board approved and at our Annual Meeting of Stockholders on </w:t>
      </w:r>
      <w:r>
        <w:rPr>
          <w:rStyle w:val="Emphasis"/>
          <w:rFonts w:ascii="Times New Roman" w:hAnsi="Times New Roman"/>
          <w:caps w:val="false"/>
          <w:smallCaps w:val="false"/>
          <w:sz w:val="20"/>
        </w:rPr>
        <w:t xml:space="preserve">September 17, 2021, </w:t>
      </w:r>
      <w:r>
        <w:rPr>
          <w:rFonts w:ascii="Times New Roman" w:hAnsi="Times New Roman"/>
          <w:caps w:val="false"/>
          <w:smallCaps w:val="false"/>
          <w:sz w:val="20"/>
        </w:rPr>
        <w:t xml:space="preserve">our stockholders approved certain amendments to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w:t>
      </w:r>
      <w:r>
        <w:rPr>
          <w:rFonts w:ascii="Times New Roman" w:hAnsi="Times New Roman"/>
          <w:i/>
          <w:caps w:val="false"/>
          <w:smallCaps w:val="false"/>
          <w:sz w:val="20"/>
        </w:rPr>
        <w:t xml:space="preserve">Amended </w:t>
      </w:r>
      <w:r>
        <w:rPr>
          <w:rStyle w:val="Emphasis"/>
          <w:rFonts w:ascii="Times New Roman" w:hAnsi="Times New Roman"/>
          <w:i/>
          <w:caps w:val="false"/>
          <w:smallCaps w:val="false"/>
          <w:sz w:val="20"/>
        </w:rPr>
        <w:t>2019</w:t>
      </w:r>
      <w:r>
        <w:rPr>
          <w:rFonts w:ascii="Times New Roman" w:hAnsi="Times New Roman"/>
          <w:i/>
          <w:caps w:val="false"/>
          <w:smallCaps w:val="false"/>
          <w:sz w:val="20"/>
        </w:rPr>
        <w:t xml:space="preserve"> Plan</w:t>
      </w:r>
      <w:r>
        <w:rPr>
          <w:rFonts w:ascii="Times New Roman" w:hAnsi="Times New Roman"/>
          <w:caps w:val="false"/>
          <w:smallCaps w:val="false"/>
          <w:sz w:val="20"/>
        </w:rPr>
        <w:t xml:space="preserve">). The principal features of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are summarized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Awards and Eligible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is designed to secure and retain the services of our employees, non-employee directors and consultants, to provide incentives for such persons to exert maximum efforts for the success of the Company and our affiliates, and to provide a means by which such persons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given an opportunity to benefit from increases in the value of our common stock.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is also designed to align employees’ interests with stockholder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provides for the grant of stock options, stock appreciation rights (</w:t>
      </w:r>
      <w:r>
        <w:rPr>
          <w:rFonts w:ascii="Times New Roman" w:hAnsi="Times New Roman"/>
          <w:i/>
          <w:caps w:val="false"/>
          <w:smallCaps w:val="false"/>
          <w:sz w:val="20"/>
        </w:rPr>
        <w:t>SARs</w:t>
      </w:r>
      <w:r>
        <w:rPr>
          <w:rFonts w:ascii="Times New Roman" w:hAnsi="Times New Roman"/>
          <w:caps w:val="false"/>
          <w:smallCaps w:val="false"/>
          <w:sz w:val="20"/>
        </w:rPr>
        <w:t xml:space="preserve">), restricted stock, restricted stock units, and other stock-based awards, and performance awards, collectively referred to as “Awards”. Awards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under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to officers, employees and consultants of the Company and our subsidiaries and to our non-employee directors. Incentive stock options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only to employees of the Company 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our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Plan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is administered by the Compensation Committee of the Board (the </w:t>
      </w:r>
      <w:r>
        <w:rPr>
          <w:rFonts w:ascii="Times New Roman" w:hAnsi="Times New Roman"/>
          <w:i/>
          <w:caps w:val="false"/>
          <w:smallCaps w:val="false"/>
          <w:sz w:val="20"/>
        </w:rPr>
        <w:t>Committee</w:t>
      </w:r>
      <w:r>
        <w:rPr>
          <w:rFonts w:ascii="Times New Roman" w:hAnsi="Times New Roman"/>
          <w:caps w:val="false"/>
          <w:smallCaps w:val="false"/>
          <w:sz w:val="20"/>
        </w:rPr>
        <w:t xml:space="preserve">). The Committee, in its discretion, selects the individuals to whom awards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the time or times at which such awards are granted, and the terms of such awards. The Committee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delegate its authority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Committee sets stock option exercise prices and terms, except that stock options must be granted with an exercise price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fair market value of the common stock on the date of grant. The Committee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grant either incentive stock options, which must comply with Section </w:t>
      </w:r>
      <w:r>
        <w:rPr>
          <w:rStyle w:val="Emphasis"/>
          <w:rFonts w:ascii="Times New Roman" w:hAnsi="Times New Roman"/>
          <w:caps w:val="false"/>
          <w:smallCaps w:val="false"/>
          <w:sz w:val="20"/>
        </w:rPr>
        <w:t>422</w:t>
      </w:r>
      <w:r>
        <w:rPr>
          <w:rFonts w:ascii="Times New Roman" w:hAnsi="Times New Roman"/>
          <w:caps w:val="false"/>
          <w:smallCaps w:val="false"/>
          <w:sz w:val="20"/>
        </w:rPr>
        <w:t xml:space="preserve"> of the Code, or nonqualified stock options. At the time of grant, the Committee determines the terms and conditions of stock options, including the quantity, exercise price, vesting periods, term (which cannot exceed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years) and other conditions on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Committee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grant SARs as a right in tandem with the number of shares underlying stock options granted under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or as a freestanding award. Upon exercise, SARs entitle the holder to receive payment per share in stock or cash, or in a combination of stock and cash, equal to the excess of the share’s fair market value on the date of exercise over the grant price of the SAR.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Committee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grant awards of restricted stock, which are shares of common stock subject to specified restrictions, and restricted stock units, which represent the right to receive shares of the common stock in the future. These awards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made subject to repurchase, forfeiture or vesting restrictions at the Committee’s discretion. The restrictions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based on continuous service with the Company or the attainment of specified performance goals, as determined by the Committee. Stock units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paid in stock or cash or a combination of stock and cash, as determined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Committee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condition the grant, exercise, vesting, or settlement of any award on such performance conditions as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specify. We refer to these awards as “performance awards.” The Committee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select such business criteria or other performance measures as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deem appropriate in establishing any performance conditions.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the Committee has not granted any performance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total of 250,000 shares of our common stock was initially authorized for issuance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Upon approval of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by our stockholders, a total of 600,000 shares of our common stock became available for issuance under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the event any award under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is canceled, terminates, expires or lapses for any reason prior to the issuance of shares or if shares are issued under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and thereafter are forfeited to us, the shares subject to such awards and the forfeited shares will again be available for grant under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more than 25% of any equity-based awards granted under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vest on the grant date of such award. The Board believes this requirement provides the Company the necessary flexibility to issue Awards that will both attract new talent, particularly as the Company advances its clinical development plans for its drug candidates, and provide incentives sufficient to retain the Company’s existing employees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This requirement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apply to (i) substitute awards resulting from acquisitions or (ii) shares delivered in lieu of fully vested cash awards. In addition, the minimum vesting requirement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apply to the Committee’s discretion to provide for accelerated exercisability or vesting of any award, including in cases of retirement, death, disability or a change in control, in the terms of the award or otherwise. Awards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transferable other than by will or the laws of descent and distribution, except that in certain instances transfers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made to or for the benefit of designated family members of the participant for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Option Repricing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permit repricing of outstanding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the event of a change in control of the Company, the Committee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accelerate the time period relating to the exercise of any outstanding Award, including stock options or restricted stock units. In addition, the Committee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take other action, including (a) providing for the purchase of any award for an amount of cash or other property that could have been received upon the exercise of such award had the award been currently exercisable, (b) subject to certain limitations, adjusting the terms of the award in a manner determined by the Committee to reflect the change in control, or (c) causing an award to be assumed, or new rights substituted therefor, by another entity with appropriate adjustments to be made regarding the number and kind of shares and exercise prices of the award. “Change in Control” is defined under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and requires consummation of the applicable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Unless earlier terminated by the Board,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will terminate,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awards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on </w:t>
      </w:r>
      <w:r>
        <w:rPr>
          <w:rStyle w:val="Emphasis"/>
          <w:rFonts w:ascii="Times New Roman" w:hAnsi="Times New Roman"/>
          <w:caps w:val="false"/>
          <w:smallCaps w:val="false"/>
          <w:sz w:val="20"/>
        </w:rPr>
        <w:t xml:space="preserve">September 5, 2029, </w:t>
      </w:r>
      <w:r>
        <w:rPr>
          <w:rFonts w:ascii="Times New Roman" w:hAnsi="Times New Roman"/>
          <w:caps w:val="false"/>
          <w:smallCaps w:val="false"/>
          <w:sz w:val="20"/>
        </w:rPr>
        <w:t xml:space="preserve">which is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years after the date on which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was initially approved by our stockholders. The Board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amend, suspend or terminate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at any time.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in such a manner and to such a degree as required. The amendment, suspension or termination of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or the amendment of an outstanding award generally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without a participant’s consent, materially impair the participant’s rights under an outstanding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granted from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options to purchase an aggregate of 143,900 shares of our common stock at exercise prices equal to the closing market price of our common stock on each respective grant date,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Options to purchase 96,667 shares granted to all of our employees except executive officers and members of our Board in </w:t>
            </w:r>
            <w:r>
              <w:rPr>
                <w:rStyle w:val="Emphasis"/>
                <w:rFonts w:ascii="Times New Roman;Times;serif" w:hAnsi="Times New Roman;Times;serif"/>
                <w:caps w:val="false"/>
                <w:smallCaps w:val="false"/>
                <w:sz w:val="20"/>
              </w:rPr>
              <w:t xml:space="preserve">November 2022, </w:t>
            </w:r>
            <w:r>
              <w:rPr>
                <w:rFonts w:ascii="Times New Roman;Times;serif" w:hAnsi="Times New Roman;Times;serif"/>
                <w:caps w:val="false"/>
                <w:smallCaps w:val="false"/>
                <w:sz w:val="20"/>
              </w:rPr>
              <w:t xml:space="preserve">at an exercise price of $4.4370 per share. The options vest 25% on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anniversary of the grant date with the remaining shares vesting ratably monthly over the next three years;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Options to purchase 33,900 shares granted to newly hired employees at exercise prices ranging from $3.57 per share to $45.30 per share. Options granted to new employees vest 25% on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anniversary of the grant date with the remaining shares vesting ratably monthly over the next three years;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Options to purchase 13,333 shares granted to consultants, which options vested 25% on the grant date and ratably monthly over the next </w:t>
            </w:r>
            <w:r>
              <w:rPr>
                <w:rStyle w:val="Emphasis"/>
                <w:rFonts w:ascii="Times New Roman;Times;serif" w:hAnsi="Times New Roman;Times;serif"/>
                <w:caps w:val="false"/>
                <w:smallCaps w:val="false"/>
                <w:sz w:val="20"/>
              </w:rPr>
              <w:t>twelve</w:t>
            </w:r>
            <w:r>
              <w:rPr>
                <w:rFonts w:ascii="Times New Roman;Times;serif" w:hAnsi="Times New Roman;Times;serif"/>
                <w:caps w:val="false"/>
                <w:smallCaps w:val="false"/>
                <w:sz w:val="20"/>
              </w:rPr>
              <w:t xml:space="preserve"> months.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 granted from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options to purchase an aggregate of 173,500 shares of our common stock at exercise prices equal to or above the closing market price of our common stock on each respective grant date,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Options to purchase 136,333 shares of our common stock granted to our officers and employees, of which options to purchase 55,000 shares were granted to newly-hired employees upon commencement of their employment. Options granted to newly-hired employees vest 25% on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anniversary of the grant date with the remaining shares vesting ratably monthly over the next three years. General option grants to employees in </w:t>
            </w:r>
            <w:r>
              <w:rPr>
                <w:rStyle w:val="Emphasis"/>
                <w:rFonts w:ascii="Times New Roman;Times;serif" w:hAnsi="Times New Roman;Times;serif"/>
                <w:caps w:val="false"/>
                <w:smallCaps w:val="false"/>
                <w:sz w:val="20"/>
              </w:rPr>
              <w:t xml:space="preserve">March 2022, </w:t>
            </w:r>
            <w:r>
              <w:rPr>
                <w:rFonts w:ascii="Times New Roman;Times;serif" w:hAnsi="Times New Roman;Times;serif"/>
                <w:caps w:val="false"/>
                <w:smallCaps w:val="false"/>
                <w:sz w:val="20"/>
              </w:rPr>
              <w:t xml:space="preserve">aggregating options to purchase 81,333 shares, including to employees who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have received new-hire grants earlier in Fiscal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vest 25% upon grant with the remaining shares vesting ratably over two years;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Options to purchase 24,167 shares of our common stock granted to the independent members of our Board, of which 7,500 were granted to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newly appointed independent members. Options granted to independent Board members vest ratably over one year following the respective grant 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to purchase 13,000 shares of our common stock granted to certain consultants, which options were vested 25% upon grant with the balance generally vesting over one to two years following the grant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12, 2022, </w:t>
      </w:r>
      <w:r>
        <w:rPr>
          <w:rFonts w:ascii="Times New Roman" w:hAnsi="Times New Roman"/>
          <w:caps w:val="false"/>
          <w:smallCaps w:val="false"/>
          <w:sz w:val="20"/>
        </w:rPr>
        <w:t xml:space="preserve">the Committee modified outstanding options to purchase an aggregate of 44,071shares of our common stock exercisable at prices between $11.94 per share and $53.10 per share previously granted to a terminated employee and otherwise set to expire on </w:t>
      </w:r>
      <w:r>
        <w:rPr>
          <w:rStyle w:val="Emphasis"/>
          <w:rFonts w:ascii="Times New Roman" w:hAnsi="Times New Roman"/>
          <w:caps w:val="false"/>
          <w:smallCaps w:val="false"/>
          <w:sz w:val="20"/>
        </w:rPr>
        <w:t xml:space="preserve">September 13, 2022, </w:t>
      </w:r>
      <w:r>
        <w:rPr>
          <w:rFonts w:ascii="Times New Roman" w:hAnsi="Times New Roman"/>
          <w:caps w:val="false"/>
          <w:smallCaps w:val="false"/>
          <w:sz w:val="20"/>
        </w:rPr>
        <w:t xml:space="preserve">to extend the exercisability of such options for a period of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term of the options, including exercise price, was modified. We calculated the fair value of the modified options immediately before and after the modification using the Black Scholes Option Pricing Model and the weighted average assumptions indicated in the table below. We recognized the incremental fair value, $108,600, as a component of research and development stock compensation expense in our Consolidated Statements of Operations and Comprehensive Loss for Fiscal </w:t>
      </w:r>
      <w:r>
        <w:rPr>
          <w:rStyle w:val="Emphasis"/>
          <w:rFonts w:ascii="Times New Roman" w:hAnsi="Times New Roman"/>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28" w:type="dxa"/>
          <w:right w:w="0" w:type="dxa"/>
        </w:tblCellMar>
      </w:tblPr>
      <w:tblGrid>
        <w:gridCol w:w="3275"/>
        <w:gridCol w:w="60"/>
        <w:gridCol w:w="255"/>
        <w:gridCol w:w="1205"/>
        <w:gridCol w:w="185"/>
        <w:gridCol w:w="60"/>
        <w:gridCol w:w="265"/>
        <w:gridCol w:w="1255"/>
        <w:gridCol w:w="185"/>
      </w:tblGrid>
      <w:tr>
        <w:trPr/>
        <w:tc>
          <w:tcPr>
            <w:tcW w:w="327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Assumption: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46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Pre-modification</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2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Post-modification</w:t>
            </w:r>
          </w:p>
        </w:tc>
        <w:tc>
          <w:tcPr>
            <w:tcW w:w="185" w:type="dxa"/>
            <w:tcBorders/>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 price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6.156</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6.156</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 price per share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5"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5"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38.10</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ind w:left="0" w:right="0" w:hanging="0"/>
              <w:jc w:val="left"/>
              <w:rPr/>
            </w:pPr>
            <w:r>
              <w:rPr/>
              <w:t> </w:t>
            </w:r>
          </w:p>
        </w:tc>
        <w:tc>
          <w:tcPr>
            <w:tcW w:w="12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Remaining contractual term in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ind w:left="0" w:right="0" w:hanging="0"/>
              <w:jc w:val="left"/>
              <w:rPr/>
            </w:pPr>
            <w:r>
              <w:rPr/>
              <w:t> </w:t>
            </w:r>
          </w:p>
        </w:tc>
        <w:tc>
          <w:tcPr>
            <w:tcW w:w="12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0.003</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ind w:left="0" w:right="0" w:hanging="0"/>
              <w:jc w:val="left"/>
              <w:rPr/>
            </w:pPr>
            <w:r>
              <w:rPr/>
              <w:t> </w:t>
            </w:r>
          </w:p>
        </w:tc>
        <w:tc>
          <w:tcPr>
            <w:tcW w:w="12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0.249</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138.31</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ind w:left="0" w:right="0" w:hanging="0"/>
              <w:jc w:val="left"/>
              <w:rPr/>
            </w:pPr>
            <w:r>
              <w:rPr/>
              <w:t> </w:t>
            </w:r>
          </w:p>
        </w:tc>
        <w:tc>
          <w:tcPr>
            <w:tcW w:w="12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412.67</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ind w:left="0" w:right="0" w:hanging="0"/>
              <w:jc w:val="left"/>
              <w:rPr/>
            </w:pPr>
            <w:r>
              <w:rPr/>
              <w:t> </w:t>
            </w:r>
          </w:p>
        </w:tc>
        <w:tc>
          <w:tcPr>
            <w:tcW w:w="12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ind w:left="0" w:right="0" w:hanging="0"/>
              <w:jc w:val="left"/>
              <w:rPr/>
            </w:pPr>
            <w:r>
              <w:rPr/>
              <w:t> </w:t>
            </w:r>
          </w:p>
        </w:tc>
        <w:tc>
          <w:tcPr>
            <w:tcW w:w="12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jc w:val="left"/>
              <w:rPr/>
            </w:pPr>
            <w:r>
              <w:rPr/>
              <w:t> </w:t>
            </w:r>
          </w:p>
        </w:tc>
        <w:tc>
          <w:tcPr>
            <w:tcW w:w="1255"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 of option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ind w:left="0" w:right="0" w:hanging="0"/>
              <w:jc w:val="left"/>
              <w:rPr/>
            </w:pPr>
            <w:r>
              <w:rPr/>
              <w:t> </w:t>
            </w:r>
          </w:p>
        </w:tc>
        <w:tc>
          <w:tcPr>
            <w:tcW w:w="12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44,071</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ind w:left="0" w:right="0" w:hanging="0"/>
              <w:jc w:val="left"/>
              <w:rPr/>
            </w:pPr>
            <w:r>
              <w:rPr/>
              <w:t> </w:t>
            </w:r>
          </w:p>
        </w:tc>
        <w:tc>
          <w:tcPr>
            <w:tcW w:w="12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44,071</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Weighted average fair value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0.00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2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2.46</w:t>
            </w:r>
          </w:p>
        </w:tc>
        <w:tc>
          <w:tcPr>
            <w:tcW w:w="18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12, 2022, </w:t>
      </w:r>
      <w:r>
        <w:rPr>
          <w:rFonts w:ascii="Times New Roman" w:hAnsi="Times New Roman"/>
          <w:caps w:val="false"/>
          <w:smallCaps w:val="false"/>
          <w:sz w:val="20"/>
        </w:rPr>
        <w:t xml:space="preserve">the Committee again modified the options to extend the exercisability of such options through </w:t>
      </w:r>
      <w:r>
        <w:rPr>
          <w:rStyle w:val="Emphasis"/>
          <w:rFonts w:ascii="Times New Roman" w:hAnsi="Times New Roman"/>
          <w:caps w:val="false"/>
          <w:smallCaps w:val="false"/>
          <w:sz w:val="20"/>
        </w:rPr>
        <w:t>March 31, 2023. No</w:t>
      </w:r>
      <w:r>
        <w:rPr>
          <w:rFonts w:ascii="Times New Roman" w:hAnsi="Times New Roman"/>
          <w:caps w:val="false"/>
          <w:smallCaps w:val="false"/>
          <w:sz w:val="20"/>
        </w:rPr>
        <w:t xml:space="preserve"> other term of the options was modified. We calculated the fair value of the modified options immediately before and after the modification using the Black Scholes Option Pricing Model and the weighted average assumptions indicated in the table below. We recognized the incremental fair value, $100, as a component of research and development stock compensation expense in our Consolidated Statement of Operations and Comprehensive Loss for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bringing the aggregate modification expense for these options to $108,700 for Fiscal </w:t>
      </w:r>
      <w:r>
        <w:rPr>
          <w:rStyle w:val="Emphasis"/>
          <w:rFonts w:ascii="Times New Roman" w:hAnsi="Times New Roman"/>
          <w:caps w:val="false"/>
          <w:smallCaps w:val="false"/>
          <w:sz w:val="20"/>
        </w:rPr>
        <w:t>2023.</w:t>
      </w:r>
    </w:p>
    <w:p>
      <w:pPr>
        <w:pStyle w:val="TextBody"/>
        <w:bidi w:val="0"/>
        <w:spacing w:before="0" w:after="0"/>
        <w:ind w:left="0" w:right="0" w:hanging="0"/>
        <w:jc w:val="both"/>
        <w:rPr>
          <w:caps w:val="false"/>
          <w:smallCaps w:val="false"/>
        </w:rPr>
      </w:pPr>
      <w:r>
        <w:rPr>
          <w:caps w:val="false"/>
          <w:smallCaps w:val="false"/>
        </w:rPr>
        <w:t> </w:t>
      </w:r>
    </w:p>
    <w:tbl>
      <w:tblPr>
        <w:tblW w:w="6745" w:type="dxa"/>
        <w:jc w:val="left"/>
        <w:tblInd w:w="0" w:type="dxa"/>
        <w:tblLayout w:type="fixed"/>
        <w:tblCellMar>
          <w:top w:w="0" w:type="dxa"/>
          <w:left w:w="0" w:type="dxa"/>
          <w:bottom w:w="28" w:type="dxa"/>
          <w:right w:w="0" w:type="dxa"/>
        </w:tblCellMar>
      </w:tblPr>
      <w:tblGrid>
        <w:gridCol w:w="3275"/>
        <w:gridCol w:w="60"/>
        <w:gridCol w:w="255"/>
        <w:gridCol w:w="1205"/>
        <w:gridCol w:w="185"/>
        <w:gridCol w:w="60"/>
        <w:gridCol w:w="265"/>
        <w:gridCol w:w="1255"/>
        <w:gridCol w:w="185"/>
      </w:tblGrid>
      <w:tr>
        <w:trPr/>
        <w:tc>
          <w:tcPr>
            <w:tcW w:w="327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Assumption: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46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Pre-modification</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2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Post-modification</w:t>
            </w:r>
          </w:p>
        </w:tc>
        <w:tc>
          <w:tcPr>
            <w:tcW w:w="185" w:type="dxa"/>
            <w:tcBorders/>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 price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 price per share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5"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5"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38.10</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ind w:left="0" w:right="0" w:hanging="0"/>
              <w:jc w:val="left"/>
              <w:rPr/>
            </w:pPr>
            <w:r>
              <w:rPr/>
              <w:t> </w:t>
            </w:r>
          </w:p>
        </w:tc>
        <w:tc>
          <w:tcPr>
            <w:tcW w:w="12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Remaining contractual term in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ind w:left="0" w:right="0" w:hanging="0"/>
              <w:jc w:val="left"/>
              <w:rPr/>
            </w:pPr>
            <w:r>
              <w:rPr/>
              <w:t> </w:t>
            </w:r>
          </w:p>
        </w:tc>
        <w:tc>
          <w:tcPr>
            <w:tcW w:w="12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ind w:left="0" w:right="0" w:hanging="0"/>
              <w:jc w:val="left"/>
              <w:rPr/>
            </w:pPr>
            <w:r>
              <w:rPr/>
              <w:t> </w:t>
            </w:r>
          </w:p>
        </w:tc>
        <w:tc>
          <w:tcPr>
            <w:tcW w:w="12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0.299</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92.75</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ind w:left="0" w:right="0" w:hanging="0"/>
              <w:jc w:val="left"/>
              <w:rPr/>
            </w:pPr>
            <w:r>
              <w:rPr/>
              <w:t> </w:t>
            </w:r>
          </w:p>
        </w:tc>
        <w:tc>
          <w:tcPr>
            <w:tcW w:w="12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99.54</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ind w:left="0" w:right="0" w:hanging="0"/>
              <w:jc w:val="left"/>
              <w:rPr/>
            </w:pPr>
            <w:r>
              <w:rPr/>
              <w:t> </w:t>
            </w:r>
          </w:p>
        </w:tc>
        <w:tc>
          <w:tcPr>
            <w:tcW w:w="12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ind w:left="0" w:right="0" w:hanging="0"/>
              <w:jc w:val="left"/>
              <w:rPr/>
            </w:pPr>
            <w:r>
              <w:rPr/>
              <w:t> </w:t>
            </w:r>
          </w:p>
        </w:tc>
        <w:tc>
          <w:tcPr>
            <w:tcW w:w="12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jc w:val="left"/>
              <w:rPr/>
            </w:pPr>
            <w:r>
              <w:rPr/>
              <w:t> </w:t>
            </w:r>
          </w:p>
        </w:tc>
        <w:tc>
          <w:tcPr>
            <w:tcW w:w="1255"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 of option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ind w:left="0" w:right="0" w:hanging="0"/>
              <w:jc w:val="left"/>
              <w:rPr/>
            </w:pPr>
            <w:r>
              <w:rPr/>
              <w:t> </w:t>
            </w:r>
          </w:p>
        </w:tc>
        <w:tc>
          <w:tcPr>
            <w:tcW w:w="12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44,071</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ind w:left="0" w:right="0" w:hanging="0"/>
              <w:jc w:val="left"/>
              <w:rPr/>
            </w:pPr>
            <w:r>
              <w:rPr/>
              <w:t> </w:t>
            </w:r>
          </w:p>
        </w:tc>
        <w:tc>
          <w:tcPr>
            <w:tcW w:w="12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44,071</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Weighted average fair value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0.00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2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0.002</w:t>
            </w:r>
          </w:p>
        </w:tc>
        <w:tc>
          <w:tcPr>
            <w:tcW w:w="18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summarizes stock-based compensation expense related to option grants to our officers, independent directors, consultants and service providers included in the accompanying Consolidated Statements of Operations and Comprehensive Loss for the years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including the effect of the option modifications described above.</w:t>
      </w:r>
    </w:p>
    <w:p>
      <w:pPr>
        <w:pStyle w:val="TextBody"/>
        <w:bidi w:val="0"/>
        <w:spacing w:before="0" w:after="0"/>
        <w:ind w:left="0" w:right="0" w:hanging="0"/>
        <w:jc w:val="left"/>
        <w:rPr>
          <w:caps w:val="false"/>
          <w:smallCaps w:val="false"/>
        </w:rPr>
      </w:pPr>
      <w:r>
        <w:rPr>
          <w:caps w:val="false"/>
          <w:smallCaps w:val="false"/>
        </w:rPr>
        <w:t> </w:t>
      </w:r>
    </w:p>
    <w:tbl>
      <w:tblPr>
        <w:tblW w:w="6082" w:type="dxa"/>
        <w:jc w:val="left"/>
        <w:tblInd w:w="0" w:type="dxa"/>
        <w:tblLayout w:type="fixed"/>
        <w:tblCellMar>
          <w:top w:w="0" w:type="dxa"/>
          <w:left w:w="0" w:type="dxa"/>
          <w:bottom w:w="0" w:type="dxa"/>
          <w:right w:w="0" w:type="dxa"/>
        </w:tblCellMar>
      </w:tblPr>
      <w:tblGrid>
        <w:gridCol w:w="3350"/>
        <w:gridCol w:w="60"/>
        <w:gridCol w:w="158"/>
        <w:gridCol w:w="1072"/>
        <w:gridCol w:w="76"/>
        <w:gridCol w:w="76"/>
        <w:gridCol w:w="158"/>
        <w:gridCol w:w="1072"/>
        <w:gridCol w:w="6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Fiscal Years Ended March 31, </w:t>
            </w:r>
          </w:p>
        </w:tc>
        <w:tc>
          <w:tcPr>
            <w:tcW w:w="6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1,364,800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1,457,600</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1,971,600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2,023,100</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3,336,400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3,480,700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Expense amounts reported above include $37,000 and $47,000 in research and development expense for the fiscal years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and $14,500 and $19,500 in general and administrative expense for the fiscal years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attributable to our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Employee Stock Purchase Plan (the </w:t>
      </w:r>
      <w:r>
        <w:rPr>
          <w:rStyle w:val="Emphasis"/>
          <w:rFonts w:ascii="Times New Roman" w:hAnsi="Times New Roman"/>
          <w:i/>
          <w:caps w:val="false"/>
          <w:smallCaps w:val="false"/>
          <w:sz w:val="20"/>
        </w:rPr>
        <w:t>2019</w:t>
      </w:r>
      <w:r>
        <w:rPr>
          <w:rFonts w:ascii="Times New Roman" w:hAnsi="Times New Roman"/>
          <w:i/>
          <w:caps w:val="false"/>
          <w:smallCaps w:val="false"/>
          <w:sz w:val="20"/>
        </w:rPr>
        <w:t xml:space="preserve"> ESPP</w:t>
      </w:r>
      <w:r>
        <w:rPr>
          <w:rFonts w:ascii="Times New Roman" w:hAnsi="Times New Roman"/>
          <w:caps w:val="false"/>
          <w:smallCaps w:val="false"/>
          <w:sz w:val="20"/>
        </w:rPr>
        <w:t>),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We used the Black-Scholes Option Pricing model with the following weighted average assumptions to determine stock-based compensation expense related to option grants during the fiscal years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p>
    <w:p>
      <w:pPr>
        <w:pStyle w:val="TextBody"/>
        <w:bidi w:val="0"/>
        <w:spacing w:before="0" w:after="0"/>
        <w:ind w:left="0" w:right="0" w:hanging="0"/>
        <w:jc w:val="left"/>
        <w:rPr>
          <w:caps w:val="false"/>
          <w:smallCaps w:val="false"/>
        </w:rPr>
      </w:pPr>
      <w:r>
        <w:rPr>
          <w:caps w:val="false"/>
          <w:smallCaps w:val="false"/>
        </w:rPr>
        <w:t> </w:t>
      </w:r>
    </w:p>
    <w:tbl>
      <w:tblPr>
        <w:tblW w:w="6418" w:type="dxa"/>
        <w:jc w:val="left"/>
        <w:tblInd w:w="0" w:type="dxa"/>
        <w:tblLayout w:type="fixed"/>
        <w:tblCellMar>
          <w:top w:w="0" w:type="dxa"/>
          <w:left w:w="0" w:type="dxa"/>
          <w:bottom w:w="0" w:type="dxa"/>
          <w:right w:w="0" w:type="dxa"/>
        </w:tblCellMar>
      </w:tblPr>
      <w:tblGrid>
        <w:gridCol w:w="2645"/>
        <w:gridCol w:w="60"/>
        <w:gridCol w:w="273"/>
        <w:gridCol w:w="1291"/>
        <w:gridCol w:w="302"/>
        <w:gridCol w:w="98"/>
        <w:gridCol w:w="320"/>
        <w:gridCol w:w="1244"/>
        <w:gridCol w:w="185"/>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Years Ended March 31,</w:t>
            </w:r>
          </w:p>
        </w:tc>
        <w:tc>
          <w:tcPr>
            <w:tcW w:w="18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30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5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64"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(weighted average)</w:t>
            </w:r>
          </w:p>
        </w:tc>
        <w:tc>
          <w:tcPr>
            <w:tcW w:w="30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564"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(weighted average)</w:t>
            </w:r>
          </w:p>
        </w:tc>
        <w:tc>
          <w:tcPr>
            <w:tcW w:w="18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 price</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10.20</w:t>
            </w:r>
          </w:p>
        </w:tc>
        <w:tc>
          <w:tcPr>
            <w:tcW w:w="302"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32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53.40</w:t>
            </w:r>
          </w:p>
        </w:tc>
        <w:tc>
          <w:tcPr>
            <w:tcW w:w="18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 price on date of grant</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10.20</w:t>
            </w:r>
          </w:p>
        </w:tc>
        <w:tc>
          <w:tcPr>
            <w:tcW w:w="302"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32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53.40</w:t>
            </w:r>
          </w:p>
        </w:tc>
        <w:tc>
          <w:tcPr>
            <w:tcW w:w="18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2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w:t>
            </w:r>
          </w:p>
        </w:tc>
        <w:tc>
          <w:tcPr>
            <w:tcW w:w="3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ind w:left="0" w:right="0" w:hanging="0"/>
              <w:jc w:val="left"/>
              <w:rPr/>
            </w:pPr>
            <w:r>
              <w:rPr/>
              <w:t> </w:t>
            </w:r>
          </w:p>
        </w:tc>
        <w:tc>
          <w:tcPr>
            <w:tcW w:w="12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term (years)</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2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6.03</w:t>
            </w:r>
          </w:p>
        </w:tc>
        <w:tc>
          <w:tcPr>
            <w:tcW w:w="302"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ind w:left="0" w:right="0" w:hanging="0"/>
              <w:jc w:val="left"/>
              <w:rPr/>
            </w:pPr>
            <w:r>
              <w:rPr/>
              <w:t> </w:t>
            </w:r>
          </w:p>
        </w:tc>
        <w:tc>
          <w:tcPr>
            <w:tcW w:w="12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w:t>
            </w:r>
          </w:p>
        </w:tc>
        <w:tc>
          <w:tcPr>
            <w:tcW w:w="18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Volatility</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2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158.03</w:t>
            </w:r>
          </w:p>
        </w:tc>
        <w:tc>
          <w:tcPr>
            <w:tcW w:w="3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ind w:left="0" w:right="0" w:hanging="0"/>
              <w:jc w:val="left"/>
              <w:rPr/>
            </w:pPr>
            <w:r>
              <w:rPr/>
              <w:t> </w:t>
            </w:r>
          </w:p>
        </w:tc>
        <w:tc>
          <w:tcPr>
            <w:tcW w:w="12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80.27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dividend yield</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2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0.00</w:t>
            </w:r>
          </w:p>
        </w:tc>
        <w:tc>
          <w:tcPr>
            <w:tcW w:w="3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ind w:left="0" w:right="0" w:hanging="0"/>
              <w:jc w:val="left"/>
              <w:rPr/>
            </w:pPr>
            <w:r>
              <w:rPr/>
              <w:t> </w:t>
            </w:r>
          </w:p>
        </w:tc>
        <w:tc>
          <w:tcPr>
            <w:tcW w:w="12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per share at grant date</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w:t>
            </w:r>
          </w:p>
        </w:tc>
        <w:tc>
          <w:tcPr>
            <w:tcW w:w="302"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32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36.00</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expected term of options represents the period that our stock-based compensation awards are expected to be outstanding. We have calculated the weighted-average expected term of the options using the simplified method as prescribed by Securities and Exchange Commission Staff Accounting Bulletins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107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110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SAB </w:t>
      </w:r>
      <w:r>
        <w:rPr>
          <w:rStyle w:val="Emphasis"/>
          <w:rFonts w:ascii="Times New Roman" w:hAnsi="Times New Roman"/>
          <w:i/>
          <w:caps w:val="false"/>
          <w:smallCaps w:val="false"/>
          <w:sz w:val="20"/>
        </w:rPr>
        <w:t>No.</w:t>
      </w:r>
      <w:r>
        <w:rPr>
          <w:rFonts w:ascii="Times New Roman" w:hAnsi="Times New Roman"/>
          <w:caps w:val="false"/>
          <w:smallCaps w:val="false"/>
          <w:sz w:val="20"/>
        </w:rPr>
        <w:t> </w:t>
      </w:r>
      <w:r>
        <w:rPr>
          <w:rStyle w:val="Emphasis"/>
          <w:rFonts w:ascii="Times New Roman" w:hAnsi="Times New Roman"/>
          <w:i/>
          <w:caps w:val="false"/>
          <w:smallCaps w:val="false"/>
          <w:sz w:val="20"/>
        </w:rPr>
        <w:t>107</w:t>
      </w:r>
      <w:r>
        <w:rPr>
          <w:rFonts w:ascii="Times New Roman" w:hAnsi="Times New Roman"/>
          <w:i/>
          <w:caps w:val="false"/>
          <w:smallCaps w:val="false"/>
          <w:sz w:val="20"/>
        </w:rPr>
        <w:t xml:space="preserve"> and </w:t>
      </w:r>
      <w:r>
        <w:rPr>
          <w:rStyle w:val="Emphasis"/>
          <w:rFonts w:ascii="Times New Roman" w:hAnsi="Times New Roman"/>
          <w:i/>
          <w:caps w:val="false"/>
          <w:smallCaps w:val="false"/>
          <w:sz w:val="20"/>
        </w:rPr>
        <w:t>110</w:t>
      </w:r>
      <w:r>
        <w:rPr>
          <w:rFonts w:ascii="Times New Roman" w:hAnsi="Times New Roman"/>
          <w:caps w:val="false"/>
          <w:smallCaps w:val="false"/>
          <w:sz w:val="20"/>
        </w:rPr>
        <w:t xml:space="preserve">). The utilization of SAB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107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110</w:t>
      </w:r>
      <w:r>
        <w:rPr>
          <w:rFonts w:ascii="Times New Roman" w:hAnsi="Times New Roman"/>
          <w:caps w:val="false"/>
          <w:smallCaps w:val="false"/>
          <w:sz w:val="20"/>
        </w:rPr>
        <w:t xml:space="preserve"> is based on the minimal number of relevant historical option exercises and lack of other meaningful historical data due to the relatively limited period during which our stock has been publicly traded with significant volume on a major exchange and the historical lack of liquidity in freely tradable shares of our common stock. Those factors also informed our decision to utilize the historical volatilities of a peer group of public companies’ stock over the expected term of the option in determining our expected volatility assumptions as we do not believe that the historical volatility of our common stock will be indicative of its future performance. The risk-free interest rate for periods related to the expected life of the options is based on the U.S. Treasury yield curve in effect at the time of grant. The expected dividend yield is zero, as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paid any dividends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paying dividends in the near future. We recognize the effect of forfeitures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 summarizes stock option activity for the fiscal years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under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and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w:t>
      </w:r>
    </w:p>
    <w:p>
      <w:pPr>
        <w:pStyle w:val="TextBody"/>
        <w:bidi w:val="0"/>
        <w:spacing w:before="0" w:after="0"/>
        <w:ind w:left="180" w:right="0" w:hanging="0"/>
        <w:jc w:val="left"/>
        <w:rPr/>
      </w:pPr>
      <w:r>
        <w:rPr/>
        <w:t> </w:t>
      </w:r>
    </w:p>
    <w:tbl>
      <w:tblPr>
        <w:tblW w:w="10023" w:type="dxa"/>
        <w:jc w:val="left"/>
        <w:tblInd w:w="0" w:type="dxa"/>
        <w:tblLayout w:type="fixed"/>
        <w:tblCellMar>
          <w:top w:w="0" w:type="dxa"/>
          <w:left w:w="0" w:type="dxa"/>
          <w:bottom w:w="0" w:type="dxa"/>
          <w:right w:w="0" w:type="dxa"/>
        </w:tblCellMar>
      </w:tblPr>
      <w:tblGrid>
        <w:gridCol w:w="6155"/>
        <w:gridCol w:w="60"/>
        <w:gridCol w:w="69"/>
        <w:gridCol w:w="805"/>
        <w:gridCol w:w="80"/>
        <w:gridCol w:w="60"/>
        <w:gridCol w:w="163"/>
        <w:gridCol w:w="637"/>
        <w:gridCol w:w="60"/>
        <w:gridCol w:w="60"/>
        <w:gridCol w:w="69"/>
        <w:gridCol w:w="805"/>
        <w:gridCol w:w="80"/>
        <w:gridCol w:w="60"/>
        <w:gridCol w:w="139"/>
        <w:gridCol w:w="661"/>
        <w:gridCol w:w="60"/>
      </w:tblGrid>
      <w:tr>
        <w:trPr/>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74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Fiscal Years Ended March 31, </w:t>
            </w:r>
          </w:p>
        </w:tc>
        <w:tc>
          <w:tcPr>
            <w:tcW w:w="6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Weighted</w:t>
            </w:r>
          </w:p>
        </w:tc>
        <w:tc>
          <w:tcPr>
            <w:tcW w:w="6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Average</w:t>
            </w:r>
          </w:p>
        </w:tc>
        <w:tc>
          <w:tcPr>
            <w:tcW w:w="6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Number of</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Number of</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Exercise</w:t>
            </w:r>
          </w:p>
        </w:tc>
        <w:tc>
          <w:tcPr>
            <w:tcW w:w="6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Price</w:t>
            </w:r>
          </w:p>
        </w:tc>
        <w:tc>
          <w:tcPr>
            <w:tcW w:w="6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outstanding at beginning of period</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646,213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487,936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40.20</w:t>
            </w:r>
          </w:p>
        </w:tc>
        <w:tc>
          <w:tcPr>
            <w:tcW w:w="60"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53.40</w:t>
            </w:r>
          </w:p>
        </w:tc>
        <w:tc>
          <w:tcPr>
            <w:tcW w:w="60"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(9,533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24.30</w:t>
            </w:r>
          </w:p>
        </w:tc>
        <w:tc>
          <w:tcPr>
            <w:tcW w:w="60"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Options forfeited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59.70</w:t>
            </w:r>
          </w:p>
        </w:tc>
        <w:tc>
          <w:tcPr>
            <w:tcW w:w="60"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(45,374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240.00</w:t>
            </w:r>
          </w:p>
        </w:tc>
        <w:tc>
          <w:tcPr>
            <w:tcW w:w="60"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outstanding at end of period</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702,545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646,213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61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exercisable at end of period</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496,257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39.60</w:t>
            </w:r>
          </w:p>
        </w:tc>
        <w:tc>
          <w:tcPr>
            <w:tcW w:w="60"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Weighted average grant-date fair value of options granted during the period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summarizes information on stock options outstanding and exercisable under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and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as of </w:t>
      </w:r>
      <w:r>
        <w:rPr>
          <w:rStyle w:val="Emphasis"/>
          <w:rFonts w:ascii="Times New Roman" w:hAnsi="Times New Roman"/>
          <w:caps w:val="false"/>
          <w:smallCaps w:val="false"/>
          <w:sz w:val="20"/>
        </w:rPr>
        <w:t>March 31, 2022:</w:t>
      </w:r>
    </w:p>
    <w:p>
      <w:pPr>
        <w:pStyle w:val="TextBody"/>
        <w:bidi w:val="0"/>
        <w:spacing w:before="0" w:after="0"/>
        <w:ind w:left="0" w:right="0" w:hanging="0"/>
        <w:jc w:val="left"/>
        <w:rPr>
          <w:caps w:val="false"/>
          <w:smallCaps w:val="false"/>
        </w:rPr>
      </w:pPr>
      <w:r>
        <w:rPr>
          <w:caps w:val="false"/>
          <w:smallCaps w:val="false"/>
        </w:rPr>
        <w:t> </w:t>
      </w:r>
    </w:p>
    <w:tbl>
      <w:tblPr>
        <w:tblW w:w="6652" w:type="dxa"/>
        <w:jc w:val="left"/>
        <w:tblInd w:w="0" w:type="dxa"/>
        <w:tblLayout w:type="fixed"/>
        <w:tblCellMar>
          <w:top w:w="0" w:type="dxa"/>
          <w:left w:w="0" w:type="dxa"/>
          <w:bottom w:w="0" w:type="dxa"/>
          <w:right w:w="0" w:type="dxa"/>
        </w:tblCellMar>
      </w:tblPr>
      <w:tblGrid>
        <w:gridCol w:w="590"/>
        <w:gridCol w:w="185"/>
        <w:gridCol w:w="695"/>
        <w:gridCol w:w="60"/>
        <w:gridCol w:w="82"/>
        <w:gridCol w:w="958"/>
        <w:gridCol w:w="60"/>
        <w:gridCol w:w="60"/>
        <w:gridCol w:w="125"/>
        <w:gridCol w:w="795"/>
        <w:gridCol w:w="60"/>
        <w:gridCol w:w="60"/>
        <w:gridCol w:w="167"/>
        <w:gridCol w:w="648"/>
        <w:gridCol w:w="60"/>
        <w:gridCol w:w="60"/>
        <w:gridCol w:w="77"/>
        <w:gridCol w:w="903"/>
        <w:gridCol w:w="66"/>
        <w:gridCol w:w="66"/>
        <w:gridCol w:w="167"/>
        <w:gridCol w:w="648"/>
        <w:gridCol w:w="60"/>
      </w:tblGrid>
      <w:tr>
        <w:trPr/>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1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Options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Options Exercisable</w:t>
            </w:r>
          </w:p>
        </w:tc>
        <w:tc>
          <w:tcPr>
            <w:tcW w:w="60"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Weighted</w:t>
            </w:r>
          </w:p>
        </w:tc>
        <w:tc>
          <w:tcPr>
            <w:tcW w:w="60"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60" w:type="dxa"/>
            <w:tcBorders/>
            <w:vAlign w:val="center"/>
          </w:tcPr>
          <w:p>
            <w:pPr>
              <w:pStyle w:val="TableContents"/>
              <w:bidi w:val="0"/>
              <w:spacing w:before="0" w:after="283"/>
              <w:jc w:val="left"/>
              <w:rPr/>
            </w:pPr>
            <w:r>
              <w:rPr/>
              <w:t> </w:t>
            </w:r>
          </w:p>
        </w:tc>
      </w:tr>
      <w:tr>
        <w:trPr/>
        <w:tc>
          <w:tcPr>
            <w:tcW w:w="1470" w:type="dxa"/>
            <w:gridSpan w:val="3"/>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Exercise</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Years until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Number</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Exercise</w:t>
            </w:r>
          </w:p>
        </w:tc>
        <w:tc>
          <w:tcPr>
            <w:tcW w:w="60" w:type="dxa"/>
            <w:tcBorders/>
            <w:vAlign w:val="center"/>
          </w:tcPr>
          <w:p>
            <w:pPr>
              <w:pStyle w:val="TableContents"/>
              <w:bidi w:val="0"/>
              <w:spacing w:before="0" w:after="283"/>
              <w:jc w:val="left"/>
              <w:rPr/>
            </w:pPr>
            <w:r>
              <w:rPr/>
              <w:t> </w:t>
            </w:r>
          </w:p>
        </w:tc>
      </w:tr>
      <w:tr>
        <w:trPr/>
        <w:tc>
          <w:tcPr>
            <w:tcW w:w="1470" w:type="dxa"/>
            <w:gridSpan w:val="3"/>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Price</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Expiration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Exercisable</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Price</w:t>
            </w:r>
          </w:p>
        </w:tc>
        <w:tc>
          <w:tcPr>
            <w:tcW w:w="60"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$ 3.57</w:t>
            </w:r>
          </w:p>
        </w:tc>
        <w:tc>
          <w:tcPr>
            <w:tcW w:w="185"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to</w:t>
            </w:r>
          </w:p>
        </w:tc>
        <w:tc>
          <w:tcPr>
            <w:tcW w:w="6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$12.30</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43,710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11.24</w:t>
            </w:r>
          </w:p>
        </w:tc>
        <w:tc>
          <w:tcPr>
            <w:tcW w:w="60" w:type="dxa"/>
            <w:tcBorders/>
            <w:shd w:fill="CCEEFF" w:val="clear"/>
            <w:vAlign w:val="center"/>
          </w:tcPr>
          <w:p>
            <w:pPr>
              <w:pStyle w:val="TableContents"/>
              <w:bidi w:val="0"/>
              <w:spacing w:before="0" w:after="283"/>
              <w:jc w:val="left"/>
              <w:rPr/>
            </w:pPr>
            <w:r>
              <w:rPr/>
              <w:t> </w:t>
            </w:r>
          </w:p>
        </w:tc>
      </w:tr>
      <w:tr>
        <w:trPr/>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$12.60</w:t>
            </w:r>
          </w:p>
        </w:tc>
        <w:tc>
          <w:tcPr>
            <w:tcW w:w="185"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to</w:t>
            </w:r>
          </w:p>
        </w:tc>
        <w:tc>
          <w:tcPr>
            <w:tcW w:w="6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$36.30</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117,097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29.41</w:t>
            </w:r>
          </w:p>
        </w:tc>
        <w:tc>
          <w:tcPr>
            <w:tcW w:w="60" w:type="dxa"/>
            <w:tcBorders/>
            <w:shd w:fill="FFFFFF" w:val="clear"/>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$38.10</w:t>
            </w:r>
          </w:p>
        </w:tc>
        <w:tc>
          <w:tcPr>
            <w:tcW w:w="185"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to</w:t>
            </w:r>
          </w:p>
        </w:tc>
        <w:tc>
          <w:tcPr>
            <w:tcW w:w="6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$41.10</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93,042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40.31</w:t>
            </w:r>
          </w:p>
        </w:tc>
        <w:tc>
          <w:tcPr>
            <w:tcW w:w="60" w:type="dxa"/>
            <w:tcBorders/>
            <w:shd w:fill="CCEEFF" w:val="clear"/>
            <w:vAlign w:val="center"/>
          </w:tcPr>
          <w:p>
            <w:pPr>
              <w:pStyle w:val="TableContents"/>
              <w:bidi w:val="0"/>
              <w:spacing w:before="0" w:after="283"/>
              <w:jc w:val="left"/>
              <w:rPr/>
            </w:pPr>
            <w:r>
              <w:rPr/>
              <w:t> </w:t>
            </w:r>
          </w:p>
        </w:tc>
      </w:tr>
      <w:tr>
        <w:trPr/>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$42.30</w:t>
            </w:r>
          </w:p>
        </w:tc>
        <w:tc>
          <w:tcPr>
            <w:tcW w:w="185"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to</w:t>
            </w:r>
          </w:p>
        </w:tc>
        <w:tc>
          <w:tcPr>
            <w:tcW w:w="6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$51.00</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144,500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44.72</w:t>
            </w:r>
          </w:p>
        </w:tc>
        <w:tc>
          <w:tcPr>
            <w:tcW w:w="60" w:type="dxa"/>
            <w:tcBorders/>
            <w:shd w:fill="FFFFFF" w:val="clear"/>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$52.50</w:t>
            </w:r>
          </w:p>
        </w:tc>
        <w:tc>
          <w:tcPr>
            <w:tcW w:w="185"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to</w:t>
            </w:r>
          </w:p>
        </w:tc>
        <w:tc>
          <w:tcPr>
            <w:tcW w:w="6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$277.50</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97,908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68.34</w:t>
            </w:r>
          </w:p>
        </w:tc>
        <w:tc>
          <w:tcPr>
            <w:tcW w:w="60" w:type="dxa"/>
            <w:tcBorders/>
            <w:shd w:fill="CCEEFF" w:val="clear"/>
            <w:vAlign w:val="center"/>
          </w:tcPr>
          <w:p>
            <w:pPr>
              <w:pStyle w:val="TableContents"/>
              <w:bidi w:val="0"/>
              <w:spacing w:before="0" w:after="283"/>
              <w:jc w:val="left"/>
              <w:rPr/>
            </w:pPr>
            <w:r>
              <w:rPr/>
              <w:t> </w:t>
            </w:r>
          </w:p>
        </w:tc>
      </w:tr>
      <w:tr>
        <w:trPr/>
        <w:tc>
          <w:tcPr>
            <w:tcW w:w="5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rStyle w:val="Emphasis"/>
              </w:rPr>
              <w:t> </w:t>
            </w:r>
          </w:p>
        </w:tc>
        <w:tc>
          <w:tcPr>
            <w:tcW w:w="69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496,257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there were 179,260 registered shares of our common stock remaining available for grant under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Aggregate intrinsic value is the sum of the amount by which the fair value of the underlying common stock exceeds the aggregate exercise price of the outstanding options (</w:t>
      </w:r>
      <w:r>
        <w:rPr>
          <w:rFonts w:ascii="Times New Roman" w:hAnsi="Times New Roman"/>
          <w:i/>
          <w:caps w:val="false"/>
          <w:smallCaps w:val="false"/>
          <w:sz w:val="20"/>
        </w:rPr>
        <w:t>in-the-money-options</w:t>
      </w:r>
      <w:r>
        <w:rPr>
          <w:rFonts w:ascii="Times New Roman" w:hAnsi="Times New Roman"/>
          <w:caps w:val="false"/>
          <w:smallCaps w:val="false"/>
          <w:sz w:val="20"/>
        </w:rPr>
        <w:t xml:space="preserve">). Based on the $3.74 per share quoted closing market price of our common stock on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there was approximately $4,800 of intrinsic value in our outstanding options at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there was approximately $3,775,500 of unrecognized compensation cost related to non-vested stock-based compensation awards from the Amended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and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which cost is expected to be recognized through </w:t>
      </w:r>
      <w:r>
        <w:rPr>
          <w:rStyle w:val="Emphasis"/>
          <w:rFonts w:ascii="Times New Roman" w:hAnsi="Times New Roman"/>
          <w:caps w:val="false"/>
          <w:smallCaps w:val="false"/>
          <w:sz w:val="20"/>
        </w:rPr>
        <w:t>May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i/>
          <w:caps w:val="false"/>
          <w:smallCaps w:val="false"/>
          <w:sz w:val="20"/>
        </w:rPr>
        <w:t>2019</w:t>
      </w:r>
      <w:r>
        <w:rPr>
          <w:rFonts w:ascii="Times New Roman" w:hAnsi="Times New Roman"/>
          <w:b/>
          <w:i/>
          <w:caps w:val="false"/>
          <w:smallCaps w:val="false"/>
          <w:sz w:val="20"/>
        </w:rPr>
        <w:t xml:space="preserve">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Board approved the Vistagen Therapeutics, Inc.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Employee Stock Purchase Plan (the </w:t>
      </w:r>
      <w:r>
        <w:rPr>
          <w:rStyle w:val="Emphasis"/>
          <w:rFonts w:ascii="Times New Roman" w:hAnsi="Times New Roman"/>
          <w:i/>
          <w:caps w:val="false"/>
          <w:smallCaps w:val="false"/>
          <w:sz w:val="20"/>
        </w:rPr>
        <w:t>2019</w:t>
      </w:r>
      <w:r>
        <w:rPr>
          <w:rFonts w:ascii="Times New Roman" w:hAnsi="Times New Roman"/>
          <w:i/>
          <w:caps w:val="false"/>
          <w:smallCaps w:val="false"/>
          <w:sz w:val="20"/>
        </w:rPr>
        <w:t xml:space="preserve"> ESPP</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June 13, 2019. </w:t>
      </w:r>
      <w:r>
        <w:rPr>
          <w:rFonts w:ascii="Times New Roman" w:hAnsi="Times New Roman"/>
          <w:caps w:val="false"/>
          <w:smallCaps w:val="false"/>
          <w:sz w:val="20"/>
        </w:rPr>
        <w:t xml:space="preserve">Our stockholders approved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at our annual meeting on </w:t>
      </w:r>
      <w:r>
        <w:rPr>
          <w:rStyle w:val="Emphasis"/>
          <w:rFonts w:ascii="Times New Roman" w:hAnsi="Times New Roman"/>
          <w:caps w:val="false"/>
          <w:smallCaps w:val="false"/>
          <w:sz w:val="20"/>
        </w:rPr>
        <w:t xml:space="preserve">September 5, 2019. </w:t>
      </w:r>
      <w:r>
        <w:rPr>
          <w:rFonts w:ascii="Times New Roman" w:hAnsi="Times New Roman"/>
          <w:caps w:val="false"/>
          <w:smallCaps w:val="false"/>
          <w:sz w:val="20"/>
        </w:rPr>
        <w:t xml:space="preserve">The principal terms of our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are summarized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is intended to qualify as an “employee stock purchase plan” under Section </w:t>
      </w:r>
      <w:r>
        <w:rPr>
          <w:rStyle w:val="Emphasis"/>
          <w:rFonts w:ascii="Times New Roman" w:hAnsi="Times New Roman"/>
          <w:caps w:val="false"/>
          <w:smallCaps w:val="false"/>
          <w:sz w:val="20"/>
        </w:rPr>
        <w:t>423</w:t>
      </w:r>
      <w:r>
        <w:rPr>
          <w:rFonts w:ascii="Times New Roman" w:hAnsi="Times New Roman"/>
          <w:caps w:val="false"/>
          <w:smallCaps w:val="false"/>
          <w:sz w:val="20"/>
        </w:rPr>
        <w:t xml:space="preserve"> of the Code. The Committee also administers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The Committee has authority to construe, interpret and apply the terms of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As approved by our stockholders, a maximum of 33,333 shares of our common stock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purchased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is generally expected to operate in consecutive semi-annual periods referred to as “option periods.”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option period commenced on </w:t>
      </w:r>
      <w:r>
        <w:rPr>
          <w:rStyle w:val="Emphasis"/>
          <w:rFonts w:ascii="Times New Roman" w:hAnsi="Times New Roman"/>
          <w:caps w:val="false"/>
          <w:smallCaps w:val="false"/>
          <w:sz w:val="20"/>
        </w:rPr>
        <w:t xml:space="preserve">January 1, 2020 </w:t>
      </w:r>
      <w:r>
        <w:rPr>
          <w:rFonts w:ascii="Times New Roman" w:hAnsi="Times New Roman"/>
          <w:caps w:val="false"/>
          <w:smallCaps w:val="false"/>
          <w:sz w:val="20"/>
        </w:rPr>
        <w:t xml:space="preserve">and ended on the last trading day in the semi-annual period ended </w:t>
      </w:r>
      <w:r>
        <w:rPr>
          <w:rStyle w:val="Emphasis"/>
          <w:rFonts w:ascii="Times New Roman" w:hAnsi="Times New Roman"/>
          <w:caps w:val="false"/>
          <w:smallCaps w:val="false"/>
          <w:sz w:val="20"/>
        </w:rPr>
        <w:t xml:space="preserve">June 30, 2020, </w:t>
      </w:r>
      <w:r>
        <w:rPr>
          <w:rFonts w:ascii="Times New Roman" w:hAnsi="Times New Roman"/>
          <w:caps w:val="false"/>
          <w:smallCaps w:val="false"/>
          <w:sz w:val="20"/>
        </w:rPr>
        <w:t xml:space="preserve">with successive option periods expected to begin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day of </w:t>
      </w:r>
      <w:r>
        <w:rPr>
          <w:rStyle w:val="Emphasis"/>
          <w:rFonts w:ascii="Times New Roman" w:hAnsi="Times New Roman"/>
          <w:caps w:val="false"/>
          <w:smallCaps w:val="false"/>
          <w:sz w:val="20"/>
        </w:rPr>
        <w:t xml:space="preserve">January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July </w:t>
      </w:r>
      <w:r>
        <w:rPr>
          <w:rFonts w:ascii="Times New Roman" w:hAnsi="Times New Roman"/>
          <w:caps w:val="false"/>
          <w:smallCaps w:val="false"/>
          <w:sz w:val="20"/>
        </w:rPr>
        <w:t xml:space="preserve">and to terminate on the last trading day of </w:t>
      </w:r>
      <w:r>
        <w:rPr>
          <w:rStyle w:val="Emphasis"/>
          <w:rFonts w:ascii="Times New Roman" w:hAnsi="Times New Roman"/>
          <w:caps w:val="false"/>
          <w:smallCaps w:val="false"/>
          <w:sz w:val="20"/>
        </w:rPr>
        <w:t xml:space="preserve">June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w:t>
      </w:r>
      <w:r>
        <w:rPr>
          <w:rFonts w:ascii="Times New Roman" w:hAnsi="Times New Roman"/>
          <w:caps w:val="false"/>
          <w:smallCaps w:val="false"/>
          <w:sz w:val="20"/>
        </w:rPr>
        <w:t xml:space="preserve">respectively. Option periods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last longer than the maximum period permitted under Section </w:t>
      </w:r>
      <w:r>
        <w:rPr>
          <w:rStyle w:val="Emphasis"/>
          <w:rFonts w:ascii="Times New Roman" w:hAnsi="Times New Roman"/>
          <w:caps w:val="false"/>
          <w:smallCaps w:val="false"/>
          <w:sz w:val="20"/>
        </w:rPr>
        <w:t>423</w:t>
      </w:r>
      <w:r>
        <w:rPr>
          <w:rFonts w:ascii="Times New Roman" w:hAnsi="Times New Roman"/>
          <w:caps w:val="false"/>
          <w:smallCaps w:val="false"/>
          <w:sz w:val="20"/>
        </w:rPr>
        <w:t xml:space="preserve"> of the Code, which generally limits the length of such offerings to either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years or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months, depending on the terms of the offering. Generally, all full-time employees of the Company and its subsidiaries are eligible to participate in an option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day of each option period (the </w:t>
      </w:r>
      <w:r>
        <w:rPr>
          <w:rFonts w:ascii="Times New Roman" w:hAnsi="Times New Roman"/>
          <w:i/>
          <w:caps w:val="false"/>
          <w:smallCaps w:val="false"/>
          <w:sz w:val="20"/>
        </w:rPr>
        <w:t>Grant Date</w:t>
      </w:r>
      <w:r>
        <w:rPr>
          <w:rFonts w:ascii="Times New Roman" w:hAnsi="Times New Roman"/>
          <w:caps w:val="false"/>
          <w:smallCaps w:val="false"/>
          <w:sz w:val="20"/>
        </w:rPr>
        <w:t xml:space="preserve">), each eligible employee for that option period will be granted an option to purchase shares of our common stock. Each participant’s option will permit the participant to purchase a number of shares determined by dividing the employee’s accumulated payroll deductions for the option period by the applicable purchase price. A participant must designate the percentage (if any) of compensation to be deducted during that option period for the purchase of stock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The participant’s payroll deduction election will generally remain in effect for future option periods unless terminated by the participant. A participant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elect to withdraw from any option period prior to the last day of the option period, in which case the participant’s payroll deductions will be refunded and the participant’s outstanding options will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Each participant’s payroll deductions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will be credited to a liability account in his or her name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The aggregate liability for participant payroll deductions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was $17,400 and $66,200, respectively, which amounts are included in accrued expenses in the accompanying Consolidated Balance Sheet at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Each option granted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will automatically be exercised on the last day of the respective option period (referred to as the </w:t>
      </w:r>
      <w:r>
        <w:rPr>
          <w:rFonts w:ascii="Times New Roman" w:hAnsi="Times New Roman"/>
          <w:i/>
          <w:caps w:val="false"/>
          <w:smallCaps w:val="false"/>
          <w:sz w:val="20"/>
        </w:rPr>
        <w:t>Exercise Date</w:t>
      </w:r>
      <w:r>
        <w:rPr>
          <w:rFonts w:ascii="Times New Roman" w:hAnsi="Times New Roman"/>
          <w:caps w:val="false"/>
          <w:smallCaps w:val="false"/>
          <w:sz w:val="20"/>
        </w:rPr>
        <w:t xml:space="preserve">). The number of shares acquired by a participant upon exercise of his or her option will be determined by dividing the participant’s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account balance as of the Exercise Date for the option period by the purchase price of the option. The purchase price for each option is generally equal to the lesser of (i) </w:t>
      </w:r>
      <w:r>
        <w:rPr>
          <w:rStyle w:val="Emphasis"/>
          <w:rFonts w:ascii="Times New Roman" w:hAnsi="Times New Roman"/>
          <w:caps w:val="false"/>
          <w:smallCaps w:val="false"/>
          <w:sz w:val="20"/>
        </w:rPr>
        <w:t>85%</w:t>
      </w:r>
      <w:r>
        <w:rPr>
          <w:rFonts w:ascii="Times New Roman" w:hAnsi="Times New Roman"/>
          <w:caps w:val="false"/>
          <w:smallCaps w:val="false"/>
          <w:sz w:val="20"/>
        </w:rPr>
        <w:t xml:space="preserve"> of the fair market value of a share of our common stock on the applicable Grant Date, or (ii) </w:t>
      </w:r>
      <w:r>
        <w:rPr>
          <w:rStyle w:val="Emphasis"/>
          <w:rFonts w:ascii="Times New Roman" w:hAnsi="Times New Roman"/>
          <w:caps w:val="false"/>
          <w:smallCaps w:val="false"/>
          <w:sz w:val="20"/>
        </w:rPr>
        <w:t>85%</w:t>
      </w:r>
      <w:r>
        <w:rPr>
          <w:rFonts w:ascii="Times New Roman" w:hAnsi="Times New Roman"/>
          <w:caps w:val="false"/>
          <w:smallCaps w:val="false"/>
          <w:sz w:val="20"/>
        </w:rPr>
        <w:t xml:space="preserve"> of the fair market value of a share of our common stock on the applicable Exercise Date. A participant’s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account will be reduced upon exercise of his or her option by the amount used to pay the purchase price of the shares acquired by the participant. Following exercise of the option, any excess amount in a participant’s account will be refunded following the Exercise Date.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interest will be paid to any participant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Participation in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is subject to the following limits: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A participant cannot contribute less than 1% or more than 15% of his or her compensation to the purchase of stock under the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 xml:space="preserve"> ESPP in any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payroll period;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A participant cannot accrue rights to purchase more than </w:t>
            </w:r>
            <w:r>
              <w:rPr>
                <w:rStyle w:val="Emphasis"/>
                <w:rFonts w:ascii="Times New Roman;Times;serif" w:hAnsi="Times New Roman;Times;serif"/>
                <w:caps w:val="false"/>
                <w:smallCaps w:val="false"/>
                <w:sz w:val="20"/>
              </w:rPr>
              <w:t>$25,000</w:t>
            </w:r>
            <w:r>
              <w:rPr>
                <w:rFonts w:ascii="Times New Roman;Times;serif" w:hAnsi="Times New Roman;Times;serif"/>
                <w:caps w:val="false"/>
                <w:smallCaps w:val="false"/>
                <w:sz w:val="20"/>
              </w:rPr>
              <w:t xml:space="preserve"> of stock (valued at the Grant Date of the applicable offering period and without giving effect to any discount reflected in the purchase price for the stock) for each calendar year in which an option is outstanding;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A participant will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be granted an option under the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 xml:space="preserve"> ESPP if it would cause the participant to own stock and/or hold outstanding options to purchase common stock constituting </w:t>
            </w:r>
            <w:r>
              <w:rPr>
                <w:rStyle w:val="Emphasis"/>
                <w:rFonts w:ascii="Times New Roman;Times;serif" w:hAnsi="Times New Roman;Times;serif"/>
                <w:caps w:val="false"/>
                <w:smallCaps w:val="false"/>
                <w:sz w:val="20"/>
              </w:rPr>
              <w:t>5.0%</w:t>
            </w:r>
            <w:r>
              <w:rPr>
                <w:rFonts w:ascii="Times New Roman;Times;serif" w:hAnsi="Times New Roman;Times;serif"/>
                <w:caps w:val="false"/>
                <w:smallCaps w:val="false"/>
                <w:sz w:val="20"/>
              </w:rPr>
              <w:t xml:space="preserve"> or more of the total combined voting power or value of all classes of stock of the Company or of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of its subsidiaries or to the extent it would exceed certain other limits under the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$25,000</w:t>
      </w:r>
      <w:r>
        <w:rPr>
          <w:rFonts w:ascii="Times New Roman" w:hAnsi="Times New Roman"/>
          <w:caps w:val="false"/>
          <w:smallCaps w:val="false"/>
          <w:sz w:val="20"/>
        </w:rPr>
        <w:t xml:space="preserve"> annual purchase and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ownership limitations referred to above are required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is customary, the number of shares of stock available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or subject to outstanding options, is subject to adjustment in the event of certain reorganizations, combinations, recapitalization of shares, stock splits, reverse stock split, subdivision or other similar change in respect of our common stock. A participant’s rights with respect to options or the purchase of shares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as well as payroll deductions credited to his or her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account,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assigned, transferred, pledged or otherwise disposed of in any way except by will or the laws of descent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Board generally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amend, suspend, or terminate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at any time and in any manner, except that stockholder approval is required to increase the number of shares authorized for issuance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and for certain other amendments.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amendment to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materially adversely affect the option rights previously granted to a participant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except as required by law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became effective on </w:t>
      </w:r>
      <w:r>
        <w:rPr>
          <w:rStyle w:val="Emphasis"/>
          <w:rFonts w:ascii="Times New Roman" w:hAnsi="Times New Roman"/>
          <w:caps w:val="false"/>
          <w:smallCaps w:val="false"/>
          <w:sz w:val="20"/>
        </w:rPr>
        <w:t xml:space="preserve">January 1, 2020 </w:t>
      </w:r>
      <w:r>
        <w:rPr>
          <w:rFonts w:ascii="Times New Roman" w:hAnsi="Times New Roman"/>
          <w:caps w:val="false"/>
          <w:smallCaps w:val="false"/>
          <w:sz w:val="20"/>
        </w:rPr>
        <w:t xml:space="preserve">and will continue in effect until the earlier of such time as all of the shares of the Company’s common stock subject to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have been sold or </w:t>
      </w:r>
      <w:r>
        <w:rPr>
          <w:rStyle w:val="Emphasis"/>
          <w:rFonts w:ascii="Times New Roman" w:hAnsi="Times New Roman"/>
          <w:caps w:val="false"/>
          <w:smallCaps w:val="false"/>
          <w:sz w:val="20"/>
        </w:rPr>
        <w:t xml:space="preserve">December 31, 2030, </w:t>
      </w:r>
      <w:r>
        <w:rPr>
          <w:rFonts w:ascii="Times New Roman" w:hAnsi="Times New Roman"/>
          <w:caps w:val="false"/>
          <w:smallCaps w:val="false"/>
          <w:sz w:val="20"/>
        </w:rPr>
        <w:t xml:space="preserve">unless terminated earlier by the Board. 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employees purchased an aggregate of 5,167 shares of our common stock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and we received proceeds of $63,100. During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employees purchased an aggregate of 1,907 shares of our common stock and we received proceeds of $99,500.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i/>
          <w:caps w:val="false"/>
          <w:smallCaps w:val="false"/>
          <w:sz w:val="20"/>
        </w:rPr>
        <w:t>401</w:t>
      </w:r>
      <w:r>
        <w:rPr>
          <w:rFonts w:ascii="Times New Roman" w:hAnsi="Times New Roman"/>
          <w:b/>
          <w:i/>
          <w:caps w:val="false"/>
          <w:smallCaps w:val="false"/>
          <w:sz w:val="20"/>
        </w:rPr>
        <w:t>(k)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Through a </w:t>
      </w:r>
      <w:r>
        <w:rPr>
          <w:rStyle w:val="Emphasis"/>
          <w:rFonts w:ascii="Times New Roman" w:hAnsi="Times New Roman"/>
          <w:caps w:val="false"/>
          <w:smallCaps w:val="false"/>
          <w:sz w:val="20"/>
        </w:rPr>
        <w:t>third</w:t>
      </w:r>
      <w:r>
        <w:rPr>
          <w:rFonts w:ascii="Times New Roman" w:hAnsi="Times New Roman"/>
          <w:caps w:val="false"/>
          <w:smallCaps w:val="false"/>
          <w:sz w:val="20"/>
        </w:rPr>
        <w:t>-party agent, we maintain a retirement and deferred savings plan for our employees. This plan is intended to qualify as a tax-qualified plan under Section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of the Internal Revenue Code. The retirement and deferred savings plan provides that each participant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made any discretionary contributions to the retirement and deferred savings plan on behalf of participating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13.</w:t>
      </w:r>
      <w:r>
        <w:rPr>
          <w:rFonts w:ascii="Times New Roman" w:hAnsi="Times New Roman"/>
          <w:caps w:val="false"/>
          <w:smallCaps w:val="false"/>
          <w:sz w:val="20"/>
        </w:rPr>
        <w:t>  </w:t>
      </w:r>
      <w:r>
        <w:rPr>
          <w:rFonts w:ascii="Times New Roman" w:hAnsi="Times New Roman"/>
          <w:b/>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 entered into a consulting agreement with FitzPatrick &amp; Co LLC, a consulting firm for which Margaret FitzPatrick, an independent member of our Board, is the Managing Director, to provide corporate development and public relations advisory services. We recorded expense of $45,000 during the quarter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related to this agreement, all of which was included in accounts payable at that date. The agreement continued throughout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during which we recorded general and administrative expense of $165,000, including an accrued expense of $10,000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2023, </w:t>
      </w:r>
      <w:r>
        <w:rPr>
          <w:rFonts w:ascii="Times New Roman" w:hAnsi="Times New Roman"/>
          <w:caps w:val="false"/>
          <w:smallCaps w:val="false"/>
          <w:sz w:val="20"/>
        </w:rPr>
        <w:t xml:space="preserve">we extended the agreement through </w:t>
      </w:r>
      <w:r>
        <w:rPr>
          <w:rStyle w:val="Emphasis"/>
          <w:rFonts w:ascii="Times New Roman" w:hAnsi="Times New Roman"/>
          <w:caps w:val="false"/>
          <w:smallCaps w:val="false"/>
          <w:sz w:val="20"/>
        </w:rP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11, 2022, </w:t>
      </w:r>
      <w:r>
        <w:rPr>
          <w:rFonts w:ascii="Times New Roman" w:hAnsi="Times New Roman"/>
          <w:caps w:val="false"/>
          <w:smallCaps w:val="false"/>
          <w:sz w:val="20"/>
        </w:rPr>
        <w:t xml:space="preserve">Ann Cunningham resigned as our Chief Commercial Officer, but remains a member of our Board. Following Ms. Cunningham’s resignation as Chief Commercial Officer, </w:t>
      </w:r>
      <w:r>
        <w:rPr>
          <w:rStyle w:val="Emphasis"/>
          <w:rFonts w:ascii="Times New Roman" w:hAnsi="Times New Roman"/>
          <w:caps w:val="false"/>
          <w:smallCaps w:val="false"/>
          <w:sz w:val="20"/>
        </w:rPr>
        <w:t>i3</w:t>
      </w:r>
      <w:r>
        <w:rPr>
          <w:rFonts w:ascii="Times New Roman" w:hAnsi="Times New Roman"/>
          <w:caps w:val="false"/>
          <w:smallCaps w:val="false"/>
          <w:sz w:val="20"/>
        </w:rPr>
        <w:t xml:space="preserve"> Strategy Partners, a consulting firm for which Ms. Cunningham is the Managing Partner, began providing certain advisory services to us pursuant to a consulting agreement. The initial term of the consulting agreement will end on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pursuant to the agreement, </w:t>
      </w:r>
      <w:r>
        <w:rPr>
          <w:rStyle w:val="Emphasis"/>
          <w:rFonts w:ascii="Times New Roman" w:hAnsi="Times New Roman"/>
          <w:caps w:val="false"/>
          <w:smallCaps w:val="false"/>
          <w:sz w:val="20"/>
        </w:rPr>
        <w:t>i3</w:t>
      </w:r>
      <w:r>
        <w:rPr>
          <w:rFonts w:ascii="Times New Roman" w:hAnsi="Times New Roman"/>
          <w:caps w:val="false"/>
          <w:smallCaps w:val="false"/>
          <w:sz w:val="20"/>
        </w:rPr>
        <w:t xml:space="preserve"> Strategy Partners received a fee of $120,000 for the period from the effective date of the agreement through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will receive $10,000 per month thereafter through the end of the consulting agreement’s initial term. The payment of $120,000 was completed during our fiscal quarter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we recorded that amount as general and administrative expense 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June 2023, </w:t>
      </w:r>
      <w:r>
        <w:rPr>
          <w:rFonts w:ascii="Times New Roman" w:hAnsi="Times New Roman"/>
          <w:caps w:val="false"/>
          <w:smallCaps w:val="false"/>
          <w:sz w:val="20"/>
        </w:rPr>
        <w:t xml:space="preserve">we extended the agreement through </w:t>
      </w:r>
      <w:r>
        <w:rPr>
          <w:rStyle w:val="Emphasis"/>
          <w:rFonts w:ascii="Times New Roman" w:hAnsi="Times New Roman"/>
          <w:caps w:val="false"/>
          <w:smallCaps w:val="false"/>
          <w:sz w:val="20"/>
        </w:rPr>
        <w:t>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 2022, </w:t>
      </w:r>
      <w:r>
        <w:rPr>
          <w:rFonts w:ascii="Times New Roman" w:hAnsi="Times New Roman"/>
          <w:caps w:val="false"/>
          <w:smallCaps w:val="false"/>
          <w:sz w:val="20"/>
        </w:rPr>
        <w:t xml:space="preserve">Mark Smith resigned as our Chief Medical Officer. Following his departure, Dr. Smith serves as a member of our Clinical and Regulatory Advisory Board and provides consulting services to us regarding the development of our product candidates pursuant to a consulting agreement. Under the terms of the consulting agreement, Dr. Smith was paid $50,000 prior to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will receive $10,000 per month through the contract term ending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We recorded $80,000 as research and development expense 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including $10,000 as accounts payable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pursuant to the consulting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quarter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we entered into a consulting agreement with Joanne Curley, another independent member of our Board, to assist us in developing a phase-appropriate research and development human resources staffing plan to support our development of fasedione, itruvone and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We recorded expense of $6,800 during the quarter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related to this agreement and an accounts payable balance of $1,800 at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which was settled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14.</w:t>
      </w:r>
      <w:r>
        <w:rPr>
          <w:rFonts w:ascii="Times New Roman" w:hAnsi="Times New Roman"/>
          <w:caps w:val="false"/>
          <w:smallCaps w:val="false"/>
          <w:sz w:val="20"/>
        </w:rPr>
        <w:t>  </w:t>
      </w:r>
      <w:r>
        <w:rPr>
          <w:rFonts w:ascii="Times New Roman" w:hAnsi="Times New Roman"/>
          <w:b/>
          <w:caps w:val="false"/>
          <w:smallCaps w:val="false"/>
          <w:sz w:val="20"/>
        </w:rPr>
        <w:t>Commitments, Contingencies, Guarantees and Indemnifications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From time to time,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involved in claims and other legal matters arising in the ordinary course of business. Management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aware of any claims made or other legal matters that will have a material adverse effect on our consolidated financial position, results of operations or our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our directors or executive officers to the fullest extent permitted by Nevada law. We have never incurred costs to defend lawsuits or settle claims related to these indemnification agreements. We have a director and officer insurance policy which limits our exposure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enable us to recover a portion of any future amounts paid. We believe the fair value of these indemnification agreements is minimal. Accordingly,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liabilities recorded for these agreements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with respect to our product candidates. 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any liabilities for these agreements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Assets subject to financing lease obligations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that are included in property and equipment are reflected in the table below:</w:t>
      </w:r>
    </w:p>
    <w:p>
      <w:pPr>
        <w:pStyle w:val="TextBody"/>
        <w:bidi w:val="0"/>
        <w:spacing w:before="0" w:after="0"/>
        <w:ind w:left="0" w:right="0" w:hanging="0"/>
        <w:jc w:val="left"/>
        <w:rPr>
          <w:caps w:val="false"/>
          <w:smallCaps w:val="false"/>
        </w:rPr>
      </w:pPr>
      <w:r>
        <w:rPr>
          <w:caps w:val="false"/>
          <w:smallCaps w:val="false"/>
        </w:rPr>
        <w:t> </w:t>
      </w:r>
    </w:p>
    <w:tbl>
      <w:tblPr>
        <w:tblW w:w="7103" w:type="dxa"/>
        <w:jc w:val="left"/>
        <w:tblInd w:w="0" w:type="dxa"/>
        <w:tblLayout w:type="fixed"/>
        <w:tblCellMar>
          <w:top w:w="0" w:type="dxa"/>
          <w:left w:w="0" w:type="dxa"/>
          <w:bottom w:w="0" w:type="dxa"/>
          <w:right w:w="0" w:type="dxa"/>
        </w:tblCellMar>
      </w:tblPr>
      <w:tblGrid>
        <w:gridCol w:w="5030"/>
        <w:gridCol w:w="60"/>
        <w:gridCol w:w="155"/>
        <w:gridCol w:w="734"/>
        <w:gridCol w:w="80"/>
        <w:gridCol w:w="60"/>
        <w:gridCol w:w="143"/>
        <w:gridCol w:w="746"/>
        <w:gridCol w:w="95"/>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9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9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 subject to financing lease</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14,700</w:t>
            </w:r>
          </w:p>
        </w:tc>
        <w:tc>
          <w:tcPr>
            <w:tcW w:w="9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(14,700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book value of office equipment subject to financing lease</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fully depreciated office equipment reported at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was subject to a lease that expired in </w:t>
      </w:r>
      <w:r>
        <w:rPr>
          <w:rStyle w:val="Emphasis"/>
          <w:rFonts w:ascii="Times New Roman" w:hAnsi="Times New Roman"/>
          <w:caps w:val="false"/>
          <w:smallCaps w:val="false"/>
          <w:sz w:val="20"/>
        </w:rPr>
        <w:t xml:space="preserve">January 2022. </w:t>
      </w:r>
      <w:r>
        <w:rPr>
          <w:rFonts w:ascii="Times New Roman" w:hAnsi="Times New Roman"/>
          <w:caps w:val="false"/>
          <w:smallCaps w:val="false"/>
          <w:sz w:val="20"/>
        </w:rPr>
        <w:t xml:space="preserve">That equipment was replaced subject to a new lease in </w:t>
      </w:r>
      <w:r>
        <w:rPr>
          <w:rStyle w:val="Emphasis"/>
          <w:rFonts w:ascii="Times New Roman" w:hAnsi="Times New Roman"/>
          <w:caps w:val="false"/>
          <w:smallCaps w:val="false"/>
          <w:sz w:val="20"/>
        </w:rPr>
        <w:t xml:space="preserve">April 2022. </w:t>
      </w:r>
      <w:r>
        <w:rPr>
          <w:rFonts w:ascii="Times New Roman" w:hAnsi="Times New Roman"/>
          <w:caps w:val="false"/>
          <w:smallCaps w:val="false"/>
          <w:sz w:val="20"/>
        </w:rPr>
        <w:t>Future minimum lease payments under the new financing lease are as follows:</w:t>
      </w:r>
    </w:p>
    <w:p>
      <w:pPr>
        <w:pStyle w:val="TextBody"/>
        <w:bidi w:val="0"/>
        <w:spacing w:before="0" w:after="0"/>
        <w:ind w:left="0" w:right="0" w:hanging="0"/>
        <w:jc w:val="left"/>
        <w:rPr>
          <w:caps w:val="false"/>
          <w:smallCaps w:val="false"/>
        </w:rPr>
      </w:pPr>
      <w:r>
        <w:rPr>
          <w:caps w:val="false"/>
          <w:smallCaps w:val="false"/>
        </w:rPr>
        <w:t> </w:t>
      </w:r>
    </w:p>
    <w:tbl>
      <w:tblPr>
        <w:tblW w:w="5675" w:type="dxa"/>
        <w:jc w:val="left"/>
        <w:tblInd w:w="0" w:type="dxa"/>
        <w:tblLayout w:type="fixed"/>
        <w:tblCellMar>
          <w:top w:w="0" w:type="dxa"/>
          <w:left w:w="0" w:type="dxa"/>
          <w:bottom w:w="28" w:type="dxa"/>
          <w:right w:w="0" w:type="dxa"/>
        </w:tblCellMar>
      </w:tblPr>
      <w:tblGrid>
        <w:gridCol w:w="4820"/>
        <w:gridCol w:w="60"/>
        <w:gridCol w:w="125"/>
        <w:gridCol w:w="590"/>
        <w:gridCol w:w="80"/>
      </w:tblGrid>
      <w:tr>
        <w:trPr/>
        <w:tc>
          <w:tcPr>
            <w:tcW w:w="482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Fiscal Year Ending March 31,</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482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82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82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82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82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8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Future minimum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12,200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82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 included in minimum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(3,100</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Present value of minimum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82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(1,700</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Financing lease obligation - non-current portion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7,400</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expense for assets recorded under financing leases is included in depreciation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lease our headquarters office and laboratory space in South San Francisco, California under the terms of a lease that was set to expire on </w:t>
      </w:r>
      <w:r>
        <w:rPr>
          <w:rStyle w:val="Emphasis"/>
          <w:rFonts w:ascii="Times New Roman" w:hAnsi="Times New Roman"/>
          <w:caps w:val="false"/>
          <w:smallCaps w:val="false"/>
          <w:sz w:val="20"/>
        </w:rPr>
        <w:t xml:space="preserve">July 31, 2022 </w:t>
      </w:r>
      <w:r>
        <w:rPr>
          <w:rFonts w:ascii="Times New Roman" w:hAnsi="Times New Roman"/>
          <w:caps w:val="false"/>
          <w:smallCaps w:val="false"/>
          <w:sz w:val="20"/>
        </w:rPr>
        <w:t xml:space="preserve">but which provided an option to renew for an additional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at then-current market rates. For the purpose of determining the right-of-use asset and associated lease liability, we determined that the renewal of this lease for the period from </w:t>
      </w:r>
      <w:r>
        <w:rPr>
          <w:rStyle w:val="Emphasis"/>
          <w:rFonts w:ascii="Times New Roman" w:hAnsi="Times New Roman"/>
          <w:caps w:val="false"/>
          <w:smallCaps w:val="false"/>
          <w:sz w:val="20"/>
        </w:rPr>
        <w:t xml:space="preserve">August 2022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July 2027 </w:t>
      </w:r>
      <w:r>
        <w:rPr>
          <w:rFonts w:ascii="Times New Roman" w:hAnsi="Times New Roman"/>
          <w:caps w:val="false"/>
          <w:smallCaps w:val="false"/>
          <w:sz w:val="20"/>
        </w:rPr>
        <w:t xml:space="preserve">was reasonably probable at the time we adopted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October 14, 2021, </w:t>
      </w:r>
      <w:r>
        <w:rPr>
          <w:rFonts w:ascii="Times New Roman" w:hAnsi="Times New Roman"/>
          <w:caps w:val="false"/>
          <w:smallCaps w:val="false"/>
          <w:sz w:val="20"/>
        </w:rPr>
        <w:t xml:space="preserve">we entered into an amendment to the lease (the </w:t>
      </w:r>
      <w:r>
        <w:rPr>
          <w:rFonts w:ascii="Times New Roman" w:hAnsi="Times New Roman"/>
          <w:i/>
          <w:caps w:val="false"/>
          <w:smallCaps w:val="false"/>
          <w:sz w:val="20"/>
        </w:rPr>
        <w:t>Lease Amendment</w:t>
      </w:r>
      <w:r>
        <w:rPr>
          <w:rFonts w:ascii="Times New Roman" w:hAnsi="Times New Roman"/>
          <w:caps w:val="false"/>
          <w:smallCaps w:val="false"/>
          <w:sz w:val="20"/>
        </w:rPr>
        <w:t xml:space="preserve">), pursuant to which the term of the lease was extended from </w:t>
      </w:r>
      <w:r>
        <w:rPr>
          <w:rStyle w:val="Emphasis"/>
          <w:rFonts w:ascii="Times New Roman" w:hAnsi="Times New Roman"/>
          <w:caps w:val="false"/>
          <w:smallCaps w:val="false"/>
          <w:sz w:val="20"/>
        </w:rPr>
        <w:t xml:space="preserve">August 1, 2022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July 31, 2027 </w:t>
      </w:r>
      <w:r>
        <w:rPr>
          <w:rFonts w:ascii="Times New Roman" w:hAnsi="Times New Roman"/>
          <w:caps w:val="false"/>
          <w:smallCaps w:val="false"/>
          <w:sz w:val="20"/>
        </w:rPr>
        <w:t xml:space="preserve">and the base rent under the lease for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-year extension period was specified. Under the terms of the Lease Amendment, we have the option to renew the lease for an additional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-year term commencing on </w:t>
      </w:r>
      <w:r>
        <w:rPr>
          <w:rStyle w:val="Emphasis"/>
          <w:rFonts w:ascii="Times New Roman" w:hAnsi="Times New Roman"/>
          <w:caps w:val="false"/>
          <w:smallCaps w:val="false"/>
          <w:sz w:val="20"/>
        </w:rPr>
        <w:t xml:space="preserve">August 1, 2027. </w:t>
      </w:r>
      <w:r>
        <w:rPr>
          <w:rFonts w:ascii="Times New Roman" w:hAnsi="Times New Roman"/>
          <w:caps w:val="false"/>
          <w:smallCaps w:val="false"/>
          <w:sz w:val="20"/>
        </w:rPr>
        <w:t xml:space="preserve">Consistent with our adoption of </w:t>
      </w:r>
      <w:r>
        <w:rPr>
          <w:rFonts w:ascii="Times New Roman" w:hAnsi="Times New Roman"/>
          <w:i/>
          <w:caps w:val="false"/>
          <w:smallCaps w:val="false"/>
          <w:sz w:val="20"/>
        </w:rPr>
        <w:t xml:space="preserve">ASC </w:t>
      </w:r>
      <w:r>
        <w:rPr>
          <w:rStyle w:val="Emphasis"/>
          <w:rFonts w:ascii="Times New Roman" w:hAnsi="Times New Roman"/>
          <w:i/>
          <w:caps w:val="false"/>
          <w:smallCaps w:val="false"/>
          <w:sz w:val="20"/>
        </w:rPr>
        <w:t>842</w:t>
      </w:r>
      <w:r>
        <w:rPr>
          <w:rFonts w:ascii="Times New Roman" w:hAnsi="Times New Roman"/>
          <w:caps w:val="false"/>
          <w:smallCaps w:val="false"/>
          <w:sz w:val="20"/>
        </w:rPr>
        <w:t xml:space="preserve">, beginning </w:t>
      </w:r>
      <w:r>
        <w:rPr>
          <w:rStyle w:val="Emphasis"/>
          <w:rFonts w:ascii="Times New Roman" w:hAnsi="Times New Roman"/>
          <w:caps w:val="false"/>
          <w:smallCaps w:val="false"/>
          <w:sz w:val="20"/>
        </w:rPr>
        <w:t xml:space="preserve">April 1, 2019, </w:t>
      </w:r>
      <w:r>
        <w:rPr>
          <w:rFonts w:ascii="Times New Roman" w:hAnsi="Times New Roman"/>
          <w:caps w:val="false"/>
          <w:smallCaps w:val="false"/>
          <w:sz w:val="20"/>
        </w:rPr>
        <w:t xml:space="preserve">we recorded this lease in our Consolidated Balance Sheet as an operating lease. The lease of our South San Francisco facilities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restrictions or covenants requiring special treatment under ASC </w:t>
      </w:r>
      <w:r>
        <w:rPr>
          <w:rStyle w:val="Emphasis"/>
          <w:rFonts w:ascii="Times New Roman" w:hAnsi="Times New Roman"/>
          <w:caps w:val="false"/>
          <w:smallCaps w:val="false"/>
          <w:sz w:val="20"/>
        </w:rPr>
        <w:t>842.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summarizes the presentation of the operating lease in our Consolidated Balance Sheets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p>
    <w:p>
      <w:pPr>
        <w:pStyle w:val="TextBody"/>
        <w:bidi w:val="0"/>
        <w:spacing w:before="0" w:after="0"/>
        <w:ind w:left="0" w:right="0" w:hanging="0"/>
        <w:jc w:val="left"/>
        <w:rPr>
          <w:caps w:val="false"/>
          <w:smallCaps w:val="false"/>
        </w:rPr>
      </w:pPr>
      <w:r>
        <w:rPr>
          <w:caps w:val="false"/>
          <w:smallCaps w:val="false"/>
        </w:rPr>
        <w:t> </w:t>
      </w:r>
    </w:p>
    <w:tbl>
      <w:tblPr>
        <w:tblW w:w="7048" w:type="dxa"/>
        <w:jc w:val="left"/>
        <w:tblInd w:w="0" w:type="dxa"/>
        <w:tblLayout w:type="fixed"/>
        <w:tblCellMar>
          <w:top w:w="0" w:type="dxa"/>
          <w:left w:w="0" w:type="dxa"/>
          <w:bottom w:w="0" w:type="dxa"/>
          <w:right w:w="0" w:type="dxa"/>
        </w:tblCellMar>
      </w:tblPr>
      <w:tblGrid>
        <w:gridCol w:w="3170"/>
        <w:gridCol w:w="60"/>
        <w:gridCol w:w="234"/>
        <w:gridCol w:w="1585"/>
        <w:gridCol w:w="60"/>
        <w:gridCol w:w="60"/>
        <w:gridCol w:w="234"/>
        <w:gridCol w:w="1585"/>
        <w:gridCol w:w="6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March 31, 2022</w:t>
            </w:r>
          </w:p>
        </w:tc>
        <w:tc>
          <w:tcPr>
            <w:tcW w:w="6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 – operating lease</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2,662,000</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operating lease obligation</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433,300</w:t>
            </w:r>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obligation</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2,119,800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2,605,400</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2,605,400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3,038,700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effect of operating lease costs in our consolidated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6418" w:type="dxa"/>
        <w:jc w:val="left"/>
        <w:tblInd w:w="0" w:type="dxa"/>
        <w:tblLayout w:type="fixed"/>
        <w:tblCellMar>
          <w:top w:w="0" w:type="dxa"/>
          <w:left w:w="0" w:type="dxa"/>
          <w:bottom w:w="0" w:type="dxa"/>
          <w:right w:w="0" w:type="dxa"/>
        </w:tblCellMar>
      </w:tblPr>
      <w:tblGrid>
        <w:gridCol w:w="1655"/>
        <w:gridCol w:w="60"/>
        <w:gridCol w:w="348"/>
        <w:gridCol w:w="1936"/>
        <w:gridCol w:w="60"/>
        <w:gridCol w:w="60"/>
        <w:gridCol w:w="341"/>
        <w:gridCol w:w="1898"/>
        <w:gridCol w:w="60"/>
      </w:tblGrid>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8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 the Fiscal Year Ended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3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Fiscal Year Ended</w:t>
            </w:r>
          </w:p>
        </w:tc>
        <w:tc>
          <w:tcPr>
            <w:tcW w:w="6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2022</w:t>
            </w:r>
          </w:p>
        </w:tc>
        <w:tc>
          <w:tcPr>
            <w:tcW w:w="60"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851,700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725,000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minimum (base rental) lease payments related to our South San Francisco operating lease are expected to be as follows:</w:t>
      </w:r>
    </w:p>
    <w:p>
      <w:pPr>
        <w:pStyle w:val="TextBody"/>
        <w:bidi w:val="0"/>
        <w:spacing w:before="0" w:after="0"/>
        <w:ind w:left="0" w:right="0" w:hanging="0"/>
        <w:jc w:val="left"/>
        <w:rPr>
          <w:caps w:val="false"/>
          <w:smallCaps w:val="false"/>
        </w:rPr>
      </w:pPr>
      <w:r>
        <w:rPr>
          <w:caps w:val="false"/>
          <w:smallCaps w:val="false"/>
        </w:rPr>
        <w:t> </w:t>
      </w:r>
    </w:p>
    <w:tbl>
      <w:tblPr>
        <w:tblW w:w="4520" w:type="dxa"/>
        <w:jc w:val="left"/>
        <w:tblInd w:w="0" w:type="dxa"/>
        <w:tblLayout w:type="fixed"/>
        <w:tblCellMar>
          <w:top w:w="0" w:type="dxa"/>
          <w:left w:w="0" w:type="dxa"/>
          <w:bottom w:w="28" w:type="dxa"/>
          <w:right w:w="0" w:type="dxa"/>
        </w:tblCellMar>
      </w:tblPr>
      <w:tblGrid>
        <w:gridCol w:w="3410"/>
        <w:gridCol w:w="60"/>
        <w:gridCol w:w="125"/>
        <w:gridCol w:w="845"/>
        <w:gridCol w:w="80"/>
      </w:tblGrid>
      <w:tr>
        <w:trPr/>
        <w:tc>
          <w:tcPr>
            <w:tcW w:w="341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Fiscal Years Ending March 31,</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80" w:type="dxa"/>
            <w:tcBorders/>
            <w:tcMar>
              <w:bottom w:w="0" w:type="dxa"/>
            </w:tcMar>
            <w:vAlign w:val="center"/>
          </w:tcPr>
          <w:p>
            <w:pPr>
              <w:pStyle w:val="TableContents"/>
              <w:bidi w:val="0"/>
              <w:spacing w:before="0" w:after="283"/>
              <w:jc w:val="left"/>
              <w:rPr/>
            </w:pPr>
            <w:r>
              <w:rPr/>
              <w:t> </w:t>
            </w:r>
          </w:p>
        </w:tc>
      </w:tr>
      <w:tr>
        <w:trPr/>
        <w:tc>
          <w:tcPr>
            <w:tcW w:w="341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689,500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1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710,200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1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731,500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1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753,500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1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253,600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1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lease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3,138,300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(532,900</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1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Present value of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2,605,400</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remaining lease term, which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the optional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-year extension at the expiration of the lease period ending </w:t>
      </w:r>
      <w:r>
        <w:rPr>
          <w:rStyle w:val="Emphasis"/>
          <w:rFonts w:ascii="Times New Roman" w:hAnsi="Times New Roman"/>
          <w:caps w:val="false"/>
          <w:smallCaps w:val="false"/>
          <w:sz w:val="20"/>
        </w:rPr>
        <w:t xml:space="preserve">July 31, 2027, </w:t>
      </w:r>
      <w:r>
        <w:rPr>
          <w:rFonts w:ascii="Times New Roman" w:hAnsi="Times New Roman"/>
          <w:caps w:val="false"/>
          <w:smallCaps w:val="false"/>
          <w:sz w:val="20"/>
        </w:rPr>
        <w:t>and the discount rate assumption for our South San Francisco operating lease are as follows:</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3155"/>
        <w:gridCol w:w="60"/>
        <w:gridCol w:w="1820"/>
        <w:gridCol w:w="60"/>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 March 31, 2023</w:t>
            </w:r>
          </w:p>
        </w:tc>
        <w:tc>
          <w:tcPr>
            <w:tcW w:w="6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Assumed remaining lease term in years</w:t>
            </w:r>
          </w:p>
        </w:tc>
        <w:tc>
          <w:tcPr>
            <w:tcW w:w="60" w:type="dxa"/>
            <w:tcBorders/>
            <w:shd w:fill="CCEEFF" w:val="clear"/>
            <w:vAlign w:val="center"/>
          </w:tcPr>
          <w:p>
            <w:pPr>
              <w:pStyle w:val="TableContents"/>
              <w:bidi w:val="0"/>
              <w:spacing w:before="0" w:after="283"/>
              <w:ind w:left="0" w:right="0" w:hanging="0"/>
              <w:jc w:val="left"/>
              <w:rPr/>
            </w:pPr>
            <w:r>
              <w:rPr/>
              <w:t> </w:t>
            </w:r>
          </w:p>
        </w:tc>
        <w:tc>
          <w:tcPr>
            <w:tcW w:w="1820"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4.33</w:t>
            </w:r>
          </w:p>
        </w:tc>
        <w:tc>
          <w:tcPr>
            <w:tcW w:w="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Assumed discount rate</w:t>
            </w:r>
          </w:p>
        </w:tc>
        <w:tc>
          <w:tcPr>
            <w:tcW w:w="60" w:type="dxa"/>
            <w:tcBorders/>
            <w:shd w:fill="FFFFFF" w:val="clear"/>
            <w:vAlign w:val="center"/>
          </w:tcPr>
          <w:p>
            <w:pPr>
              <w:pStyle w:val="TableContents"/>
              <w:bidi w:val="0"/>
              <w:spacing w:before="0" w:after="283"/>
              <w:ind w:left="0" w:right="0" w:hanging="0"/>
              <w:jc w:val="left"/>
              <w:rPr/>
            </w:pPr>
            <w:r>
              <w:rPr/>
              <w:t> </w:t>
            </w:r>
          </w:p>
        </w:tc>
        <w:tc>
          <w:tcPr>
            <w:tcW w:w="1820"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8.54%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interest rate implicit in lease contracts is typically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determinable and, as such, we used our estimated incremental borrowing rate based on information available at the adoption of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which represents an internally developed rate that would be incurred to borrow, on a collateralized basis, over a similar term, an amount equal to the lease payments in a similar 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Supplemental disclosure of cash flow information related to our operating leases included in cash flows used by operating activities in the consolidated statements of cash flows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69"/>
        <w:gridCol w:w="60"/>
        <w:gridCol w:w="334"/>
        <w:gridCol w:w="1862"/>
        <w:gridCol w:w="60"/>
        <w:gridCol w:w="60"/>
        <w:gridCol w:w="334"/>
        <w:gridCol w:w="1862"/>
        <w:gridCol w:w="64"/>
      </w:tblGrid>
      <w:tr>
        <w:trPr/>
        <w:tc>
          <w:tcPr>
            <w:tcW w:w="55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6"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Fiscal Year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6"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Fiscal Year Ended</w:t>
            </w:r>
          </w:p>
        </w:tc>
        <w:tc>
          <w:tcPr>
            <w:tcW w:w="64" w:type="dxa"/>
            <w:tcBorders/>
            <w:vAlign w:val="center"/>
          </w:tcPr>
          <w:p>
            <w:pPr>
              <w:pStyle w:val="TableContents"/>
              <w:bidi w:val="0"/>
              <w:spacing w:before="0" w:after="283"/>
              <w:jc w:val="left"/>
              <w:rPr/>
            </w:pPr>
            <w:r>
              <w:rPr/>
              <w:t> </w:t>
            </w:r>
          </w:p>
        </w:tc>
      </w:tr>
      <w:tr>
        <w:trPr/>
        <w:tc>
          <w:tcPr>
            <w:tcW w:w="55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2022</w:t>
            </w:r>
          </w:p>
        </w:tc>
        <w:tc>
          <w:tcPr>
            <w:tcW w:w="64" w:type="dxa"/>
            <w:tcBorders/>
            <w:vAlign w:val="center"/>
          </w:tcPr>
          <w:p>
            <w:pPr>
              <w:pStyle w:val="TableContents"/>
              <w:bidi w:val="0"/>
              <w:spacing w:before="0" w:after="283"/>
              <w:jc w:val="left"/>
              <w:rPr/>
            </w:pPr>
            <w:r>
              <w:rPr/>
              <w:t> </w:t>
            </w:r>
          </w:p>
        </w:tc>
      </w:tr>
      <w:tr>
        <w:trPr/>
        <w:tc>
          <w:tcPr>
            <w:tcW w:w="556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883,200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844,300</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 any new right-of-use assets arising from new operating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also lease a small office in the San Francisco Bay Area under a month-to-month arrangement at insignificant cost and have made an accounting policy election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apply the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operating lease recognition requirements to such short-term lease. We recognize the lease payments for this lease in general and administrative expenses over the lease term. We recorded rent expense of $14,200 for both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attributable to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15.</w:t>
      </w:r>
      <w:r>
        <w:rPr>
          <w:rFonts w:ascii="Times New Roman" w:hAnsi="Times New Roman"/>
          <w:caps w:val="false"/>
          <w:smallCaps w:val="false"/>
          <w:sz w:val="20"/>
        </w:rPr>
        <w:t>  </w:t>
      </w:r>
      <w:r>
        <w:rPr>
          <w:rFonts w:ascii="Times New Roman" w:hAnsi="Times New Roman"/>
          <w:b/>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have evaluated subsequent events through the date of this Annual Report and have identified the following material events and transactions that occurred after </w:t>
      </w:r>
      <w:r>
        <w:rPr>
          <w:rStyle w:val="Emphasis"/>
          <w:rFonts w:ascii="Times New Roman" w:hAnsi="Times New Roman"/>
          <w:caps w:val="false"/>
          <w:smallCaps w:val="false"/>
          <w:sz w:val="20"/>
        </w:rPr>
        <w:t>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Reverse Split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6, 2023, </w:t>
      </w:r>
      <w:r>
        <w:rPr>
          <w:rFonts w:ascii="Times New Roman" w:hAnsi="Times New Roman"/>
          <w:caps w:val="false"/>
          <w:smallCaps w:val="false"/>
          <w:sz w:val="20"/>
        </w:rPr>
        <w:t xml:space="preserve">we implemented a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-for-30) reverse split of our common stock (the </w:t>
      </w:r>
      <w:r>
        <w:rPr>
          <w:rFonts w:ascii="Times New Roman" w:hAnsi="Times New Roman"/>
          <w:i/>
          <w:caps w:val="false"/>
          <w:smallCaps w:val="false"/>
          <w:sz w:val="20"/>
        </w:rPr>
        <w:t>Reverse Stock Split</w:t>
      </w:r>
      <w:r>
        <w:rPr>
          <w:rFonts w:ascii="Times New Roman" w:hAnsi="Times New Roman"/>
          <w:caps w:val="false"/>
          <w:smallCaps w:val="false"/>
          <w:sz w:val="20"/>
        </w:rPr>
        <w:t xml:space="preserve">). At our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Annual Meeting of Stockholders held on </w:t>
      </w:r>
      <w:r>
        <w:rPr>
          <w:rStyle w:val="Emphasis"/>
          <w:rFonts w:ascii="Times New Roman" w:hAnsi="Times New Roman"/>
          <w:caps w:val="false"/>
          <w:smallCaps w:val="false"/>
          <w:sz w:val="20"/>
        </w:rPr>
        <w:t xml:space="preserve">October 28, 2022, </w:t>
      </w:r>
      <w:r>
        <w:rPr>
          <w:rFonts w:ascii="Times New Roman" w:hAnsi="Times New Roman"/>
          <w:caps w:val="false"/>
          <w:smallCaps w:val="false"/>
          <w:sz w:val="20"/>
        </w:rPr>
        <w:t xml:space="preserve">our stockholders authorized our Board to effect a reverse stock split of our issued and outstanding shares of common stock at a ratio of up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-for-thirty, with the exact ratio to be determined at the discretion of the Board. The Board subsequently unanimously approved the ratio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-for-thirty. Our common stock began trading on the Nasdaq Capital Market on a split-adjusted basis on </w:t>
      </w:r>
      <w:r>
        <w:rPr>
          <w:rStyle w:val="Emphasis"/>
          <w:rFonts w:ascii="Times New Roman" w:hAnsi="Times New Roman"/>
          <w:caps w:val="false"/>
          <w:smallCaps w:val="false"/>
          <w:sz w:val="20"/>
        </w:rPr>
        <w:t xml:space="preserve">June 7, 2023. </w:t>
      </w:r>
      <w:r>
        <w:rPr>
          <w:rFonts w:ascii="Times New Roman" w:hAnsi="Times New Roman"/>
          <w:caps w:val="false"/>
          <w:smallCaps w:val="false"/>
          <w:sz w:val="20"/>
        </w:rPr>
        <w:t xml:space="preserve">The Reverse Stock Split reduced the number of shares of our common stock outstanding. Additionally, the number of shares and exercise prices of outstanding options to purchase common stock granted under our stockholder-approved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and our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and outstanding warrants to purchase common stock have been adjusted proportionately. Our authorized shares of common stock remain at 325,000,000 and our authorized shares of preferred stock remain at 10,000,000. The par value of each of our common stock and preferred stock remains at $0.001 per share. All share and per share data for all periods presented in the accompanying financial statements and related disclosures in this Report have been adjusted retrospectively to reflect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Sales of Common Stock under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 xml:space="preserve">June 2023 </w:t>
      </w:r>
      <w:r>
        <w:rPr>
          <w:rFonts w:ascii="Times New Roman" w:hAnsi="Times New Roman"/>
          <w:caps w:val="false"/>
          <w:smallCaps w:val="false"/>
          <w:sz w:val="20"/>
        </w:rPr>
        <w:t>through the date of this Report, we sold an aggregate of 561,418 shares of our common stock under the Sales Agreement at a weighted average price of $2.05 per share and received gross cash proceeds of $1,151,884.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Grant of Options from </w:t>
      </w:r>
      <w:r>
        <w:rPr>
          <w:rStyle w:val="Emphasis"/>
          <w:rFonts w:ascii="Times New Roman" w:hAnsi="Times New Roman"/>
          <w:b/>
          <w:i/>
          <w:caps w:val="false"/>
          <w:smallCaps w:val="false"/>
          <w:sz w:val="20"/>
        </w:rPr>
        <w:t>2019</w:t>
      </w:r>
      <w:r>
        <w:rPr>
          <w:rFonts w:ascii="Times New Roman" w:hAnsi="Times New Roman"/>
          <w:b/>
          <w:i/>
          <w:caps w:val="false"/>
          <w:smallCaps w:val="false"/>
          <w:sz w:val="20"/>
        </w:rPr>
        <w:t xml:space="preserv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2023, </w:t>
      </w:r>
      <w:r>
        <w:rPr>
          <w:rFonts w:ascii="Times New Roman" w:hAnsi="Times New Roman"/>
          <w:caps w:val="false"/>
          <w:smallCaps w:val="false"/>
          <w:sz w:val="20"/>
        </w:rPr>
        <w:t xml:space="preserve">we granted options to purchase 10,000 shares of our common stock under our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in accordance with the terms of a settlement with a former employee. The options have an exercise price equal to the quoted closing market price of our common stock on the Nasdaq Capital Market on the date of grant, a term of five years and vest 25% on the grant date with the remaining 75% vested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days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Supplemental Financial Information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presents the unaudited statements of operations data for each of the </w:t>
      </w:r>
      <w:r>
        <w:rPr>
          <w:rStyle w:val="Emphasis"/>
          <w:rFonts w:ascii="Times New Roman" w:hAnsi="Times New Roman"/>
          <w:caps w:val="false"/>
          <w:smallCaps w:val="false"/>
          <w:sz w:val="20"/>
        </w:rPr>
        <w:t>eight</w:t>
      </w:r>
      <w:r>
        <w:rPr>
          <w:rFonts w:ascii="Times New Roman" w:hAnsi="Times New Roman"/>
          <w:caps w:val="false"/>
          <w:smallCaps w:val="false"/>
          <w:sz w:val="20"/>
        </w:rPr>
        <w:t xml:space="preserve"> quarters in the period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relied upon as necessarily indicative of results for any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Quarterly Results of Operations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81"/>
        <w:gridCol w:w="60"/>
        <w:gridCol w:w="136"/>
        <w:gridCol w:w="926"/>
        <w:gridCol w:w="80"/>
        <w:gridCol w:w="60"/>
        <w:gridCol w:w="164"/>
        <w:gridCol w:w="1109"/>
        <w:gridCol w:w="80"/>
        <w:gridCol w:w="60"/>
        <w:gridCol w:w="161"/>
        <w:gridCol w:w="1092"/>
        <w:gridCol w:w="80"/>
        <w:gridCol w:w="60"/>
        <w:gridCol w:w="145"/>
        <w:gridCol w:w="987"/>
        <w:gridCol w:w="80"/>
        <w:gridCol w:w="60"/>
        <w:gridCol w:w="128"/>
        <w:gridCol w:w="870"/>
        <w:gridCol w:w="86"/>
      </w:tblGrid>
      <w:tr>
        <w:trPr/>
        <w:tc>
          <w:tcPr>
            <w:tcW w:w="37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4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r>
      <w:tr>
        <w:trPr/>
        <w:tc>
          <w:tcPr>
            <w:tcW w:w="37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Fiscal</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2023</w:t>
            </w:r>
          </w:p>
        </w:tc>
        <w:tc>
          <w:tcPr>
            <w:tcW w:w="86" w:type="dxa"/>
            <w:tcBorders/>
            <w:vAlign w:val="center"/>
          </w:tcPr>
          <w:p>
            <w:pPr>
              <w:pStyle w:val="TableContents"/>
              <w:bidi w:val="0"/>
              <w:spacing w:before="0" w:after="283"/>
              <w:jc w:val="left"/>
              <w:rPr/>
            </w:pPr>
            <w:r>
              <w:rPr/>
              <w:t> </w:t>
            </w:r>
          </w:p>
        </w:tc>
      </w:tr>
      <w:tr>
        <w:trPr/>
        <w:tc>
          <w:tcPr>
            <w:tcW w:w="37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Sublicense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81"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8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44,377</w:t>
            </w:r>
          </w:p>
        </w:tc>
        <w:tc>
          <w:tcPr>
            <w:tcW w:w="86" w:type="dxa"/>
            <w:tcBorders/>
            <w:shd w:fill="FFFFFF" w:val="clear"/>
            <w:vAlign w:val="center"/>
          </w:tcPr>
          <w:p>
            <w:pPr>
              <w:pStyle w:val="TableContents"/>
              <w:bidi w:val="0"/>
              <w:spacing w:before="0" w:after="283"/>
              <w:jc w:val="left"/>
              <w:rPr/>
            </w:pPr>
            <w:r>
              <w:rPr/>
              <w:t> </w:t>
            </w:r>
          </w:p>
        </w:tc>
      </w:tr>
      <w:tr>
        <w:trPr/>
        <w:tc>
          <w:tcPr>
            <w:tcW w:w="378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14,664</w:t>
            </w:r>
          </w:p>
        </w:tc>
        <w:tc>
          <w:tcPr>
            <w:tcW w:w="86" w:type="dxa"/>
            <w:tcBorders/>
            <w:shd w:fill="CCEEFF"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59,041</w:t>
            </w:r>
          </w:p>
        </w:tc>
        <w:tc>
          <w:tcPr>
            <w:tcW w:w="86" w:type="dxa"/>
            <w:tcBorders/>
            <w:shd w:fill="FFFFFF" w:val="clear"/>
            <w:vAlign w:val="center"/>
          </w:tcPr>
          <w:p>
            <w:pPr>
              <w:pStyle w:val="TableContents"/>
              <w:bidi w:val="0"/>
              <w:spacing w:before="0" w:after="283"/>
              <w:jc w:val="left"/>
              <w:rPr/>
            </w:pPr>
            <w:r>
              <w:rPr/>
              <w:t> </w:t>
            </w:r>
          </w:p>
        </w:tc>
      </w:tr>
      <w:tr>
        <w:trPr/>
        <w:tc>
          <w:tcPr>
            <w:tcW w:w="37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(9,766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8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(59,268</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and expenses, net: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378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net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86" w:type="dxa"/>
            <w:tcBorders/>
            <w:shd w:fill="CCEEFF"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(19,771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(9,761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8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(59,242</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and comprehensive loss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(19,776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(9,761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(12,227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(59,248</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Basic and diluted net loss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(8.51</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81"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Weighted average shares used in computing basic and diluted net loss per common share</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6,886,557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6,893,708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6,894,603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7,163,799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6,958,749</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002"/>
        <w:gridCol w:w="60"/>
        <w:gridCol w:w="133"/>
        <w:gridCol w:w="904"/>
        <w:gridCol w:w="80"/>
        <w:gridCol w:w="60"/>
        <w:gridCol w:w="153"/>
        <w:gridCol w:w="1038"/>
        <w:gridCol w:w="80"/>
        <w:gridCol w:w="60"/>
        <w:gridCol w:w="151"/>
        <w:gridCol w:w="1026"/>
        <w:gridCol w:w="80"/>
        <w:gridCol w:w="60"/>
        <w:gridCol w:w="140"/>
        <w:gridCol w:w="949"/>
        <w:gridCol w:w="80"/>
        <w:gridCol w:w="60"/>
        <w:gridCol w:w="129"/>
        <w:gridCol w:w="876"/>
        <w:gridCol w:w="84"/>
      </w:tblGrid>
      <w:tr>
        <w:trPr/>
        <w:tc>
          <w:tcPr>
            <w:tcW w:w="40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91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r>
      <w:tr>
        <w:trPr/>
        <w:tc>
          <w:tcPr>
            <w:tcW w:w="40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Total Fiscal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2022</w:t>
            </w:r>
          </w:p>
        </w:tc>
        <w:tc>
          <w:tcPr>
            <w:tcW w:w="84" w:type="dxa"/>
            <w:tcBorders/>
            <w:vAlign w:val="center"/>
          </w:tcPr>
          <w:p>
            <w:pPr>
              <w:pStyle w:val="TableContents"/>
              <w:bidi w:val="0"/>
              <w:spacing w:before="0" w:after="283"/>
              <w:jc w:val="left"/>
              <w:rPr/>
            </w:pPr>
            <w:r>
              <w:rPr/>
              <w:t> </w:t>
            </w:r>
          </w:p>
        </w:tc>
      </w:tr>
      <w:tr>
        <w:trPr/>
        <w:tc>
          <w:tcPr>
            <w:tcW w:w="400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Sublicense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1,109</w:t>
            </w:r>
          </w:p>
        </w:tc>
        <w:tc>
          <w:tcPr>
            <w:tcW w:w="84" w:type="dxa"/>
            <w:tcBorders/>
            <w:shd w:fill="CCEEFF" w:val="clear"/>
            <w:vAlign w:val="center"/>
          </w:tcPr>
          <w:p>
            <w:pPr>
              <w:pStyle w:val="TableContents"/>
              <w:bidi w:val="0"/>
              <w:spacing w:before="0" w:after="283"/>
              <w:jc w:val="left"/>
              <w:rPr/>
            </w:pPr>
            <w:r>
              <w:rPr/>
              <w:t> </w:t>
            </w:r>
          </w:p>
        </w:tc>
      </w:tr>
      <w:tr>
        <w:trPr/>
        <w:tc>
          <w:tcPr>
            <w:tcW w:w="400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1,109</w:t>
            </w:r>
          </w:p>
        </w:tc>
        <w:tc>
          <w:tcPr>
            <w:tcW w:w="84" w:type="dxa"/>
            <w:tcBorders/>
            <w:shd w:fill="FFFFFF" w:val="clear"/>
            <w:vAlign w:val="center"/>
          </w:tcPr>
          <w:p>
            <w:pPr>
              <w:pStyle w:val="TableContents"/>
              <w:bidi w:val="0"/>
              <w:spacing w:before="0" w:after="283"/>
              <w:jc w:val="left"/>
              <w:rPr/>
            </w:pPr>
            <w:r>
              <w:rPr/>
              <w:t> </w:t>
            </w:r>
          </w:p>
        </w:tc>
      </w:tr>
      <w:tr>
        <w:trPr/>
        <w:tc>
          <w:tcPr>
            <w:tcW w:w="400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400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35,408</w:t>
            </w:r>
          </w:p>
        </w:tc>
        <w:tc>
          <w:tcPr>
            <w:tcW w:w="84" w:type="dxa"/>
            <w:tcBorders/>
            <w:shd w:fill="FFFFFF" w:val="clear"/>
            <w:vAlign w:val="center"/>
          </w:tcPr>
          <w:p>
            <w:pPr>
              <w:pStyle w:val="TableContents"/>
              <w:bidi w:val="0"/>
              <w:spacing w:before="0" w:after="283"/>
              <w:jc w:val="left"/>
              <w:rPr/>
            </w:pPr>
            <w:r>
              <w:rPr/>
              <w:t> </w:t>
            </w:r>
          </w:p>
        </w:tc>
      </w:tr>
      <w:tr>
        <w:trPr/>
        <w:tc>
          <w:tcPr>
            <w:tcW w:w="400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13,480</w:t>
            </w:r>
          </w:p>
        </w:tc>
        <w:tc>
          <w:tcPr>
            <w:tcW w:w="84" w:type="dxa"/>
            <w:tcBorders/>
            <w:shd w:fill="CCEEFF" w:val="clear"/>
            <w:vAlign w:val="center"/>
          </w:tcPr>
          <w:p>
            <w:pPr>
              <w:pStyle w:val="TableContents"/>
              <w:bidi w:val="0"/>
              <w:spacing w:before="0" w:after="283"/>
              <w:jc w:val="left"/>
              <w:rPr/>
            </w:pPr>
            <w:r>
              <w:rPr/>
              <w:t> </w:t>
            </w:r>
          </w:p>
        </w:tc>
      </w:tr>
      <w:tr>
        <w:trPr/>
        <w:tc>
          <w:tcPr>
            <w:tcW w:w="400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48,888</w:t>
            </w:r>
          </w:p>
        </w:tc>
        <w:tc>
          <w:tcPr>
            <w:tcW w:w="84" w:type="dxa"/>
            <w:tcBorders/>
            <w:shd w:fill="FFFFFF" w:val="clear"/>
            <w:vAlign w:val="center"/>
          </w:tcPr>
          <w:p>
            <w:pPr>
              <w:pStyle w:val="TableContents"/>
              <w:bidi w:val="0"/>
              <w:spacing w:before="0" w:after="283"/>
              <w:jc w:val="left"/>
              <w:rPr/>
            </w:pPr>
            <w:r>
              <w:rPr/>
              <w:t> </w:t>
            </w:r>
          </w:p>
        </w:tc>
      </w:tr>
      <w:tr>
        <w:trPr/>
        <w:tc>
          <w:tcPr>
            <w:tcW w:w="400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(16,693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(47,779</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0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and expenses, net: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400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net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84" w:type="dxa"/>
            <w:tcBorders/>
            <w:shd w:fill="CCEEFF" w:val="clear"/>
            <w:vAlign w:val="center"/>
          </w:tcPr>
          <w:p>
            <w:pPr>
              <w:pStyle w:val="TableContents"/>
              <w:bidi w:val="0"/>
              <w:spacing w:before="0" w:after="283"/>
              <w:jc w:val="left"/>
              <w:rPr/>
            </w:pPr>
            <w:r>
              <w:rPr/>
              <w:t> </w:t>
            </w:r>
          </w:p>
        </w:tc>
      </w:tr>
      <w:tr>
        <w:trPr/>
        <w:tc>
          <w:tcPr>
            <w:tcW w:w="400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(7,742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(12,795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(16,688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(47,759</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0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02"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 and comprehensive loss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(7,745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(12,795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(16,688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(47,762</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02"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Accrued dividend on Series B Preferred stock</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02"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Net loss attributable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(10,742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(16,688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(48,707</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4002"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Basic and diluted net loss per common share attributable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(7.38</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02" w:type="dxa"/>
            <w:tcBorders/>
            <w:shd w:fill="CCEE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Weighted average shares used in computing basic and diluted net loss per common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6,330,805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6,440,928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6,744,289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6,884,403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6,599,287</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VISTAGEN THERAPEUTICS,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5" w:name="item9"/>
      <w:bookmarkEnd w:id="15"/>
      <w:r>
        <w:rPr>
          <w:rFonts w:ascii="Times New Roman" w:hAnsi="Times New Roman"/>
          <w:b/>
          <w:caps w:val="false"/>
          <w:smallCaps w:val="false"/>
          <w:sz w:val="20"/>
        </w:rPr>
        <w:t>Item 9.</w:t>
      </w:r>
      <w:r>
        <w:rPr>
          <w:rFonts w:ascii="Times New Roman" w:hAnsi="Times New Roman"/>
          <w:caps w:val="false"/>
          <w:smallCaps w:val="false"/>
          <w:sz w:val="20"/>
        </w:rPr>
        <w:t>  </w:t>
      </w:r>
      <w:r>
        <w:rPr>
          <w:rFonts w:ascii="Times New Roman" w:hAnsi="Times New Roman"/>
          <w:b/>
          <w:caps w:val="false"/>
          <w:smallCaps w:val="false"/>
          <w:sz w:val="20"/>
        </w:rPr>
        <w:t>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item9a"/>
      <w:bookmarkEnd w:id="16"/>
      <w:r>
        <w:rPr>
          <w:rFonts w:ascii="Times New Roman" w:hAnsi="Times New Roman"/>
          <w:b/>
          <w:caps w:val="false"/>
          <w:smallCaps w:val="false"/>
          <w:sz w:val="20"/>
        </w:rPr>
        <w:t>Item 9A.</w:t>
      </w:r>
      <w:r>
        <w:rPr>
          <w:rFonts w:ascii="Times New Roman" w:hAnsi="Times New Roman"/>
          <w:caps w:val="false"/>
          <w:smallCaps w:val="false"/>
          <w:sz w:val="20"/>
        </w:rPr>
        <w:t>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of our principal executive officer (</w:t>
      </w:r>
      <w:r>
        <w:rPr>
          <w:rFonts w:ascii="Times New Roman" w:hAnsi="Times New Roman"/>
          <w:i/>
          <w:caps w:val="false"/>
          <w:smallCaps w:val="false"/>
          <w:sz w:val="20"/>
        </w:rPr>
        <w:t>CEO</w:t>
      </w:r>
      <w:r>
        <w:rPr>
          <w:rFonts w:ascii="Times New Roman" w:hAnsi="Times New Roman"/>
          <w:caps w:val="false"/>
          <w:smallCaps w:val="false"/>
          <w:sz w:val="20"/>
        </w:rPr>
        <w:t>) and principal financial officer (</w:t>
      </w:r>
      <w:r>
        <w:rPr>
          <w:rFonts w:ascii="Times New Roman" w:hAnsi="Times New Roman"/>
          <w:i/>
          <w:caps w:val="false"/>
          <w:smallCaps w:val="false"/>
          <w:sz w:val="20"/>
        </w:rPr>
        <w:t>CFO</w:t>
      </w:r>
      <w:r>
        <w:rPr>
          <w:rFonts w:ascii="Times New Roman" w:hAnsi="Times New Roman"/>
          <w:caps w:val="false"/>
          <w:smallCaps w:val="false"/>
          <w:sz w:val="20"/>
        </w:rPr>
        <w:t>), evaluated the effectiveness of our disclosure controls and procedures (as defined in Exchange Act Rules 13a-15(e) and 15d-15(e)) as of March 31, 2023. Based upon that evaluation, our CEO and CFO concluded that, as of such date, our disclosure controls and procedures were effective to ensure that information required to be disclosed in reports filed by us under the Securities Exchange Act of 1934 is recorded, processed, summarized and reported within the required time periods and is accumulated and communicated to our management, including our CEO and CFO,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Management of the Company is responsible for establishing and maintaining adequate internal control over financial reporting, as such term is defined in the U.S. Securities Exchange Act of 1934, Rules 13a-15(f) and 15d-15(f). Our internal control system was designed to provide reasonable assurance to our management and board of directors regarding the preparation and fair presentation of published financial statements. Management assessed the effectiveness of our internal control over financial reporting for our fiscal year ended March 31, 2023 based on criteria set forth in </w:t>
      </w:r>
      <w:r>
        <w:rPr>
          <w:rFonts w:ascii="Times New Roman" w:hAnsi="Times New Roman"/>
          <w:i/>
          <w:caps w:val="false"/>
          <w:smallCaps w:val="false"/>
          <w:sz w:val="20"/>
        </w:rPr>
        <w:t>Internal Control - Integrated Framework (2013)</w:t>
      </w:r>
      <w:r>
        <w:rPr>
          <w:rFonts w:ascii="Times New Roman" w:hAnsi="Times New Roman"/>
          <w:caps w:val="false"/>
          <w:smallCaps w:val="false"/>
          <w:sz w:val="20"/>
        </w:rPr>
        <w:t>, issued by the Committee of Sponsoring Organizations of the Treadway Commission (</w:t>
      </w:r>
      <w:r>
        <w:rPr>
          <w:rFonts w:ascii="Times New Roman" w:hAnsi="Times New Roman"/>
          <w:i/>
          <w:caps w:val="false"/>
          <w:smallCaps w:val="false"/>
          <w:sz w:val="20"/>
        </w:rPr>
        <w:t>COSO</w:t>
      </w:r>
      <w:r>
        <w:rPr>
          <w:rFonts w:ascii="Times New Roman" w:hAnsi="Times New Roman"/>
          <w:caps w:val="false"/>
          <w:smallCaps w:val="false"/>
          <w:sz w:val="20"/>
        </w:rPr>
        <w:t xml:space="preserve">) (the </w:t>
      </w:r>
      <w:r>
        <w:rPr>
          <w:rFonts w:ascii="Times New Roman" w:hAnsi="Times New Roman"/>
          <w:i/>
          <w:caps w:val="false"/>
          <w:smallCaps w:val="false"/>
          <w:sz w:val="20"/>
        </w:rPr>
        <w:t>COSO Framework</w:t>
      </w:r>
      <w:r>
        <w:rPr>
          <w:rFonts w:ascii="Times New Roman" w:hAnsi="Times New Roman"/>
          <w:caps w:val="false"/>
          <w:smallCaps w:val="false"/>
          <w:sz w:val="20"/>
        </w:rPr>
        <w:t>). Based upon this assessment, management concluded that, as of March 31, 2023, our internal control over financial reporting was effective, based upon those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Limitations on Effectiveness of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should be noted that any controls and procedures, no matter how well designed and operated, can provide only reasonable assurance of achieving their objectives and management necessarily applies its judgment and makes assumptions about the likelihood of future events. There can be no assurance that any design will succeed in achieving its stated goals under all potential future conditions, regardless of how remote. Management believes that the Financial Statements included in this Annual Report fairly present in all material respects our financial condition, results of operations and cash flows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Therefore, even those systems determined to be effective can provide only reasonable assurance of achieving their control objectives. Smaller reporting companies may face additional limitations in achieving control objectives. Smaller reporting companies typically employ fewer individuals who are often tasked with a wide range of responsibilities, making it difficult to segregate duties. Often, one or two persons control many, or all, aspects of the smaller reporting company’s general and financial operations, placing such individual(s) in a position to override any system of internal control. Additionally, projections of an evaluation of current effectiveness to future periods are subject to the risk that controls may become inadequate because of changes in conditions, or that the degree of compliance with the controls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Attestation Report of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Annual Report does not include an attestation report of our registered independent public accounting firm regarding internal control over financial reporting pursuant to SEC rules for smaller reporting companies that permit us to provide only management’s report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7" w:name="item9b"/>
      <w:bookmarkEnd w:id="17"/>
      <w:r>
        <w:rPr>
          <w:rFonts w:ascii="Times New Roman" w:hAnsi="Times New Roman"/>
          <w:b/>
          <w:caps w:val="false"/>
          <w:smallCaps w:val="false"/>
          <w:sz w:val="20"/>
        </w:rPr>
        <w:t>Item 9B.</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283"/>
        <w:jc w:val="left"/>
        <w:rPr/>
      </w:pPr>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8" w:name="part3"/>
      <w:bookmarkEnd w:id="18"/>
      <w:r>
        <w:rPr>
          <w:rFonts w:ascii="Times New Roman" w:hAnsi="Times New Roman"/>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9" w:name="part10"/>
      <w:bookmarkEnd w:id="19"/>
      <w:r>
        <w:rPr>
          <w:rFonts w:ascii="Times New Roman" w:hAnsi="Times New Roman"/>
          <w:b/>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to the information that will be contained in our proxy statement related to the 2023 Annual Meeting of Stockholders, which we intend to file with the Securities and Exchange Commission on or before July 29, 2023 pursuant to General Instruction G(3)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0" w:name="part11"/>
      <w:bookmarkEnd w:id="20"/>
      <w:r>
        <w:rPr>
          <w:rFonts w:ascii="Times New Roman" w:hAnsi="Times New Roman"/>
          <w:b/>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to the information that will be contained in our proxy statement related to the 2023 Annual Meeting of Stockholders, which we intend to file with the Securities and Exchange Commission on or before July 29, 2023 pursuant to General Instruction G(3)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1" w:name="part12"/>
      <w:bookmarkEnd w:id="21"/>
      <w:r>
        <w:rPr>
          <w:rFonts w:ascii="Times New Roman" w:hAnsi="Times New Roman"/>
          <w:b/>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to the information that will be contained in our proxy statement related to the 2023 Annual Meeting of Stockholders, which we intend to file with the Securities and Exchange Commission on or before July 29, 2023 pursuant to General Instruction G(3)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2" w:name="part13"/>
      <w:bookmarkEnd w:id="22"/>
      <w:r>
        <w:rPr>
          <w:rFonts w:ascii="Times New Roman" w:hAnsi="Times New Roman"/>
          <w:b/>
          <w:caps w:val="false"/>
          <w:smallCaps w:val="false"/>
          <w:sz w:val="20"/>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to the information that will be contained in our proxy statement related to the 2023 Annual Meeting of Stockholders, which we intend to file with the Securities and Exchange Commission on or before July 29, 2023 pursuant to General Instruction G(3)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3" w:name="part14"/>
      <w:bookmarkEnd w:id="23"/>
      <w:r>
        <w:rPr>
          <w:rFonts w:ascii="Times New Roman" w:hAnsi="Times New Roman"/>
          <w:b/>
          <w:caps w:val="false"/>
          <w:smallCaps w:val="false"/>
          <w:sz w:val="20"/>
        </w:rPr>
        <w:t>Item 14. 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to the information that will be contained in our proxy statement related to the 2023 Annual Meeting of Stockholders, which we intend to file with the Securities and Exchange Commission on or before July 29, 2023 pursuant to General Instruction G(3)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4" w:name="part4"/>
      <w:bookmarkEnd w:id="24"/>
      <w:r>
        <w:rPr>
          <w:rFonts w:ascii="Times New Roman" w:hAnsi="Times New Roman"/>
          <w:b/>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5" w:name="item15"/>
      <w:bookmarkEnd w:id="25"/>
      <w:r>
        <w:rPr>
          <w:rFonts w:ascii="Times New Roman" w:hAnsi="Times New Roman"/>
          <w:b/>
          <w:caps w:val="false"/>
          <w:smallCaps w:val="false"/>
          <w:sz w:val="20"/>
        </w:rPr>
        <w:t>Item 15.</w:t>
      </w:r>
      <w:r>
        <w:rPr>
          <w:rFonts w:ascii="Times New Roman" w:hAnsi="Times New Roman"/>
          <w:caps w:val="false"/>
          <w:smallCaps w:val="false"/>
          <w:sz w:val="20"/>
        </w:rPr>
        <w:t>  </w:t>
      </w:r>
      <w:r>
        <w:rPr>
          <w:rFonts w:ascii="Times New Roman" w:hAnsi="Times New Roman"/>
          <w:b/>
          <w:caps w:val="false"/>
          <w:smallCaps w:val="false"/>
          <w:sz w:val="20"/>
        </w:rPr>
        <w:t>Exhibits,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Index to Financial Statements under Item 8 on page 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(a)(2) Consolidated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financial statement schedules are omitted because they are not applicable or are not required or the information required to be set forth therein is included in the Consolidated Financial Statements or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(a)(3)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exhibits listed in the Exhibit Index below are filed or incorporated by reference as part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28" w:type="dxa"/>
        </w:tblCellMar>
      </w:tblPr>
      <w:tblGrid>
        <w:gridCol w:w="760"/>
        <w:gridCol w:w="9445"/>
      </w:tblGrid>
      <w:tr>
        <w:trPr/>
        <w:tc>
          <w:tcPr>
            <w:tcW w:w="760"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No.</w:t>
            </w:r>
          </w:p>
        </w:tc>
        <w:tc>
          <w:tcPr>
            <w:tcW w:w="9445" w:type="dxa"/>
            <w:tcBorders>
              <w:bottom w:val="single" w:sz="2" w:space="0" w:color="000000"/>
            </w:tcBorders>
            <w:tcMar>
              <w:righ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60" w:type="dxa"/>
            <w:tcBorders>
              <w:bottom w:val="single" w:sz="2" w:space="0" w:color="000000"/>
              <w:right w:val="single" w:sz="2" w:space="0" w:color="000000"/>
            </w:tcBorders>
            <w:vAlign w:val="center"/>
          </w:tcPr>
          <w:p>
            <w:pPr>
              <w:pStyle w:val="TableContents"/>
              <w:bidi w:val="0"/>
              <w:spacing w:before="0" w:after="0"/>
              <w:ind w:left="0" w:right="0" w:hanging="0"/>
              <w:jc w:val="center"/>
              <w:rPr/>
            </w:pPr>
            <w:hyperlink r:id="rId7">
              <w:r>
                <w:rPr>
                  <w:rStyle w:val="InternetLink"/>
                  <w:rFonts w:ascii="Times New Roman" w:hAnsi="Times New Roman"/>
                  <w:caps w:val="false"/>
                  <w:smallCaps w:val="false"/>
                  <w:sz w:val="20"/>
                </w:rPr>
                <w:t>1.1</w:t>
              </w:r>
            </w:hyperlink>
          </w:p>
        </w:tc>
        <w:tc>
          <w:tcPr>
            <w:tcW w:w="9445" w:type="dxa"/>
            <w:tcBorders>
              <w:bottom w:val="single" w:sz="2" w:space="0" w:color="000000"/>
            </w:tcBorders>
            <w:tcMar>
              <w:right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Open Market Sale AgreementSM, dated May 14, 2021, by and between Vistagen Therapeutics, Inc. and Jefferies LLC, incorporated by reference from Exhibit 1.1 to the Company’s Current Report on Form 8-K filed on May 14, 2021.</w:t>
            </w:r>
          </w:p>
        </w:tc>
      </w:tr>
      <w:tr>
        <w:trPr/>
        <w:tc>
          <w:tcPr>
            <w:tcW w:w="760" w:type="dxa"/>
            <w:tcBorders>
              <w:bottom w:val="single" w:sz="2" w:space="0" w:color="000000"/>
              <w:right w:val="single" w:sz="2" w:space="0" w:color="000000"/>
            </w:tcBorders>
            <w:vAlign w:val="center"/>
          </w:tcPr>
          <w:p>
            <w:pPr>
              <w:pStyle w:val="TableContents"/>
              <w:bidi w:val="0"/>
              <w:spacing w:before="0" w:after="0"/>
              <w:ind w:left="0" w:right="0" w:hanging="0"/>
              <w:jc w:val="center"/>
              <w:rPr/>
            </w:pPr>
            <w:hyperlink r:id="rId8">
              <w:r>
                <w:rPr>
                  <w:rStyle w:val="InternetLink"/>
                  <w:rFonts w:ascii="Times New Roman" w:hAnsi="Times New Roman"/>
                  <w:caps w:val="false"/>
                  <w:smallCaps w:val="false"/>
                  <w:sz w:val="20"/>
                </w:rPr>
                <w:t>2.1*</w:t>
              </w:r>
            </w:hyperlink>
          </w:p>
        </w:tc>
        <w:tc>
          <w:tcPr>
            <w:tcW w:w="9445" w:type="dxa"/>
            <w:tcBorders>
              <w:bottom w:val="single" w:sz="2" w:space="0" w:color="000000"/>
            </w:tcBorders>
            <w:tcMar>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Agreement and Plan of Merger by and among Excaliber Enterprises, Ltd., Vistagen Therapeutics, Inc. and Excaliber Merger Subsidiary, Inc.</w:t>
            </w:r>
          </w:p>
        </w:tc>
      </w:tr>
      <w:tr>
        <w:trPr/>
        <w:tc>
          <w:tcPr>
            <w:tcW w:w="760" w:type="dxa"/>
            <w:tcBorders>
              <w:bottom w:val="single" w:sz="2" w:space="0" w:color="000000"/>
              <w:right w:val="single" w:sz="2" w:space="0" w:color="000000"/>
            </w:tcBorders>
            <w:vAlign w:val="center"/>
          </w:tcPr>
          <w:p>
            <w:pPr>
              <w:pStyle w:val="TableContents"/>
              <w:bidi w:val="0"/>
              <w:spacing w:before="0" w:after="0"/>
              <w:ind w:left="0" w:right="0" w:hanging="0"/>
              <w:jc w:val="center"/>
              <w:rPr/>
            </w:pPr>
            <w:hyperlink r:id="rId9">
              <w:r>
                <w:rPr>
                  <w:rStyle w:val="InternetLink"/>
                  <w:rFonts w:ascii="Times New Roman" w:hAnsi="Times New Roman"/>
                  <w:caps w:val="false"/>
                  <w:smallCaps w:val="false"/>
                  <w:sz w:val="20"/>
                </w:rPr>
                <w:t>2.2</w:t>
              </w:r>
            </w:hyperlink>
          </w:p>
        </w:tc>
        <w:tc>
          <w:tcPr>
            <w:tcW w:w="9445" w:type="dxa"/>
            <w:tcBorders>
              <w:bottom w:val="single" w:sz="2" w:space="0" w:color="000000"/>
            </w:tcBorders>
            <w:tcMar>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Agreement and Plan of Merger, by and among Vistagen Therapeutics, Inc.,VTGN Merger Sub, Inc., Pherin Pharmaceuticals, Inc. and Kevin McCarthy dated December 20, 2022, incorporated by reference from Exhibit 2.1 to the Company’s Current Report on Form 8-K, dated December 21, 2022.</w:t>
            </w:r>
          </w:p>
        </w:tc>
      </w:tr>
      <w:tr>
        <w:trPr/>
        <w:tc>
          <w:tcPr>
            <w:tcW w:w="760" w:type="dxa"/>
            <w:tcBorders>
              <w:bottom w:val="single" w:sz="2" w:space="0" w:color="000000"/>
              <w:right w:val="single" w:sz="2" w:space="0" w:color="000000"/>
            </w:tcBorders>
            <w:vAlign w:val="center"/>
          </w:tcPr>
          <w:p>
            <w:pPr>
              <w:pStyle w:val="TableContents"/>
              <w:bidi w:val="0"/>
              <w:spacing w:before="0" w:after="0"/>
              <w:ind w:left="0" w:right="0" w:hanging="0"/>
              <w:jc w:val="center"/>
              <w:rPr/>
            </w:pPr>
            <w:hyperlink r:id="rId10">
              <w:r>
                <w:rPr>
                  <w:rStyle w:val="InternetLink"/>
                  <w:rFonts w:ascii="Times New Roman" w:hAnsi="Times New Roman"/>
                  <w:caps w:val="false"/>
                  <w:smallCaps w:val="false"/>
                  <w:sz w:val="20"/>
                </w:rPr>
                <w:t>3.4</w:t>
              </w:r>
            </w:hyperlink>
          </w:p>
        </w:tc>
        <w:tc>
          <w:tcPr>
            <w:tcW w:w="9445" w:type="dxa"/>
            <w:tcBorders>
              <w:bottom w:val="single" w:sz="2" w:space="0" w:color="000000"/>
            </w:tcBorders>
            <w:tcMar>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Articles of Merger filed with the Nevada Secretary of State on May 24, 2011, incorporated by reference from Exhibit 3.1 to the Company’s Current Report on Form 8-K, filed on May 31, 2011.</w:t>
            </w:r>
          </w:p>
        </w:tc>
      </w:tr>
      <w:tr>
        <w:trPr/>
        <w:tc>
          <w:tcPr>
            <w:tcW w:w="760" w:type="dxa"/>
            <w:tcBorders>
              <w:bottom w:val="single" w:sz="2" w:space="0" w:color="000000"/>
              <w:right w:val="single" w:sz="2" w:space="0" w:color="000000"/>
            </w:tcBorders>
            <w:vAlign w:val="center"/>
          </w:tcPr>
          <w:p>
            <w:pPr>
              <w:pStyle w:val="TableContents"/>
              <w:bidi w:val="0"/>
              <w:spacing w:before="0" w:after="0"/>
              <w:ind w:left="0" w:right="0" w:hanging="0"/>
              <w:jc w:val="center"/>
              <w:rPr/>
            </w:pPr>
            <w:hyperlink r:id="rId11">
              <w:r>
                <w:rPr>
                  <w:rStyle w:val="InternetLink"/>
                  <w:rFonts w:ascii="Times New Roman" w:hAnsi="Times New Roman"/>
                  <w:caps w:val="false"/>
                  <w:smallCaps w:val="false"/>
                  <w:sz w:val="20"/>
                </w:rPr>
                <w:t>3.5</w:t>
              </w:r>
            </w:hyperlink>
          </w:p>
        </w:tc>
        <w:tc>
          <w:tcPr>
            <w:tcW w:w="9445" w:type="dxa"/>
            <w:tcBorders>
              <w:bottom w:val="single" w:sz="2" w:space="0" w:color="000000"/>
            </w:tcBorders>
            <w:tcMar>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Designations Series A Preferred, incorporated by reference from Exhibit 3.1 to the Company’s Current Report on Form 8-K filed on December 23, 2011.</w:t>
            </w:r>
          </w:p>
        </w:tc>
      </w:tr>
      <w:tr>
        <w:trPr/>
        <w:tc>
          <w:tcPr>
            <w:tcW w:w="760" w:type="dxa"/>
            <w:tcBorders>
              <w:bottom w:val="single" w:sz="2" w:space="0" w:color="000000"/>
              <w:right w:val="single" w:sz="2" w:space="0" w:color="000000"/>
            </w:tcBorders>
            <w:vAlign w:val="center"/>
          </w:tcPr>
          <w:p>
            <w:pPr>
              <w:pStyle w:val="TableContents"/>
              <w:bidi w:val="0"/>
              <w:spacing w:before="0" w:after="0"/>
              <w:ind w:left="0" w:right="0" w:hanging="0"/>
              <w:jc w:val="center"/>
              <w:rPr/>
            </w:pPr>
            <w:hyperlink r:id="rId12">
              <w:r>
                <w:rPr>
                  <w:rStyle w:val="InternetLink"/>
                  <w:rFonts w:ascii="Times New Roman" w:hAnsi="Times New Roman"/>
                  <w:caps w:val="false"/>
                  <w:smallCaps w:val="false"/>
                  <w:sz w:val="20"/>
                </w:rPr>
                <w:t>3.5.1</w:t>
              </w:r>
            </w:hyperlink>
          </w:p>
        </w:tc>
        <w:tc>
          <w:tcPr>
            <w:tcW w:w="9445" w:type="dxa"/>
            <w:tcBorders>
              <w:bottom w:val="single" w:sz="2" w:space="0" w:color="000000"/>
            </w:tcBorders>
            <w:tcMar>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Withdrawal of Certificate of Designation of the Relative Rights and Preferences of the Series A Convertible Preferred Stock, dated November 9, 2022, incorporated by reference from Exhibit 3.2 to the Company’s Quarterly Report on Form 10-Q, filed on November 10, 2022.</w:t>
            </w:r>
          </w:p>
        </w:tc>
      </w:tr>
      <w:tr>
        <w:trPr/>
        <w:tc>
          <w:tcPr>
            <w:tcW w:w="760" w:type="dxa"/>
            <w:tcBorders>
              <w:bottom w:val="single" w:sz="2" w:space="0" w:color="000000"/>
              <w:right w:val="single" w:sz="2" w:space="0" w:color="000000"/>
            </w:tcBorders>
            <w:vAlign w:val="center"/>
          </w:tcPr>
          <w:p>
            <w:pPr>
              <w:pStyle w:val="TableContents"/>
              <w:bidi w:val="0"/>
              <w:spacing w:before="0" w:after="0"/>
              <w:ind w:left="0" w:right="0" w:hanging="0"/>
              <w:jc w:val="center"/>
              <w:rPr/>
            </w:pPr>
            <w:hyperlink r:id="rId13">
              <w:r>
                <w:rPr>
                  <w:rStyle w:val="InternetLink"/>
                  <w:rFonts w:ascii="Times New Roman" w:hAnsi="Times New Roman"/>
                  <w:caps w:val="false"/>
                  <w:smallCaps w:val="false"/>
                  <w:sz w:val="20"/>
                </w:rPr>
                <w:t>3.7</w:t>
              </w:r>
            </w:hyperlink>
          </w:p>
        </w:tc>
        <w:tc>
          <w:tcPr>
            <w:tcW w:w="9445" w:type="dxa"/>
            <w:tcBorders>
              <w:bottom w:val="single" w:sz="2" w:space="0" w:color="000000"/>
            </w:tcBorders>
            <w:tcMar>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Designation of the Relative Rights and Preferences of the Series B 10% Convertible Preferred Stock of Vistagen Therapeutics, Inc., filed with the Nevada Secretary of State on May 7, 2015, incorporated by reference from Exhibit 3.1 to the Company’s Current Report on Form 8-K filed on May 13, 2015.</w:t>
            </w:r>
          </w:p>
        </w:tc>
      </w:tr>
      <w:tr>
        <w:trPr/>
        <w:tc>
          <w:tcPr>
            <w:tcW w:w="760" w:type="dxa"/>
            <w:tcBorders>
              <w:bottom w:val="single" w:sz="2" w:space="0" w:color="000000"/>
              <w:right w:val="single" w:sz="2" w:space="0" w:color="000000"/>
            </w:tcBorders>
            <w:vAlign w:val="center"/>
          </w:tcPr>
          <w:p>
            <w:pPr>
              <w:pStyle w:val="TableContents"/>
              <w:bidi w:val="0"/>
              <w:spacing w:before="0" w:after="0"/>
              <w:ind w:left="0" w:right="0" w:hanging="0"/>
              <w:jc w:val="center"/>
              <w:rPr/>
            </w:pPr>
            <w:hyperlink r:id="rId14">
              <w:r>
                <w:rPr>
                  <w:rStyle w:val="InternetLink"/>
                  <w:rFonts w:ascii="Times New Roman" w:hAnsi="Times New Roman"/>
                  <w:caps w:val="false"/>
                  <w:smallCaps w:val="false"/>
                  <w:sz w:val="20"/>
                </w:rPr>
                <w:t>3.7.1</w:t>
              </w:r>
            </w:hyperlink>
          </w:p>
        </w:tc>
        <w:tc>
          <w:tcPr>
            <w:tcW w:w="9445" w:type="dxa"/>
            <w:tcBorders>
              <w:bottom w:val="single" w:sz="2" w:space="0" w:color="000000"/>
            </w:tcBorders>
            <w:tcMar>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Withdrawal of Certificate of Designation of the Relative Rights and Preferences of the 10% Convertible Series B Preferred Stock, dated November 9, 2022, incorporated by reference from Exhibit 3.3 to the Company’s Quarterly Report on Form 10-Q, filed on November 10, 2022.</w:t>
            </w:r>
          </w:p>
        </w:tc>
      </w:tr>
      <w:tr>
        <w:trPr/>
        <w:tc>
          <w:tcPr>
            <w:tcW w:w="760" w:type="dxa"/>
            <w:tcBorders>
              <w:bottom w:val="single" w:sz="2" w:space="0" w:color="000000"/>
              <w:right w:val="single" w:sz="2" w:space="0" w:color="000000"/>
            </w:tcBorders>
            <w:vAlign w:val="center"/>
          </w:tcPr>
          <w:p>
            <w:pPr>
              <w:pStyle w:val="TableContents"/>
              <w:bidi w:val="0"/>
              <w:spacing w:before="0" w:after="0"/>
              <w:ind w:left="0" w:right="0" w:hanging="0"/>
              <w:jc w:val="center"/>
              <w:rPr/>
            </w:pPr>
            <w:hyperlink r:id="rId15">
              <w:r>
                <w:rPr>
                  <w:rStyle w:val="InternetLink"/>
                  <w:rFonts w:ascii="Times New Roman" w:hAnsi="Times New Roman"/>
                  <w:caps w:val="false"/>
                  <w:smallCaps w:val="false"/>
                  <w:sz w:val="20"/>
                </w:rPr>
                <w:t>3.9</w:t>
              </w:r>
            </w:hyperlink>
          </w:p>
        </w:tc>
        <w:tc>
          <w:tcPr>
            <w:tcW w:w="9445" w:type="dxa"/>
            <w:tcBorders>
              <w:bottom w:val="single" w:sz="2" w:space="0" w:color="000000"/>
            </w:tcBorders>
            <w:tcMar>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Designation of the Relative Rights and Preferences of the Series C Convertible Preferred Stock of Vistagen Therapeutics, Inc., dated January 25, 2016, incorporated by reference from Exhibit 3.1 to the Company’s Current Report on Form 8-K filed on January 29, 2016.</w:t>
            </w:r>
          </w:p>
        </w:tc>
      </w:tr>
      <w:tr>
        <w:trPr/>
        <w:tc>
          <w:tcPr>
            <w:tcW w:w="760" w:type="dxa"/>
            <w:tcBorders>
              <w:bottom w:val="single" w:sz="2" w:space="0" w:color="000000"/>
              <w:right w:val="single" w:sz="2" w:space="0" w:color="000000"/>
            </w:tcBorders>
            <w:vAlign w:val="center"/>
          </w:tcPr>
          <w:p>
            <w:pPr>
              <w:pStyle w:val="TableContents"/>
              <w:bidi w:val="0"/>
              <w:spacing w:before="0" w:after="0"/>
              <w:ind w:left="0" w:right="0" w:hanging="0"/>
              <w:jc w:val="center"/>
              <w:rPr/>
            </w:pPr>
            <w:hyperlink r:id="rId16">
              <w:r>
                <w:rPr>
                  <w:rStyle w:val="InternetLink"/>
                  <w:rFonts w:ascii="Times New Roman" w:hAnsi="Times New Roman"/>
                  <w:caps w:val="false"/>
                  <w:smallCaps w:val="false"/>
                  <w:sz w:val="20"/>
                </w:rPr>
                <w:t>3.9.1</w:t>
              </w:r>
            </w:hyperlink>
          </w:p>
        </w:tc>
        <w:tc>
          <w:tcPr>
            <w:tcW w:w="9445" w:type="dxa"/>
            <w:tcBorders>
              <w:bottom w:val="single" w:sz="2" w:space="0" w:color="000000"/>
            </w:tcBorders>
            <w:tcMar>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Withdrawal of Certificate of Designation of the Relative Rights and Preferences of the Series C Convertible Preferred Stock, dated November 9, 2022, incorporated by reference from Exhibit 3.4 to the Company’s Quarterly Report on Form 10-Q, filed on November 10, 2022.</w:t>
            </w:r>
          </w:p>
        </w:tc>
      </w:tr>
      <w:tr>
        <w:trPr/>
        <w:tc>
          <w:tcPr>
            <w:tcW w:w="760" w:type="dxa"/>
            <w:tcBorders>
              <w:bottom w:val="single" w:sz="2" w:space="0" w:color="000000"/>
              <w:right w:val="single" w:sz="2" w:space="0" w:color="000000"/>
            </w:tcBorders>
            <w:vAlign w:val="center"/>
          </w:tcPr>
          <w:p>
            <w:pPr>
              <w:pStyle w:val="TableContents"/>
              <w:bidi w:val="0"/>
              <w:spacing w:before="0" w:after="0"/>
              <w:ind w:left="0" w:right="0" w:hanging="0"/>
              <w:jc w:val="center"/>
              <w:rPr/>
            </w:pPr>
            <w:hyperlink r:id="rId17">
              <w:r>
                <w:rPr>
                  <w:rStyle w:val="InternetLink"/>
                  <w:rFonts w:ascii="Times New Roman" w:hAnsi="Times New Roman"/>
                  <w:caps w:val="false"/>
                  <w:smallCaps w:val="false"/>
                  <w:sz w:val="20"/>
                </w:rPr>
                <w:t>3.10</w:t>
              </w:r>
            </w:hyperlink>
          </w:p>
        </w:tc>
        <w:tc>
          <w:tcPr>
            <w:tcW w:w="9445" w:type="dxa"/>
            <w:tcBorders>
              <w:bottom w:val="single" w:sz="2" w:space="0" w:color="000000"/>
            </w:tcBorders>
            <w:tcMar>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Restated Articles of Incorporation of Vistagen Therapeutics, Inc., dated August 16, 2016, incorporated by reference from Exhibit 3.1 to the Company’s Current Report on Form 8-K, filed on August 17, 2016.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0" w:type="dxa"/>
          <w:bottom w:w="28" w:type="dxa"/>
          <w:right w:w="28" w:type="dxa"/>
        </w:tblCellMar>
      </w:tblPr>
      <w:tblGrid>
        <w:gridCol w:w="590"/>
        <w:gridCol w:w="9615"/>
      </w:tblGrid>
      <w:tr>
        <w:trPr/>
        <w:tc>
          <w:tcPr>
            <w:tcW w:w="590" w:type="dxa"/>
            <w:tcBorders>
              <w:top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hyperlink r:id="rId18">
              <w:r>
                <w:rPr>
                  <w:rStyle w:val="InternetLink"/>
                  <w:rFonts w:ascii="Times New Roman" w:hAnsi="Times New Roman"/>
                  <w:caps w:val="false"/>
                  <w:smallCaps w:val="false"/>
                  <w:sz w:val="20"/>
                </w:rPr>
                <w:t>3.11</w:t>
              </w:r>
            </w:hyperlink>
          </w:p>
        </w:tc>
        <w:tc>
          <w:tcPr>
            <w:tcW w:w="9615" w:type="dxa"/>
            <w:tcBorders>
              <w:top w:val="single" w:sz="2" w:space="0" w:color="000000"/>
              <w:bottom w:val="single" w:sz="2" w:space="0" w:color="000000"/>
            </w:tcBorders>
            <w:tcMar>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Second Amended and Restated Bylaws of Vistagen Therapeutics, Inc., dated August 16, 2016, incorporated by reference from Exhibit 3.2 to the Company’s Current Report on Form 8-K, filed on August 17, 2016.</w:t>
            </w:r>
          </w:p>
        </w:tc>
      </w:tr>
      <w:tr>
        <w:trPr/>
        <w:tc>
          <w:tcPr>
            <w:tcW w:w="59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19">
              <w:r>
                <w:rPr>
                  <w:rStyle w:val="InternetLink"/>
                  <w:rFonts w:ascii="Times New Roman" w:hAnsi="Times New Roman"/>
                  <w:caps w:val="false"/>
                  <w:smallCaps w:val="false"/>
                  <w:sz w:val="20"/>
                </w:rPr>
                <w:t>3.12</w:t>
              </w:r>
            </w:hyperlink>
          </w:p>
        </w:tc>
        <w:tc>
          <w:tcPr>
            <w:tcW w:w="961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Amendment to the Restated and Amended Articles of Incorporation of Vistagen Therapeutics, Inc., dated September 15, 2017; incorporated by reference from Exhibit 3.1 to the Company’s Current Report on Form 8-K, filed on September 20, 2017.</w:t>
            </w:r>
          </w:p>
        </w:tc>
      </w:tr>
      <w:tr>
        <w:trPr/>
        <w:tc>
          <w:tcPr>
            <w:tcW w:w="59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20">
              <w:r>
                <w:rPr>
                  <w:rStyle w:val="InternetLink"/>
                  <w:rFonts w:ascii="Times New Roman" w:hAnsi="Times New Roman"/>
                  <w:caps w:val="false"/>
                  <w:smallCaps w:val="false"/>
                  <w:sz w:val="20"/>
                </w:rPr>
                <w:t>3.13</w:t>
              </w:r>
            </w:hyperlink>
          </w:p>
        </w:tc>
        <w:tc>
          <w:tcPr>
            <w:tcW w:w="961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Amendment to the Restated and Amended Articles of Incorporation, as amended, of Vistagen Therapeutics, Inc., dated September 6 ,2019; incorporated by reference from Exhibit 3.1 to the Company’s Current Report on Form 8-K, filed on September 6, 2019.</w:t>
            </w:r>
          </w:p>
        </w:tc>
      </w:tr>
      <w:tr>
        <w:trPr/>
        <w:tc>
          <w:tcPr>
            <w:tcW w:w="59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21">
              <w:r>
                <w:rPr>
                  <w:rStyle w:val="InternetLink"/>
                  <w:rFonts w:ascii="Times New Roman" w:hAnsi="Times New Roman"/>
                  <w:caps w:val="false"/>
                  <w:smallCaps w:val="false"/>
                  <w:sz w:val="20"/>
                </w:rPr>
                <w:t>3.14</w:t>
              </w:r>
            </w:hyperlink>
          </w:p>
        </w:tc>
        <w:tc>
          <w:tcPr>
            <w:tcW w:w="961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Designation of the Relative Rights and Preferences of the Series D Convertible Preferred Stock of Vistagen Therapeutics, Inc., filed with the Nevada Secretary of State on December 21, 2020, incorporated by reference from Exhibit 3.1 to the Company’s Current Report on Form 8-K filed on December 22, 2020.</w:t>
            </w:r>
          </w:p>
        </w:tc>
      </w:tr>
      <w:tr>
        <w:trPr/>
        <w:tc>
          <w:tcPr>
            <w:tcW w:w="59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22">
              <w:r>
                <w:rPr>
                  <w:rStyle w:val="InternetLink"/>
                  <w:rFonts w:ascii="Times New Roman" w:hAnsi="Times New Roman"/>
                  <w:caps w:val="false"/>
                  <w:smallCaps w:val="false"/>
                  <w:sz w:val="20"/>
                </w:rPr>
                <w:t>3.14.1</w:t>
              </w:r>
            </w:hyperlink>
          </w:p>
        </w:tc>
        <w:tc>
          <w:tcPr>
            <w:tcW w:w="961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Withdrawal of Certificate of Designation of the Relative Rights and Preferences of the Series D Convertible Preferred Stock, dated November 9, 2022, incorporated by reference from Exhibit 3.5 to the Company’s Quarterly Report on Form 10-Q, filed on November 10, 2022.</w:t>
            </w:r>
          </w:p>
        </w:tc>
      </w:tr>
      <w:tr>
        <w:trPr/>
        <w:tc>
          <w:tcPr>
            <w:tcW w:w="59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23">
              <w:r>
                <w:rPr>
                  <w:rStyle w:val="InternetLink"/>
                  <w:rFonts w:ascii="Times New Roman" w:hAnsi="Times New Roman"/>
                  <w:caps w:val="false"/>
                  <w:smallCaps w:val="false"/>
                  <w:sz w:val="20"/>
                </w:rPr>
                <w:t>3.15</w:t>
              </w:r>
            </w:hyperlink>
          </w:p>
        </w:tc>
        <w:tc>
          <w:tcPr>
            <w:tcW w:w="961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Amendment to the Restated and Amended Articles of Incorporation, as amended, of Vistagen Therapeutics, Inc., dated March 5, 2021, incorporated by reference from Exhibit 3.1 to the Company’s Current Report on Form 8-K, filed on March 5, 2021.</w:t>
            </w:r>
          </w:p>
        </w:tc>
      </w:tr>
      <w:tr>
        <w:trPr/>
        <w:tc>
          <w:tcPr>
            <w:tcW w:w="59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24">
              <w:r>
                <w:rPr>
                  <w:rStyle w:val="InternetLink"/>
                  <w:rFonts w:ascii="Times New Roman" w:hAnsi="Times New Roman"/>
                  <w:caps w:val="false"/>
                  <w:smallCaps w:val="false"/>
                  <w:sz w:val="20"/>
                </w:rPr>
                <w:t>3.16</w:t>
              </w:r>
            </w:hyperlink>
          </w:p>
        </w:tc>
        <w:tc>
          <w:tcPr>
            <w:tcW w:w="961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Amendment No. 2 to the Second Amended and Restated Bylaws of Vistagen Therapeutics, Inc., incorporated by reference from Exhibit 3.1 to the Company’s Current Report on Form 8-K, filed on August 31, 2022.</w:t>
            </w:r>
          </w:p>
        </w:tc>
      </w:tr>
      <w:tr>
        <w:trPr/>
        <w:tc>
          <w:tcPr>
            <w:tcW w:w="59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25">
              <w:r>
                <w:rPr>
                  <w:rStyle w:val="InternetLink"/>
                  <w:rFonts w:ascii="Times New Roman" w:hAnsi="Times New Roman"/>
                  <w:caps w:val="false"/>
                  <w:smallCaps w:val="false"/>
                  <w:sz w:val="20"/>
                </w:rPr>
                <w:t>3.17</w:t>
              </w:r>
            </w:hyperlink>
          </w:p>
        </w:tc>
        <w:tc>
          <w:tcPr>
            <w:tcW w:w="961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Amendment to the Restated and Amended Articles of Incorporation, as amended, of Vistagen Therapeutics, Inc., dated June 6, 2023, incorporated by reference from Exhibit 3.1 to the Current Report on Form 8-K, filed June 6, 2023.</w:t>
            </w:r>
          </w:p>
        </w:tc>
      </w:tr>
      <w:tr>
        <w:trPr/>
        <w:tc>
          <w:tcPr>
            <w:tcW w:w="59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26">
              <w:r>
                <w:rPr>
                  <w:rStyle w:val="InternetLink"/>
                  <w:rFonts w:ascii="Times New Roman" w:hAnsi="Times New Roman"/>
                  <w:caps w:val="false"/>
                  <w:smallCaps w:val="false"/>
                  <w:sz w:val="20"/>
                </w:rPr>
                <w:t>10.40*</w:t>
              </w:r>
            </w:hyperlink>
          </w:p>
        </w:tc>
        <w:tc>
          <w:tcPr>
            <w:tcW w:w="961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Employment Agreement, by and between, Vistagen and Shawn K. Singh, dated April 28, 2010, as amended May 9, 2011.</w:t>
            </w:r>
          </w:p>
        </w:tc>
      </w:tr>
      <w:tr>
        <w:trPr/>
        <w:tc>
          <w:tcPr>
            <w:tcW w:w="59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27">
              <w:r>
                <w:rPr>
                  <w:rStyle w:val="InternetLink"/>
                  <w:rFonts w:ascii="Times New Roman" w:hAnsi="Times New Roman"/>
                  <w:caps w:val="false"/>
                  <w:smallCaps w:val="false"/>
                  <w:sz w:val="20"/>
                </w:rPr>
                <w:t>10.83</w:t>
              </w:r>
            </w:hyperlink>
          </w:p>
        </w:tc>
        <w:tc>
          <w:tcPr>
            <w:tcW w:w="961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Lease between Bayside Area Development, LLC and Vistagen Therapeutics, Inc. (California) dated April 24, 2013, incorporated by reference from Exhibit 10.83 to the Company’s Annual Report on Form 10-K filed July 18, 2013.</w:t>
            </w:r>
          </w:p>
        </w:tc>
      </w:tr>
      <w:tr>
        <w:trPr/>
        <w:tc>
          <w:tcPr>
            <w:tcW w:w="59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28">
              <w:r>
                <w:rPr>
                  <w:rStyle w:val="InternetLink"/>
                  <w:rFonts w:ascii="Times New Roman" w:hAnsi="Times New Roman"/>
                  <w:caps w:val="false"/>
                  <w:smallCaps w:val="false"/>
                  <w:sz w:val="20"/>
                </w:rPr>
                <w:t>10.84</w:t>
              </w:r>
            </w:hyperlink>
          </w:p>
        </w:tc>
        <w:tc>
          <w:tcPr>
            <w:tcW w:w="961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Indemnification Agreement effective May 20, 2013 between the Company and Jon S. Saxe, incorporated by reference from Exhibit 10.84 to the Company’s Annual Report on Form 10-K filed on July 18, 2013.</w:t>
            </w:r>
          </w:p>
        </w:tc>
      </w:tr>
      <w:tr>
        <w:trPr/>
        <w:tc>
          <w:tcPr>
            <w:tcW w:w="59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29">
              <w:r>
                <w:rPr>
                  <w:rStyle w:val="InternetLink"/>
                  <w:rFonts w:ascii="Times New Roman" w:hAnsi="Times New Roman"/>
                  <w:caps w:val="false"/>
                  <w:smallCaps w:val="false"/>
                  <w:sz w:val="20"/>
                </w:rPr>
                <w:t>10.85</w:t>
              </w:r>
            </w:hyperlink>
          </w:p>
        </w:tc>
        <w:tc>
          <w:tcPr>
            <w:tcW w:w="961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Indemnification Agreement effective May 20, 2013 between the Company and Shawn K. Singh, incorporated by reference from Exhibit 10.85 to the Company’s Annual Report on Form 10-K filed on July 18, 2013.</w:t>
            </w:r>
          </w:p>
        </w:tc>
      </w:tr>
      <w:tr>
        <w:trPr/>
        <w:tc>
          <w:tcPr>
            <w:tcW w:w="59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30">
              <w:r>
                <w:rPr>
                  <w:rStyle w:val="InternetLink"/>
                  <w:rFonts w:ascii="Times New Roman" w:hAnsi="Times New Roman"/>
                  <w:caps w:val="false"/>
                  <w:smallCaps w:val="false"/>
                  <w:sz w:val="20"/>
                </w:rPr>
                <w:t>10.88</w:t>
              </w:r>
            </w:hyperlink>
          </w:p>
        </w:tc>
        <w:tc>
          <w:tcPr>
            <w:tcW w:w="961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Indemnification Agreement effective May 20, 2013 between the Company and Jerrold D. Dotson, incorporated by reference from Exhibit 10.88 to the Company’s Annual Report on Form 10-K filed on July 18, 2013.</w:t>
            </w:r>
          </w:p>
        </w:tc>
      </w:tr>
      <w:tr>
        <w:trPr/>
        <w:tc>
          <w:tcPr>
            <w:tcW w:w="59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31">
              <w:r>
                <w:rPr>
                  <w:rStyle w:val="InternetLink"/>
                  <w:rFonts w:ascii="Times New Roman" w:hAnsi="Times New Roman"/>
                  <w:caps w:val="false"/>
                  <w:smallCaps w:val="false"/>
                  <w:sz w:val="20"/>
                </w:rPr>
                <w:t>10.112</w:t>
              </w:r>
            </w:hyperlink>
          </w:p>
        </w:tc>
        <w:tc>
          <w:tcPr>
            <w:tcW w:w="961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Indemnification Agreement effective April 8, 2016 between the Company and Jerry B. Gin, incorporated by reference from Exhibit 10.112 to the Company’s Annual Report on Form 10-K filed on June 24, 2016.</w:t>
            </w:r>
          </w:p>
        </w:tc>
      </w:tr>
      <w:tr>
        <w:trPr/>
        <w:tc>
          <w:tcPr>
            <w:tcW w:w="59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32">
              <w:r>
                <w:rPr>
                  <w:rStyle w:val="InternetLink"/>
                  <w:rFonts w:ascii="Times New Roman" w:hAnsi="Times New Roman"/>
                  <w:caps w:val="false"/>
                  <w:smallCaps w:val="false"/>
                  <w:sz w:val="20"/>
                </w:rPr>
                <w:t>10.116</w:t>
              </w:r>
            </w:hyperlink>
          </w:p>
        </w:tc>
        <w:tc>
          <w:tcPr>
            <w:tcW w:w="961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Second Amendment to Employment Agreement by and between Vistagen Therapeutics, Inc. and Shawn K. Singh, dated June 22, 2016, incorporated by reference from Exhibit 10.116 to the Company’s Annual Report on Form 10-K filed on June 24, 2016.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0" w:type="dxa"/>
          <w:bottom w:w="28" w:type="dxa"/>
          <w:right w:w="28" w:type="dxa"/>
        </w:tblCellMar>
      </w:tblPr>
      <w:tblGrid>
        <w:gridCol w:w="651"/>
        <w:gridCol w:w="9554"/>
      </w:tblGrid>
      <w:tr>
        <w:trPr/>
        <w:tc>
          <w:tcPr>
            <w:tcW w:w="651" w:type="dxa"/>
            <w:tcBorders>
              <w:top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hyperlink r:id="rId33">
              <w:r>
                <w:rPr>
                  <w:rStyle w:val="InternetLink"/>
                  <w:rFonts w:ascii="Times New Roman" w:hAnsi="Times New Roman"/>
                  <w:caps w:val="false"/>
                  <w:smallCaps w:val="false"/>
                  <w:sz w:val="20"/>
                </w:rPr>
                <w:t>10.118</w:t>
              </w:r>
            </w:hyperlink>
          </w:p>
        </w:tc>
        <w:tc>
          <w:tcPr>
            <w:tcW w:w="9554" w:type="dxa"/>
            <w:tcBorders>
              <w:top w:val="single" w:sz="2" w:space="0" w:color="000000"/>
              <w:bottom w:val="single" w:sz="2" w:space="0" w:color="000000"/>
            </w:tcBorders>
            <w:tcMar>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Second Amendment to Lease between Bayside Area Development and the Company, effective November 10, 2016, incorporated by reference from Exhibit 10.1 to the Company’s Quarterly report on Form 10-Q filed on November 15, 2016.</w:t>
            </w:r>
          </w:p>
        </w:tc>
      </w:tr>
      <w:tr>
        <w:trPr/>
        <w:tc>
          <w:tcPr>
            <w:tcW w:w="651"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34">
              <w:r>
                <w:rPr>
                  <w:rStyle w:val="InternetLink"/>
                  <w:rFonts w:ascii="Times New Roman" w:hAnsi="Times New Roman"/>
                  <w:caps w:val="false"/>
                  <w:smallCaps w:val="false"/>
                  <w:sz w:val="20"/>
                </w:rPr>
                <w:t>10.119</w:t>
              </w:r>
            </w:hyperlink>
          </w:p>
        </w:tc>
        <w:tc>
          <w:tcPr>
            <w:tcW w:w="9554"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Indemnification Agreement effective November 10, 2016 between the Company and Mark A. Smith, incorporated by reference from Exhibit 10.2 to the Company’s Quarterly report on Form 10-Q filed on November 15, 2016.</w:t>
            </w:r>
          </w:p>
        </w:tc>
      </w:tr>
      <w:tr>
        <w:trPr/>
        <w:tc>
          <w:tcPr>
            <w:tcW w:w="651"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35">
              <w:r>
                <w:rPr>
                  <w:rStyle w:val="InternetLink"/>
                  <w:rFonts w:ascii="Times New Roman" w:hAnsi="Times New Roman"/>
                  <w:caps w:val="false"/>
                  <w:smallCaps w:val="false"/>
                  <w:sz w:val="20"/>
                </w:rPr>
                <w:t>10.122</w:t>
              </w:r>
            </w:hyperlink>
          </w:p>
        </w:tc>
        <w:tc>
          <w:tcPr>
            <w:tcW w:w="9554"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Amended and Restated 2016 Stock Incentive Plan (formerly the Vistagen Therapeutics, Inc. 2008 Stock Incentive Plan), incorporated by reference from Exhibit 10.122 to the Company’s Annual Report on Form 10-K filed on June 29, 2017.</w:t>
            </w:r>
          </w:p>
        </w:tc>
      </w:tr>
      <w:tr>
        <w:trPr/>
        <w:tc>
          <w:tcPr>
            <w:tcW w:w="651"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36">
              <w:r>
                <w:rPr>
                  <w:rStyle w:val="InternetLink"/>
                  <w:rFonts w:ascii="Times New Roman" w:hAnsi="Times New Roman"/>
                  <w:caps w:val="false"/>
                  <w:smallCaps w:val="false"/>
                  <w:sz w:val="20"/>
                </w:rPr>
                <w:t>10.130+</w:t>
              </w:r>
            </w:hyperlink>
          </w:p>
        </w:tc>
        <w:tc>
          <w:tcPr>
            <w:tcW w:w="9554"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License Agreement (PH94B), by and between Vistagen Therapeutics, Inc. and Pherin Pharmaceuticals, Inc., dated September 11, 2018, incorporated by reference from Exhibit 10.1 to the Company’s Current Report on Form 8-K filed on September 13, 2018</w:t>
            </w:r>
          </w:p>
        </w:tc>
      </w:tr>
      <w:tr>
        <w:trPr/>
        <w:tc>
          <w:tcPr>
            <w:tcW w:w="651"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37">
              <w:r>
                <w:rPr>
                  <w:rStyle w:val="InternetLink"/>
                  <w:rFonts w:ascii="Times New Roman" w:hAnsi="Times New Roman"/>
                  <w:caps w:val="false"/>
                  <w:smallCaps w:val="false"/>
                  <w:sz w:val="20"/>
                </w:rPr>
                <w:t>10.131+</w:t>
              </w:r>
            </w:hyperlink>
          </w:p>
        </w:tc>
        <w:tc>
          <w:tcPr>
            <w:tcW w:w="9554"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Option Agreement, by and between Vistagen Therapeutics, Inc. and Pherin Pharmaceuticals, Inc., dated September 11, 2018, incorporated by reference from Exhibit 10.2 to the Company’s Current Report on Form 8-K filed on September 13, 2018.</w:t>
            </w:r>
          </w:p>
        </w:tc>
      </w:tr>
      <w:tr>
        <w:trPr/>
        <w:tc>
          <w:tcPr>
            <w:tcW w:w="651"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38">
              <w:r>
                <w:rPr>
                  <w:rStyle w:val="InternetLink"/>
                  <w:rFonts w:ascii="Times New Roman" w:hAnsi="Times New Roman"/>
                  <w:caps w:val="false"/>
                  <w:smallCaps w:val="false"/>
                  <w:sz w:val="20"/>
                </w:rPr>
                <w:t>10.132+</w:t>
              </w:r>
            </w:hyperlink>
          </w:p>
        </w:tc>
        <w:tc>
          <w:tcPr>
            <w:tcW w:w="9554"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License Agreement (PH10), by and between Vistagen Therapeutics, Inc. and Pherin Pharmaceuticals, Inc., dated October 24, 2018, incorporated by reference from Exhibit 10.3 to the Company’s Quarterly Report on Form 10-Q/A filed on October 30, 2018.</w:t>
            </w:r>
          </w:p>
        </w:tc>
      </w:tr>
      <w:tr>
        <w:trPr/>
        <w:tc>
          <w:tcPr>
            <w:tcW w:w="651"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39">
              <w:r>
                <w:rPr>
                  <w:rStyle w:val="InternetLink"/>
                  <w:rFonts w:ascii="Times New Roman" w:hAnsi="Times New Roman"/>
                  <w:caps w:val="false"/>
                  <w:smallCaps w:val="false"/>
                  <w:sz w:val="20"/>
                </w:rPr>
                <w:t>10.135</w:t>
              </w:r>
            </w:hyperlink>
          </w:p>
        </w:tc>
        <w:tc>
          <w:tcPr>
            <w:tcW w:w="9554"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Indemnification Agreement, dated January 10, 2019, by and between Vistagen Therapeutics, Inc. and Ann Cunningham, incorporated by reference from Exhibit 10.1 to the Company’s Current Report on Form 8-K filed on January 15, 2019.</w:t>
            </w:r>
          </w:p>
        </w:tc>
      </w:tr>
      <w:tr>
        <w:trPr/>
        <w:tc>
          <w:tcPr>
            <w:tcW w:w="651"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40">
              <w:r>
                <w:rPr>
                  <w:rStyle w:val="InternetLink"/>
                  <w:rFonts w:ascii="Times New Roman" w:hAnsi="Times New Roman"/>
                  <w:caps w:val="false"/>
                  <w:smallCaps w:val="false"/>
                  <w:sz w:val="20"/>
                </w:rPr>
                <w:t>10.138</w:t>
              </w:r>
            </w:hyperlink>
          </w:p>
        </w:tc>
        <w:tc>
          <w:tcPr>
            <w:tcW w:w="9554"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Master Services Agreement, dated July 11, 2017, by and between Vistagen Therapeutics, Inc. and Cato Research Ltd., incorporated by reference from Exhibit 10.138 to the Company’s Annual Report on Form 10-K filed on June 25, 2019.</w:t>
            </w:r>
          </w:p>
        </w:tc>
      </w:tr>
      <w:tr>
        <w:trPr/>
        <w:tc>
          <w:tcPr>
            <w:tcW w:w="651"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41">
              <w:r>
                <w:rPr>
                  <w:rStyle w:val="InternetLink"/>
                  <w:rFonts w:ascii="Times New Roman" w:hAnsi="Times New Roman"/>
                  <w:caps w:val="false"/>
                  <w:smallCaps w:val="false"/>
                  <w:sz w:val="20"/>
                </w:rPr>
                <w:t>10.139</w:t>
              </w:r>
            </w:hyperlink>
          </w:p>
        </w:tc>
        <w:tc>
          <w:tcPr>
            <w:tcW w:w="9554"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Vistagen Therapeutics, Inc. 2019 Omnibus Equity Incentive Plan, incorporated by reference from Exhibit 99.1 to the Company’s Registration Statement on Form S-8 filed on October 1, 2019.</w:t>
            </w:r>
          </w:p>
        </w:tc>
      </w:tr>
      <w:tr>
        <w:trPr/>
        <w:tc>
          <w:tcPr>
            <w:tcW w:w="651"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42">
              <w:r>
                <w:rPr>
                  <w:rStyle w:val="InternetLink"/>
                  <w:rFonts w:ascii="Times New Roman" w:hAnsi="Times New Roman"/>
                  <w:caps w:val="false"/>
                  <w:smallCaps w:val="false"/>
                  <w:sz w:val="20"/>
                </w:rPr>
                <w:t>10.140</w:t>
              </w:r>
            </w:hyperlink>
          </w:p>
        </w:tc>
        <w:tc>
          <w:tcPr>
            <w:tcW w:w="9554"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Vistagen Therapeutics, Inc. 2019 Employee Stock Purchase Plan, incorporated by reference from Exhibit 99.2 to the Company’s Registration Statement on Form S-8 filed on October 1, 2019.</w:t>
            </w:r>
          </w:p>
        </w:tc>
      </w:tr>
      <w:tr>
        <w:trPr/>
        <w:tc>
          <w:tcPr>
            <w:tcW w:w="651"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43">
              <w:r>
                <w:rPr>
                  <w:rStyle w:val="InternetLink"/>
                  <w:rFonts w:ascii="Times New Roman" w:hAnsi="Times New Roman"/>
                  <w:caps w:val="false"/>
                  <w:smallCaps w:val="false"/>
                  <w:sz w:val="20"/>
                </w:rPr>
                <w:t>10.143</w:t>
              </w:r>
            </w:hyperlink>
          </w:p>
        </w:tc>
        <w:tc>
          <w:tcPr>
            <w:tcW w:w="9554"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Securities Purchase Agreement, dated January 24, 2020 between the Company and each purchaser named in the signature pages thereto, incorporated by reference from Exhibit 10.1 to the Company’s Current Report on Form 8-K filed on January 27, 2020.</w:t>
            </w:r>
          </w:p>
        </w:tc>
      </w:tr>
      <w:tr>
        <w:trPr/>
        <w:tc>
          <w:tcPr>
            <w:tcW w:w="651"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44">
              <w:r>
                <w:rPr>
                  <w:rStyle w:val="InternetLink"/>
                  <w:rFonts w:ascii="Times New Roman" w:hAnsi="Times New Roman"/>
                  <w:caps w:val="false"/>
                  <w:smallCaps w:val="false"/>
                  <w:sz w:val="20"/>
                </w:rPr>
                <w:t>10.144</w:t>
              </w:r>
            </w:hyperlink>
          </w:p>
        </w:tc>
        <w:tc>
          <w:tcPr>
            <w:tcW w:w="9554"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Warrant, dated January 24, 2020, incorporated by reference from Exhibit 10.2 to the Company’s Current Report on Form 8-K filed on January 27, 2020.</w:t>
            </w:r>
          </w:p>
        </w:tc>
      </w:tr>
      <w:tr>
        <w:trPr/>
        <w:tc>
          <w:tcPr>
            <w:tcW w:w="651"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45">
              <w:r>
                <w:rPr>
                  <w:rStyle w:val="InternetLink"/>
                  <w:rFonts w:ascii="Times New Roman" w:hAnsi="Times New Roman"/>
                  <w:caps w:val="false"/>
                  <w:smallCaps w:val="false"/>
                  <w:sz w:val="20"/>
                </w:rPr>
                <w:t>10.148 #</w:t>
              </w:r>
            </w:hyperlink>
          </w:p>
        </w:tc>
        <w:tc>
          <w:tcPr>
            <w:tcW w:w="9554"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License and Collaboration Agreement between Vistagen Therapeutics, Inc. and EverInsight Therapeutics Inc. incorporated by reference from Exhibit 10.1 to the Company’s Current Report on Form 8-K, filed June 26, 2020.</w:t>
            </w:r>
          </w:p>
        </w:tc>
      </w:tr>
      <w:tr>
        <w:trPr/>
        <w:tc>
          <w:tcPr>
            <w:tcW w:w="651"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46">
              <w:r>
                <w:rPr>
                  <w:rStyle w:val="InternetLink"/>
                  <w:rFonts w:ascii="Times New Roman" w:hAnsi="Times New Roman"/>
                  <w:caps w:val="false"/>
                  <w:smallCaps w:val="false"/>
                  <w:sz w:val="20"/>
                </w:rPr>
                <w:t>10.151</w:t>
              </w:r>
            </w:hyperlink>
          </w:p>
        </w:tc>
        <w:tc>
          <w:tcPr>
            <w:tcW w:w="9554"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Indemnification Agreement, dated April 26, 2021, by and between Vistagen Therapeutics, Inc. and Joanne Curley, Ph.D. incorporated by reference from Exhibit 10.1 to the Company’s Current Report on Form 8-K filed on April 27, 2021.</w:t>
            </w:r>
          </w:p>
        </w:tc>
      </w:tr>
      <w:tr>
        <w:trPr/>
        <w:tc>
          <w:tcPr>
            <w:tcW w:w="651"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47">
              <w:r>
                <w:rPr>
                  <w:rStyle w:val="InternetLink"/>
                  <w:rFonts w:ascii="Times New Roman" w:hAnsi="Times New Roman"/>
                  <w:caps w:val="false"/>
                  <w:smallCaps w:val="false"/>
                  <w:sz w:val="20"/>
                </w:rPr>
                <w:t>10.152</w:t>
              </w:r>
            </w:hyperlink>
          </w:p>
        </w:tc>
        <w:tc>
          <w:tcPr>
            <w:tcW w:w="9554"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Indemnification Agreement, dated July 6, 2021, by and between Vistagen Therapeutics, Inc. and Mary L. Rotunno, J.D. incorporated by reference from Exhibit 10.1 to the Company’s Current Report on Form 8-K, filed on July 8, 2021.</w:t>
            </w:r>
          </w:p>
        </w:tc>
      </w:tr>
      <w:tr>
        <w:trPr/>
        <w:tc>
          <w:tcPr>
            <w:tcW w:w="651"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48">
              <w:r>
                <w:rPr>
                  <w:rStyle w:val="InternetLink"/>
                  <w:rFonts w:ascii="Times New Roman" w:hAnsi="Times New Roman"/>
                  <w:caps w:val="false"/>
                  <w:smallCaps w:val="false"/>
                  <w:sz w:val="20"/>
                </w:rPr>
                <w:t>10.153</w:t>
              </w:r>
            </w:hyperlink>
          </w:p>
        </w:tc>
        <w:tc>
          <w:tcPr>
            <w:tcW w:w="9554"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Indemnification Agreement, dated July 21, 2021, by and between Vistagen Therapeutics, Inc. and Margaret M. FitzPatrick incorporated by reference from Exhibit 10.1 to the Company’s Current Report on Form 8-K filed on July 22, 2021.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0" w:type="dxa"/>
          <w:bottom w:w="28" w:type="dxa"/>
          <w:right w:w="28" w:type="dxa"/>
        </w:tblCellMar>
      </w:tblPr>
      <w:tblGrid>
        <w:gridCol w:w="710"/>
        <w:gridCol w:w="9495"/>
      </w:tblGrid>
      <w:tr>
        <w:trPr/>
        <w:tc>
          <w:tcPr>
            <w:tcW w:w="710" w:type="dxa"/>
            <w:tcBorders>
              <w:top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hyperlink r:id="rId49">
              <w:r>
                <w:rPr>
                  <w:rStyle w:val="InternetLink"/>
                  <w:rFonts w:ascii="Times New Roman" w:hAnsi="Times New Roman"/>
                  <w:caps w:val="false"/>
                  <w:smallCaps w:val="false"/>
                  <w:sz w:val="20"/>
                </w:rPr>
                <w:t>10.154</w:t>
              </w:r>
            </w:hyperlink>
          </w:p>
        </w:tc>
        <w:tc>
          <w:tcPr>
            <w:tcW w:w="9495" w:type="dxa"/>
            <w:tcBorders>
              <w:top w:val="single" w:sz="2" w:space="0" w:color="000000"/>
              <w:bottom w:val="single" w:sz="2" w:space="0" w:color="000000"/>
            </w:tcBorders>
            <w:tcMar>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Third Amendment to Lease, by and between Bayside Area Development, LLC and Vistagen Therapeutics, Inc. dated October 14, 2021, incorporated by reference from Exhibit 10.1 to the Company’s Quarterly Report on Form 10-Q, filed on November 10, 2021.</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50">
              <w:r>
                <w:rPr>
                  <w:rStyle w:val="InternetLink"/>
                  <w:rFonts w:ascii="Times New Roman" w:hAnsi="Times New Roman"/>
                  <w:caps w:val="false"/>
                  <w:smallCaps w:val="false"/>
                  <w:sz w:val="20"/>
                </w:rPr>
                <w:t>10.155</w:t>
              </w:r>
            </w:hyperlink>
          </w:p>
        </w:tc>
        <w:tc>
          <w:tcPr>
            <w:tcW w:w="949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Indemnification Agreement, dated May 13, 2022, by and between Vistagen Therapeutics, Inc. and Reid G. Adler, J.D., incorporated by reference from Exhibit 10.1 to the Company’s Quarterly Report on Form 10-Q, filed on August 11, 2022.</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51">
              <w:r>
                <w:rPr>
                  <w:rStyle w:val="InternetLink"/>
                  <w:rFonts w:ascii="Times New Roman" w:hAnsi="Times New Roman"/>
                  <w:caps w:val="false"/>
                  <w:smallCaps w:val="false"/>
                  <w:sz w:val="20"/>
                </w:rPr>
                <w:t>10.156</w:t>
              </w:r>
            </w:hyperlink>
          </w:p>
        </w:tc>
        <w:tc>
          <w:tcPr>
            <w:tcW w:w="949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Consulting Services Agreement between Vistagen Therapeutics, Inc and FitzPatrick &amp; Co. LLC, dated January 21, 2022, incorporated by reference from Exhibit 10.1 to the Company’s Quarterly Report on Form 10-Q, filed on November 10, 2022.</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283"/>
              <w:jc w:val="center"/>
              <w:rPr/>
            </w:pPr>
            <w:hyperlink r:id="rId52">
              <w:r>
                <w:rPr>
                  <w:rStyle w:val="InternetLink"/>
                </w:rPr>
                <w:t>10.157</w:t>
              </w:r>
            </w:hyperlink>
          </w:p>
        </w:tc>
        <w:tc>
          <w:tcPr>
            <w:tcW w:w="9495" w:type="dxa"/>
            <w:tcBorders>
              <w:bottom w:val="single" w:sz="2" w:space="0" w:color="000000"/>
            </w:tcBorders>
            <w:tcMar>
              <w:top w:w="0" w:type="dxa"/>
              <w:right w:w="0" w:type="dxa"/>
            </w:tcMar>
            <w:vAlign w:val="center"/>
          </w:tcPr>
          <w:p>
            <w:pPr>
              <w:pStyle w:val="TableContents"/>
              <w:bidi w:val="0"/>
              <w:spacing w:before="0" w:after="283"/>
              <w:jc w:val="left"/>
              <w:rPr/>
            </w:pPr>
            <w:r>
              <w:rPr/>
              <w:t>Amendment No. 1 to Consulting Services Agreement between Vistagen Therapeutics, Inc and FitzPatrick &amp; Co. LLC, effective June 1, 2022, incorporated by reference from Exhibit 10.2 to the Company’s Quarterly Report on Form 10-Q, filed on November 10, 2022.</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283"/>
              <w:jc w:val="center"/>
              <w:rPr/>
            </w:pPr>
            <w:hyperlink r:id="rId53">
              <w:r>
                <w:rPr>
                  <w:rStyle w:val="InternetLink"/>
                </w:rPr>
                <w:t>10.158</w:t>
              </w:r>
            </w:hyperlink>
          </w:p>
        </w:tc>
        <w:tc>
          <w:tcPr>
            <w:tcW w:w="9495" w:type="dxa"/>
            <w:tcBorders>
              <w:bottom w:val="single" w:sz="2" w:space="0" w:color="000000"/>
            </w:tcBorders>
            <w:tcMar>
              <w:top w:w="0" w:type="dxa"/>
              <w:right w:w="0" w:type="dxa"/>
            </w:tcMar>
            <w:vAlign w:val="center"/>
          </w:tcPr>
          <w:p>
            <w:pPr>
              <w:pStyle w:val="TableContents"/>
              <w:bidi w:val="0"/>
              <w:spacing w:before="0" w:after="283"/>
              <w:jc w:val="left"/>
              <w:rPr/>
            </w:pPr>
            <w:r>
              <w:rPr/>
              <w:t>Amendment No 2. to Consulting Services Agreement between Vistgen Therapeutics, Inc. and FitzPatrick &amp; Co. LLC effective January 1, 2023, incorporated by reference from Exhibit 10.1 to the Company’s Quarterly Report on Form 10-Q, filed on February 7, 2023.</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283"/>
              <w:jc w:val="center"/>
              <w:rPr/>
            </w:pPr>
            <w:hyperlink w:anchor="ex_537095.htm">
              <w:r>
                <w:rPr>
                  <w:rStyle w:val="InternetLink"/>
                </w:rPr>
                <w:t>10.159</w:t>
              </w:r>
            </w:hyperlink>
          </w:p>
        </w:tc>
        <w:tc>
          <w:tcPr>
            <w:tcW w:w="9495" w:type="dxa"/>
            <w:tcBorders>
              <w:bottom w:val="single" w:sz="2" w:space="0" w:color="000000"/>
            </w:tcBorders>
            <w:tcMar>
              <w:top w:w="0" w:type="dxa"/>
              <w:right w:w="0" w:type="dxa"/>
            </w:tcMar>
            <w:vAlign w:val="center"/>
          </w:tcPr>
          <w:p>
            <w:pPr>
              <w:pStyle w:val="TableContents"/>
              <w:bidi w:val="0"/>
              <w:spacing w:before="0" w:after="283"/>
              <w:jc w:val="left"/>
              <w:rPr/>
            </w:pPr>
            <w:r>
              <w:rPr/>
              <w:t>Amendment No 3. to Consulting Services Agreement between Vistagen Therapeutics, Inc. and FitzPatrick &amp; Co. LLC effective July 1, 2023, filed herewith.</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r:id="rId54">
              <w:r>
                <w:rPr>
                  <w:rStyle w:val="InternetLink"/>
                  <w:rFonts w:ascii="Times New Roman" w:hAnsi="Times New Roman"/>
                  <w:caps w:val="false"/>
                  <w:smallCaps w:val="false"/>
                  <w:sz w:val="20"/>
                </w:rPr>
                <w:t>10.160</w:t>
              </w:r>
            </w:hyperlink>
          </w:p>
        </w:tc>
        <w:tc>
          <w:tcPr>
            <w:tcW w:w="949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Consulting Agreement between Vistagen Therapeutics, Inc and i3 Strategy, dated November 10, 2022, incorporated by reference from Exhibit 10.3 to the Company’s Quarterly Report on Form 10-Q filed on November 10, 2022.</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w:anchor="ex_537096.htm">
              <w:r>
                <w:rPr>
                  <w:rStyle w:val="InternetLink"/>
                  <w:rFonts w:ascii="Times New Roman" w:hAnsi="Times New Roman"/>
                  <w:caps w:val="false"/>
                  <w:smallCaps w:val="false"/>
                  <w:sz w:val="20"/>
                </w:rPr>
                <w:t>10.161</w:t>
              </w:r>
            </w:hyperlink>
          </w:p>
        </w:tc>
        <w:tc>
          <w:tcPr>
            <w:tcW w:w="949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Consulting Services Agreement between Vistagen Therapeutics, Inc. and Mark Smith, dated November 16, 2022, filed herewith.</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283"/>
              <w:jc w:val="center"/>
              <w:rPr/>
            </w:pPr>
            <w:hyperlink w:anchor="ex_537097.htm">
              <w:r>
                <w:rPr>
                  <w:rStyle w:val="InternetLink"/>
                </w:rPr>
                <w:t>10.162</w:t>
              </w:r>
            </w:hyperlink>
          </w:p>
        </w:tc>
        <w:tc>
          <w:tcPr>
            <w:tcW w:w="949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Amendment No. 1 to Master Services Agreement by and between Vistagen Therapeutics, Inc. and Allucent, dated June 24, 2022, filed herewith.</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w:anchor="ex_536705.htm">
              <w:r>
                <w:rPr>
                  <w:rStyle w:val="InternetLink"/>
                  <w:rFonts w:ascii="Times New Roman" w:hAnsi="Times New Roman"/>
                  <w:caps w:val="false"/>
                  <w:smallCaps w:val="false"/>
                  <w:sz w:val="20"/>
                </w:rPr>
                <w:t>21.1</w:t>
              </w:r>
            </w:hyperlink>
          </w:p>
        </w:tc>
        <w:tc>
          <w:tcPr>
            <w:tcW w:w="949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List of Subsidiaries, filed herewith.</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w:anchor="ex_536704.htm">
              <w:r>
                <w:rPr>
                  <w:rStyle w:val="InternetLink"/>
                  <w:rFonts w:ascii="Times New Roman" w:hAnsi="Times New Roman"/>
                  <w:caps w:val="false"/>
                  <w:smallCaps w:val="false"/>
                  <w:sz w:val="20"/>
                </w:rPr>
                <w:t>23.1</w:t>
              </w:r>
            </w:hyperlink>
          </w:p>
        </w:tc>
        <w:tc>
          <w:tcPr>
            <w:tcW w:w="949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Consent of WithumSmith+Brown, PC, Independent Registered Public Accounting Firm, filed herewith.</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w:anchor="ex_536703.htm">
              <w:r>
                <w:rPr>
                  <w:rStyle w:val="InternetLink"/>
                  <w:rFonts w:ascii="Times New Roman" w:hAnsi="Times New Roman"/>
                  <w:caps w:val="false"/>
                  <w:smallCaps w:val="false"/>
                  <w:sz w:val="20"/>
                </w:rPr>
                <w:t>31.1</w:t>
              </w:r>
            </w:hyperlink>
          </w:p>
        </w:tc>
        <w:tc>
          <w:tcPr>
            <w:tcW w:w="949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Certification of the Company’s Chief Executive Officer pursuant to Section 302 of the Sarbanes-Oxley Act of 2002, filed herewith.</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w:anchor="ex_536702.htm">
              <w:r>
                <w:rPr>
                  <w:rStyle w:val="InternetLink"/>
                  <w:rFonts w:ascii="Times New Roman" w:hAnsi="Times New Roman"/>
                  <w:caps w:val="false"/>
                  <w:smallCaps w:val="false"/>
                  <w:sz w:val="20"/>
                </w:rPr>
                <w:t>31.2</w:t>
              </w:r>
            </w:hyperlink>
          </w:p>
        </w:tc>
        <w:tc>
          <w:tcPr>
            <w:tcW w:w="949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Certification of the Company’s Chief Financial Officer pursuant to Section 302 of the Sarbanes-Oxley Act of 2002, filed herewith.</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pPr>
            <w:hyperlink w:anchor="ex_536701.htm">
              <w:r>
                <w:rPr>
                  <w:rStyle w:val="InternetLink"/>
                  <w:rFonts w:ascii="Times New Roman" w:hAnsi="Times New Roman"/>
                  <w:caps w:val="false"/>
                  <w:smallCaps w:val="false"/>
                  <w:sz w:val="20"/>
                </w:rPr>
                <w:t>32.1</w:t>
              </w:r>
            </w:hyperlink>
          </w:p>
        </w:tc>
        <w:tc>
          <w:tcPr>
            <w:tcW w:w="949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Certification of the Company’s Chief Executive Officer and Chief Financial Officer pursuant to Section 906 of the Sarbanes-Oxley Act of 2002, filed herewith.</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949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instance document does not appear in the Interactive Data File because its XBRL tags are embedded within the Inline XBRL document.</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949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 filed herewith</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949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filed herewith</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949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filed herewith</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949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 filed herewith</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949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filed herewith</w:t>
            </w:r>
          </w:p>
        </w:tc>
      </w:tr>
      <w:tr>
        <w:trPr/>
        <w:tc>
          <w:tcPr>
            <w:tcW w:w="710"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9495"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9745" w:type="dxa"/>
        <w:jc w:val="left"/>
        <w:tblInd w:w="0" w:type="dxa"/>
        <w:tblLayout w:type="fixed"/>
        <w:tblCellMar>
          <w:top w:w="0" w:type="dxa"/>
          <w:left w:w="0" w:type="dxa"/>
          <w:bottom w:w="0" w:type="dxa"/>
          <w:right w:w="0" w:type="dxa"/>
        </w:tblCellMar>
      </w:tblPr>
      <w:tblGrid>
        <w:gridCol w:w="125"/>
        <w:gridCol w:w="962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from the like-numbered exhibit filed with our Current Report on Form 8-K on May 16, 2011.</w:t>
            </w:r>
          </w:p>
        </w:tc>
      </w:tr>
    </w:tbl>
    <w:tbl>
      <w:tblPr>
        <w:tblW w:w="7510" w:type="dxa"/>
        <w:jc w:val="left"/>
        <w:tblInd w:w="0" w:type="dxa"/>
        <w:tblLayout w:type="fixed"/>
        <w:tblCellMar>
          <w:top w:w="0" w:type="dxa"/>
          <w:left w:w="0" w:type="dxa"/>
          <w:bottom w:w="0" w:type="dxa"/>
          <w:right w:w="0" w:type="dxa"/>
        </w:tblCellMar>
      </w:tblPr>
      <w:tblGrid>
        <w:gridCol w:w="125"/>
        <w:gridCol w:w="738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Confidential treatment has been granted for certain confidential portions of this agreement.</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Item 601(b)(10) of Regulation S-K, certain confidential portions of this exhibit (indicated by “[*****]”) have been omitted as the Company has determined (i) the omitted information is not material and (ii) the omitted information would likely cause harm to the Company if publicly disclosed.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6" w:name="sig"/>
      <w:bookmarkEnd w:id="26"/>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 in the City of South San Francisco, State of California, on the 28th day of June, 2023.</w:t>
      </w:r>
    </w:p>
    <w:p>
      <w:pPr>
        <w:pStyle w:val="TextBody"/>
        <w:bidi w:val="0"/>
        <w:spacing w:before="0" w:after="0"/>
        <w:ind w:left="0" w:right="0" w:hanging="0"/>
        <w:jc w:val="left"/>
        <w:rPr>
          <w:caps w:val="false"/>
          <w:smallCaps w:val="false"/>
        </w:rPr>
      </w:pPr>
      <w:r>
        <w:rPr>
          <w:caps w:val="false"/>
          <w:smallCaps w:val="false"/>
        </w:rPr>
        <w:t> </w:t>
      </w:r>
    </w:p>
    <w:tbl>
      <w:tblPr>
        <w:tblW w:w="4290" w:type="dxa"/>
        <w:jc w:val="left"/>
        <w:tblInd w:w="0" w:type="dxa"/>
        <w:tblLayout w:type="fixed"/>
        <w:tblCellMar>
          <w:top w:w="0" w:type="dxa"/>
          <w:left w:w="0" w:type="dxa"/>
          <w:bottom w:w="0" w:type="dxa"/>
          <w:right w:w="0" w:type="dxa"/>
        </w:tblCellMar>
      </w:tblPr>
      <w:tblGrid>
        <w:gridCol w:w="1640"/>
        <w:gridCol w:w="320"/>
        <w:gridCol w:w="2330"/>
      </w:tblGrid>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Vistagen Therapeutics, Inc.</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June 28, 2023</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23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    </w:t>
            </w:r>
            <w:r>
              <w:rPr>
                <w:rFonts w:ascii="Times New Roman" w:hAnsi="Times New Roman"/>
                <w:i/>
                <w:caps w:val="false"/>
                <w:smallCaps w:val="false"/>
                <w:sz w:val="20"/>
                <w:u w:val="single"/>
              </w:rPr>
              <w:t>Shawn K. Singh</w:t>
            </w:r>
            <w:r>
              <w:rPr>
                <w:rFonts w:ascii="Times New Roman" w:hAnsi="Times New Roman"/>
                <w:caps w:val="false"/>
                <w:smallCaps w:val="false"/>
                <w:sz w:val="20"/>
                <w:u w:val="single"/>
              </w:rPr>
              <w:t>              </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Shawn K. Singh, J.D.</w:t>
            </w:r>
          </w:p>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Chief Executive Officer</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Exchange Act, this report has been signed below by the following persons on behalf of the registrant and in the capacities and on the dates indicated. </w:t>
      </w:r>
    </w:p>
    <w:p>
      <w:pPr>
        <w:pStyle w:val="TextBody"/>
        <w:bidi w:val="0"/>
        <w:spacing w:before="0" w:after="0"/>
        <w:ind w:left="0" w:right="0" w:hanging="0"/>
        <w:jc w:val="left"/>
        <w:rPr>
          <w:caps w:val="false"/>
          <w:smallCaps w:val="false"/>
        </w:rPr>
      </w:pPr>
      <w:r>
        <w:rPr>
          <w:caps w:val="false"/>
          <w:smallCaps w:val="false"/>
        </w:rPr>
        <w:t> </w:t>
      </w:r>
    </w:p>
    <w:tbl>
      <w:tblPr>
        <w:tblW w:w="7635" w:type="dxa"/>
        <w:jc w:val="left"/>
        <w:tblInd w:w="0" w:type="dxa"/>
        <w:tblLayout w:type="fixed"/>
        <w:tblCellMar>
          <w:top w:w="0" w:type="dxa"/>
          <w:left w:w="0" w:type="dxa"/>
          <w:bottom w:w="0" w:type="dxa"/>
          <w:right w:w="0" w:type="dxa"/>
        </w:tblCellMar>
      </w:tblPr>
      <w:tblGrid>
        <w:gridCol w:w="2615"/>
        <w:gridCol w:w="60"/>
        <w:gridCol w:w="3740"/>
        <w:gridCol w:w="60"/>
        <w:gridCol w:w="1160"/>
      </w:tblGrid>
      <w:tr>
        <w:trPr/>
        <w:tc>
          <w:tcPr>
            <w:tcW w:w="26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261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80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6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Shawn K. Singh      </w:t>
            </w:r>
            <w:r>
              <w:rPr>
                <w:rFonts w:ascii="Times New Roman" w:hAnsi="Times New Roman"/>
                <w:caps w:val="false"/>
                <w:smallCaps w:val="false"/>
                <w:sz w:val="20"/>
              </w:rPr>
              <w:t>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Shawn K. Singh, J.D.</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and Director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28, 2023</w:t>
            </w:r>
          </w:p>
        </w:tc>
      </w:tr>
      <w:tr>
        <w:trPr/>
        <w:tc>
          <w:tcPr>
            <w:tcW w:w="261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80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6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/s/    Jerrold D. Dotson </w:t>
            </w:r>
            <w:r>
              <w:rPr>
                <w:rFonts w:ascii="Times New Roman" w:hAnsi="Times New Roman"/>
                <w:caps w:val="false"/>
                <w:smallCaps w:val="false"/>
                <w:sz w:val="20"/>
              </w:rPr>
              <w:t>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Jerrold D. Dotson</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 and Chief Financial 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and Accounting Officer)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28, 2023</w:t>
            </w:r>
          </w:p>
        </w:tc>
      </w:tr>
      <w:tr>
        <w:trPr/>
        <w:tc>
          <w:tcPr>
            <w:tcW w:w="261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80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61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Jon S. Saxe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Jon S. Saxe, J.D., LL.M</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 of Directors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28, 2023</w:t>
            </w:r>
          </w:p>
        </w:tc>
      </w:tr>
      <w:tr>
        <w:trPr/>
        <w:tc>
          <w:tcPr>
            <w:tcW w:w="261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80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615" w:type="dxa"/>
            <w:tcBorders/>
            <w:vAlign w:val="center"/>
          </w:tcPr>
          <w:p>
            <w:pPr>
              <w:pStyle w:val="TableContents"/>
              <w:bidi w:val="0"/>
              <w:spacing w:before="0" w:after="0"/>
              <w:ind w:left="0" w:right="0" w:hanging="0"/>
              <w:jc w:val="left"/>
              <w:rPr>
                <w:caps w:val="false"/>
                <w:smallCaps w:val="false"/>
              </w:rPr>
            </w:pPr>
            <w:r>
              <w:rPr>
                <w:caps w:val="false"/>
                <w:smallCaps w:val="false"/>
                <w:u w:val="single"/>
              </w:rPr>
              <w:t> </w:t>
            </w:r>
            <w:r>
              <w:rPr>
                <w:rFonts w:ascii="Times New Roman" w:hAnsi="Times New Roman"/>
                <w:caps w:val="false"/>
                <w:smallCaps w:val="false"/>
                <w:sz w:val="20"/>
                <w:u w:val="single"/>
              </w:rPr>
              <w:t>/s/    Ann M. Cunningham</w:t>
            </w:r>
            <w:r>
              <w:rPr>
                <w:rFonts w:ascii="Times New Roman" w:hAnsi="Times New Roman"/>
                <w:caps w:val="false"/>
                <w:smallCaps w:val="false"/>
                <w:sz w:val="20"/>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b/>
                <w:caps w:val="false"/>
                <w:smallCaps w:val="false"/>
                <w:sz w:val="20"/>
              </w:rPr>
              <w:t>Ann M. Cunningham</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28, 2023</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ind w:left="0" w:right="0" w:hanging="0"/>
              <w:jc w:val="left"/>
              <w:rPr>
                <w:caps w:val="false"/>
                <w:smallCaps w:val="false"/>
              </w:rPr>
            </w:pPr>
            <w:r>
              <w:rPr>
                <w:caps w:val="false"/>
                <w:smallCaps w:val="false"/>
                <w:u w:val="single"/>
              </w:rPr>
              <w:t> </w:t>
            </w:r>
            <w:r>
              <w:rPr>
                <w:rFonts w:ascii="Times New Roman" w:hAnsi="Times New Roman"/>
                <w:caps w:val="false"/>
                <w:smallCaps w:val="false"/>
                <w:sz w:val="20"/>
                <w:u w:val="single"/>
              </w:rPr>
              <w:t>/s/    Joanne Curley</w:t>
            </w:r>
            <w:r>
              <w:rPr>
                <w:rFonts w:ascii="Times New Roman" w:hAnsi="Times New Roman"/>
                <w:caps w:val="false"/>
                <w:smallCaps w:val="false"/>
                <w:sz w:val="20"/>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b/>
                <w:caps w:val="false"/>
                <w:smallCaps w:val="false"/>
                <w:sz w:val="20"/>
              </w:rPr>
              <w:t>Joanne Curley, Ph.D.</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28, 2023</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ind w:left="0" w:right="0" w:hanging="0"/>
              <w:jc w:val="left"/>
              <w:rPr>
                <w:caps w:val="false"/>
                <w:smallCaps w:val="false"/>
              </w:rPr>
            </w:pPr>
            <w:r>
              <w:rPr>
                <w:caps w:val="false"/>
                <w:smallCaps w:val="false"/>
                <w:u w:val="single"/>
              </w:rPr>
              <w:t> </w:t>
            </w:r>
            <w:r>
              <w:rPr>
                <w:rFonts w:ascii="Times New Roman" w:hAnsi="Times New Roman"/>
                <w:caps w:val="false"/>
                <w:smallCaps w:val="false"/>
                <w:sz w:val="20"/>
                <w:u w:val="single"/>
              </w:rPr>
              <w:t>/s/    Margaret M. FitzPatrick</w:t>
            </w:r>
            <w:r>
              <w:rPr>
                <w:rFonts w:ascii="Times New Roman" w:hAnsi="Times New Roman"/>
                <w:caps w:val="false"/>
                <w:smallCaps w:val="false"/>
                <w:sz w:val="20"/>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b/>
                <w:caps w:val="false"/>
                <w:smallCaps w:val="false"/>
                <w:sz w:val="20"/>
              </w:rPr>
              <w:t>Margaret M. FitzPatrick</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28, 2023</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ind w:left="0" w:right="0" w:hanging="0"/>
              <w:jc w:val="left"/>
              <w:rPr>
                <w:caps w:val="false"/>
                <w:smallCaps w:val="false"/>
              </w:rPr>
            </w:pPr>
            <w:r>
              <w:rPr>
                <w:caps w:val="false"/>
                <w:smallCaps w:val="false"/>
                <w:u w:val="single"/>
              </w:rPr>
              <w:t> </w:t>
            </w:r>
            <w:r>
              <w:rPr>
                <w:rFonts w:ascii="Times New Roman" w:hAnsi="Times New Roman"/>
                <w:caps w:val="false"/>
                <w:smallCaps w:val="false"/>
                <w:sz w:val="20"/>
                <w:u w:val="single"/>
              </w:rPr>
              <w:t xml:space="preserve">/s/    Jerry B. Gin </w:t>
            </w:r>
            <w:r>
              <w:rPr>
                <w:rFonts w:ascii="Times New Roman" w:hAnsi="Times New Roman"/>
                <w:caps w:val="false"/>
                <w:smallCaps w:val="false"/>
                <w:sz w:val="20"/>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b/>
                <w:caps w:val="false"/>
                <w:smallCaps w:val="false"/>
                <w:sz w:val="20"/>
              </w:rPr>
              <w:t>Jerry B. Gin, Ph.D.</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28, 2023</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ind w:left="0" w:right="0" w:hanging="0"/>
              <w:jc w:val="left"/>
              <w:rPr>
                <w:caps w:val="false"/>
                <w:smallCaps w:val="false"/>
              </w:rPr>
            </w:pPr>
            <w:r>
              <w:rPr>
                <w:caps w:val="false"/>
                <w:smallCaps w:val="false"/>
                <w:u w:val="single"/>
              </w:rPr>
              <w:t> </w:t>
            </w:r>
            <w:r>
              <w:rPr>
                <w:rFonts w:ascii="Times New Roman" w:hAnsi="Times New Roman"/>
                <w:caps w:val="false"/>
                <w:smallCaps w:val="false"/>
                <w:sz w:val="20"/>
                <w:u w:val="single"/>
              </w:rPr>
              <w:t>/s/    Mary L. Rotunno</w:t>
            </w:r>
            <w:r>
              <w:rPr>
                <w:rFonts w:ascii="Times New Roman" w:hAnsi="Times New Roman"/>
                <w:caps w:val="false"/>
                <w:smallCaps w:val="false"/>
                <w:sz w:val="20"/>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b/>
                <w:caps w:val="false"/>
                <w:smallCaps w:val="false"/>
                <w:sz w:val="20"/>
              </w:rPr>
              <w:t xml:space="preserve">Mary L. Rotunno, J.D.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28,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146 </w:t>
      </w:r>
    </w:p>
    <w:p>
      <w:pPr>
        <w:pStyle w:val="TextBody"/>
        <w:bidi w:val="0"/>
        <w:jc w:val="left"/>
        <w:rPr/>
      </w:pPr>
      <w:bookmarkStart w:id="27" w:name="ex_537095.htm"/>
      <w:bookmarkStart w:id="28" w:name="ksex_537095"/>
      <w:bookmarkEnd w:id="27"/>
      <w:bookmarkEnd w:id="28"/>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10.159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AMENDMENT NO.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CONSULTING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This Amendment (“Amendment No. 3”) is made between </w:t>
      </w:r>
      <w:r>
        <w:rPr>
          <w:rFonts w:ascii="Times New Roman" w:hAnsi="Times New Roman"/>
          <w:b/>
          <w:caps w:val="false"/>
          <w:smallCaps w:val="false"/>
          <w:sz w:val="20"/>
        </w:rPr>
        <w:t>Vistagen Therapeutics, Inc.</w:t>
      </w:r>
      <w:r>
        <w:rPr>
          <w:rFonts w:ascii="Times New Roman" w:hAnsi="Times New Roman"/>
          <w:caps w:val="false"/>
          <w:smallCaps w:val="false"/>
          <w:sz w:val="20"/>
        </w:rPr>
        <w:t xml:space="preserve">, a Nevada corporation having an address at 343 Allerton Avenue, South San Francisco, California 94080 (“Vistagen”), and </w:t>
      </w:r>
      <w:r>
        <w:rPr>
          <w:rFonts w:ascii="Times New Roman" w:hAnsi="Times New Roman"/>
          <w:b/>
          <w:caps w:val="false"/>
          <w:smallCaps w:val="false"/>
          <w:sz w:val="20"/>
        </w:rPr>
        <w:t>FitzPatrick &amp; Co. LLC</w:t>
      </w:r>
      <w:r>
        <w:rPr>
          <w:rFonts w:ascii="Times New Roman" w:hAnsi="Times New Roman"/>
          <w:caps w:val="false"/>
          <w:smallCaps w:val="false"/>
          <w:sz w:val="20"/>
        </w:rPr>
        <w:t>, a Delaware limited liability company, having an address at 2023 Allen Place, NW, Washington DC 20009 (“Consultant”), effective as of July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Vistagen and Consultant entered into a Consulting Services Agreement dated January 21, 2022, Amendment No. 1 to the Consulting Agreement dated June 1, 2022, and Amendment No. 2 to the Consulting Agreement dated January 1, 2023 (collectively, the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WHEREAS, </w:t>
      </w:r>
      <w:r>
        <w:rPr>
          <w:rFonts w:ascii="Times New Roman" w:hAnsi="Times New Roman"/>
          <w:caps w:val="false"/>
          <w:smallCaps w:val="false"/>
          <w:sz w:val="20"/>
        </w:rPr>
        <w:t>the parties wish to amend the Agreement to extend its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and Consultant, therefore,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0"/>
        <w:gridCol w:w="170"/>
        <w:gridCol w:w="6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term of this Agreement shall be extended and continue until December 31,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as expressly provided in this Amendment No. 3, the Agreement remains unchanged and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[Remainder of page intentionally left blank]</w:t>
      </w:r>
    </w:p>
    <w:p>
      <w:pPr>
        <w:pStyle w:val="TextBody"/>
        <w:bidi w:val="0"/>
        <w:spacing w:before="0" w:after="0"/>
        <w:ind w:left="27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Page 1 of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party is signing this agreement with the party’s authorized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54" w:type="dxa"/>
        <w:jc w:val="left"/>
        <w:tblInd w:w="0" w:type="dxa"/>
        <w:tblLayout w:type="fixed"/>
        <w:tblCellMar>
          <w:top w:w="0" w:type="dxa"/>
          <w:left w:w="0" w:type="dxa"/>
          <w:bottom w:w="0" w:type="dxa"/>
          <w:right w:w="0" w:type="dxa"/>
        </w:tblCellMar>
      </w:tblPr>
      <w:tblGrid>
        <w:gridCol w:w="868"/>
        <w:gridCol w:w="3051"/>
        <w:gridCol w:w="60"/>
        <w:gridCol w:w="650"/>
        <w:gridCol w:w="2525"/>
      </w:tblGrid>
      <w:tr>
        <w:trPr/>
        <w:tc>
          <w:tcPr>
            <w:tcW w:w="3919" w:type="dxa"/>
            <w:gridSpan w:val="2"/>
            <w:tcBorders/>
            <w:vAlign w:val="center"/>
          </w:tcPr>
          <w:p>
            <w:pPr>
              <w:pStyle w:val="TableContents"/>
              <w:bidi w:val="0"/>
              <w:spacing w:before="0" w:after="283"/>
              <w:jc w:val="left"/>
              <w:rPr>
                <w:b/>
              </w:rPr>
            </w:pPr>
            <w:r>
              <w:rPr>
                <w:b/>
              </w:rPr>
              <w:t>AGREED TO:</w:t>
            </w:r>
          </w:p>
        </w:tc>
        <w:tc>
          <w:tcPr>
            <w:tcW w:w="60" w:type="dxa"/>
            <w:tcBorders/>
            <w:vAlign w:val="center"/>
          </w:tcPr>
          <w:p>
            <w:pPr>
              <w:pStyle w:val="TableContents"/>
              <w:bidi w:val="0"/>
              <w:spacing w:before="0" w:after="283"/>
              <w:jc w:val="left"/>
              <w:rPr/>
            </w:pPr>
            <w:r>
              <w:rPr/>
              <w:t> </w:t>
            </w:r>
          </w:p>
        </w:tc>
        <w:tc>
          <w:tcPr>
            <w:tcW w:w="3175" w:type="dxa"/>
            <w:gridSpan w:val="2"/>
            <w:tcBorders/>
            <w:vAlign w:val="center"/>
          </w:tcPr>
          <w:p>
            <w:pPr>
              <w:pStyle w:val="TableContents"/>
              <w:bidi w:val="0"/>
              <w:spacing w:before="0" w:after="283"/>
              <w:jc w:val="left"/>
              <w:rPr>
                <w:b/>
              </w:rPr>
            </w:pPr>
            <w:r>
              <w:rPr>
                <w:b/>
              </w:rPr>
              <w:t>AGREED TO:</w:t>
            </w:r>
          </w:p>
        </w:tc>
      </w:tr>
      <w:tr>
        <w:trPr/>
        <w:tc>
          <w:tcPr>
            <w:tcW w:w="868" w:type="dxa"/>
            <w:tcBorders/>
            <w:vAlign w:val="center"/>
          </w:tcPr>
          <w:p>
            <w:pPr>
              <w:pStyle w:val="TableContents"/>
              <w:bidi w:val="0"/>
              <w:spacing w:before="0" w:after="283"/>
              <w:jc w:val="left"/>
              <w:rPr/>
            </w:pPr>
            <w:r>
              <w:rPr/>
              <w:t> </w:t>
            </w:r>
          </w:p>
        </w:tc>
        <w:tc>
          <w:tcPr>
            <w:tcW w:w="3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3919" w:type="dxa"/>
            <w:gridSpan w:val="2"/>
            <w:tcBorders/>
            <w:vAlign w:val="center"/>
          </w:tcPr>
          <w:p>
            <w:pPr>
              <w:pStyle w:val="TableContents"/>
              <w:bidi w:val="0"/>
              <w:spacing w:before="0" w:after="283"/>
              <w:jc w:val="left"/>
              <w:rPr>
                <w:b/>
              </w:rPr>
            </w:pPr>
            <w:r>
              <w:rPr>
                <w:b/>
              </w:rPr>
              <w:t>VISTAGEN THERAPEUTICS, INC.</w:t>
            </w:r>
          </w:p>
        </w:tc>
        <w:tc>
          <w:tcPr>
            <w:tcW w:w="60" w:type="dxa"/>
            <w:tcBorders/>
            <w:vAlign w:val="center"/>
          </w:tcPr>
          <w:p>
            <w:pPr>
              <w:pStyle w:val="TableContents"/>
              <w:bidi w:val="0"/>
              <w:spacing w:before="0" w:after="283"/>
              <w:jc w:val="left"/>
              <w:rPr/>
            </w:pPr>
            <w:r>
              <w:rPr/>
              <w:t> </w:t>
            </w:r>
          </w:p>
        </w:tc>
        <w:tc>
          <w:tcPr>
            <w:tcW w:w="3175" w:type="dxa"/>
            <w:gridSpan w:val="2"/>
            <w:tcBorders/>
            <w:vAlign w:val="center"/>
          </w:tcPr>
          <w:p>
            <w:pPr>
              <w:pStyle w:val="TableContents"/>
              <w:bidi w:val="0"/>
              <w:spacing w:before="0" w:after="283"/>
              <w:jc w:val="left"/>
              <w:rPr>
                <w:b/>
              </w:rPr>
            </w:pPr>
            <w:r>
              <w:rPr>
                <w:b/>
              </w:rPr>
              <w:t>FITZPATRICK &amp; CO., LLC</w:t>
            </w:r>
          </w:p>
        </w:tc>
      </w:tr>
      <w:tr>
        <w:trPr/>
        <w:tc>
          <w:tcPr>
            <w:tcW w:w="868" w:type="dxa"/>
            <w:tcBorders/>
            <w:vAlign w:val="center"/>
          </w:tcPr>
          <w:p>
            <w:pPr>
              <w:pStyle w:val="TableContents"/>
              <w:bidi w:val="0"/>
              <w:spacing w:before="0" w:after="283"/>
              <w:jc w:val="left"/>
              <w:rPr/>
            </w:pPr>
            <w:r>
              <w:rPr/>
              <w:t> </w:t>
            </w:r>
          </w:p>
        </w:tc>
        <w:tc>
          <w:tcPr>
            <w:tcW w:w="3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868" w:type="dxa"/>
            <w:tcBorders/>
            <w:vAlign w:val="center"/>
          </w:tcPr>
          <w:p>
            <w:pPr>
              <w:pStyle w:val="TableContents"/>
              <w:bidi w:val="0"/>
              <w:spacing w:before="0" w:after="283"/>
              <w:jc w:val="left"/>
              <w:rPr/>
            </w:pPr>
            <w:r>
              <w:rPr/>
              <w:t> </w:t>
            </w:r>
          </w:p>
        </w:tc>
        <w:tc>
          <w:tcPr>
            <w:tcW w:w="3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868" w:type="dxa"/>
            <w:tcBorders/>
            <w:vAlign w:val="center"/>
          </w:tcPr>
          <w:p>
            <w:pPr>
              <w:pStyle w:val="TableContents"/>
              <w:bidi w:val="0"/>
              <w:spacing w:before="0" w:after="283"/>
              <w:jc w:val="left"/>
              <w:rPr/>
            </w:pPr>
            <w:r>
              <w:rPr/>
              <w:t> </w:t>
            </w:r>
          </w:p>
        </w:tc>
        <w:tc>
          <w:tcPr>
            <w:tcW w:w="3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868" w:type="dxa"/>
            <w:tcBorders/>
            <w:vAlign w:val="center"/>
          </w:tcPr>
          <w:p>
            <w:pPr>
              <w:pStyle w:val="TableContents"/>
              <w:bidi w:val="0"/>
              <w:spacing w:before="0" w:after="283"/>
              <w:jc w:val="left"/>
              <w:rPr/>
            </w:pPr>
            <w:r>
              <w:rPr/>
              <w:t> </w:t>
            </w:r>
          </w:p>
        </w:tc>
        <w:tc>
          <w:tcPr>
            <w:tcW w:w="3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868" w:type="dxa"/>
            <w:tcBorders/>
            <w:vAlign w:val="center"/>
          </w:tcPr>
          <w:p>
            <w:pPr>
              <w:pStyle w:val="TableContents"/>
              <w:bidi w:val="0"/>
              <w:spacing w:before="0" w:after="283"/>
              <w:jc w:val="left"/>
              <w:rPr/>
            </w:pPr>
            <w:r>
              <w:rPr/>
              <w:t>By:</w:t>
            </w:r>
          </w:p>
        </w:tc>
        <w:tc>
          <w:tcPr>
            <w:tcW w:w="3051" w:type="dxa"/>
            <w:tcBorders>
              <w:bottom w:val="single" w:sz="2" w:space="0" w:color="000000"/>
            </w:tcBorders>
            <w:tcMar>
              <w:bottom w:w="28" w:type="dxa"/>
            </w:tcMar>
            <w:vAlign w:val="center"/>
          </w:tcPr>
          <w:p>
            <w:pPr>
              <w:pStyle w:val="TableContents"/>
              <w:bidi w:val="0"/>
              <w:spacing w:before="0" w:after="283"/>
              <w:jc w:val="left"/>
              <w:rPr/>
            </w:pPr>
            <w:r>
              <w:rPr/>
              <w:t>/s/ Shawn K. Singh</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525" w:type="dxa"/>
            <w:tcBorders>
              <w:bottom w:val="single" w:sz="2" w:space="0" w:color="000000"/>
            </w:tcBorders>
            <w:tcMar>
              <w:bottom w:w="28" w:type="dxa"/>
            </w:tcMar>
            <w:vAlign w:val="center"/>
          </w:tcPr>
          <w:p>
            <w:pPr>
              <w:pStyle w:val="TableContents"/>
              <w:bidi w:val="0"/>
              <w:spacing w:before="0" w:after="283"/>
              <w:jc w:val="left"/>
              <w:rPr/>
            </w:pPr>
            <w:r>
              <w:rPr/>
              <w:t>/s/ Maggie FitzPatrick </w:t>
            </w:r>
          </w:p>
        </w:tc>
      </w:tr>
      <w:tr>
        <w:trPr/>
        <w:tc>
          <w:tcPr>
            <w:tcW w:w="868" w:type="dxa"/>
            <w:tcBorders/>
            <w:vAlign w:val="center"/>
          </w:tcPr>
          <w:p>
            <w:pPr>
              <w:pStyle w:val="TableContents"/>
              <w:bidi w:val="0"/>
              <w:spacing w:before="0" w:after="283"/>
              <w:jc w:val="left"/>
              <w:rPr/>
            </w:pPr>
            <w:r>
              <w:rPr/>
              <w:t> </w:t>
            </w:r>
          </w:p>
        </w:tc>
        <w:tc>
          <w:tcPr>
            <w:tcW w:w="3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868" w:type="dxa"/>
            <w:tcBorders/>
            <w:vAlign w:val="center"/>
          </w:tcPr>
          <w:p>
            <w:pPr>
              <w:pStyle w:val="TableContents"/>
              <w:bidi w:val="0"/>
              <w:spacing w:before="0" w:after="283"/>
              <w:jc w:val="left"/>
              <w:rPr/>
            </w:pPr>
            <w:r>
              <w:rPr/>
              <w:t>Name:</w:t>
            </w:r>
          </w:p>
        </w:tc>
        <w:tc>
          <w:tcPr>
            <w:tcW w:w="3051" w:type="dxa"/>
            <w:tcBorders>
              <w:bottom w:val="single" w:sz="2" w:space="0" w:color="000000"/>
            </w:tcBorders>
            <w:tcMar>
              <w:bottom w:w="28" w:type="dxa"/>
            </w:tcMar>
            <w:vAlign w:val="center"/>
          </w:tcPr>
          <w:p>
            <w:pPr>
              <w:pStyle w:val="TableContents"/>
              <w:bidi w:val="0"/>
              <w:spacing w:before="0" w:after="283"/>
              <w:jc w:val="left"/>
              <w:rPr/>
            </w:pPr>
            <w:r>
              <w:rPr/>
              <w:t>Shawn K. Singh, J.D.</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525" w:type="dxa"/>
            <w:tcBorders>
              <w:bottom w:val="single" w:sz="2" w:space="0" w:color="000000"/>
            </w:tcBorders>
            <w:tcMar>
              <w:bottom w:w="28" w:type="dxa"/>
            </w:tcMar>
            <w:vAlign w:val="center"/>
          </w:tcPr>
          <w:p>
            <w:pPr>
              <w:pStyle w:val="TableContents"/>
              <w:bidi w:val="0"/>
              <w:spacing w:before="0" w:after="283"/>
              <w:jc w:val="left"/>
              <w:rPr/>
            </w:pPr>
            <w:r>
              <w:rPr/>
              <w:t>Margaret Mary FitzPatrick</w:t>
            </w:r>
          </w:p>
        </w:tc>
      </w:tr>
      <w:tr>
        <w:trPr/>
        <w:tc>
          <w:tcPr>
            <w:tcW w:w="868" w:type="dxa"/>
            <w:tcBorders/>
            <w:vAlign w:val="center"/>
          </w:tcPr>
          <w:p>
            <w:pPr>
              <w:pStyle w:val="TableContents"/>
              <w:bidi w:val="0"/>
              <w:spacing w:before="0" w:after="283"/>
              <w:jc w:val="left"/>
              <w:rPr/>
            </w:pPr>
            <w:r>
              <w:rPr/>
              <w:t> </w:t>
            </w:r>
          </w:p>
        </w:tc>
        <w:tc>
          <w:tcPr>
            <w:tcW w:w="3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868" w:type="dxa"/>
            <w:tcBorders/>
            <w:vAlign w:val="center"/>
          </w:tcPr>
          <w:p>
            <w:pPr>
              <w:pStyle w:val="TableContents"/>
              <w:bidi w:val="0"/>
              <w:spacing w:before="0" w:after="283"/>
              <w:jc w:val="left"/>
              <w:rPr/>
            </w:pPr>
            <w:r>
              <w:rPr/>
              <w:t>Title:</w:t>
            </w:r>
          </w:p>
        </w:tc>
        <w:tc>
          <w:tcPr>
            <w:tcW w:w="3051" w:type="dxa"/>
            <w:tcBorders>
              <w:bottom w:val="single" w:sz="2" w:space="0" w:color="000000"/>
            </w:tcBorders>
            <w:tcMar>
              <w:bottom w:w="28" w:type="dxa"/>
            </w:tcMar>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525" w:type="dxa"/>
            <w:tcBorders>
              <w:bottom w:val="single" w:sz="2" w:space="0" w:color="000000"/>
            </w:tcBorders>
            <w:tcMar>
              <w:bottom w:w="28" w:type="dxa"/>
            </w:tcMar>
            <w:vAlign w:val="center"/>
          </w:tcPr>
          <w:p>
            <w:pPr>
              <w:pStyle w:val="TableContents"/>
              <w:bidi w:val="0"/>
              <w:spacing w:before="0" w:after="283"/>
              <w:jc w:val="left"/>
              <w:rPr/>
            </w:pPr>
            <w:r>
              <w:rPr/>
              <w:t>Managing Director</w:t>
            </w:r>
          </w:p>
        </w:tc>
      </w:tr>
      <w:tr>
        <w:trPr/>
        <w:tc>
          <w:tcPr>
            <w:tcW w:w="868" w:type="dxa"/>
            <w:tcBorders/>
            <w:vAlign w:val="center"/>
          </w:tcPr>
          <w:p>
            <w:pPr>
              <w:pStyle w:val="TableContents"/>
              <w:bidi w:val="0"/>
              <w:spacing w:before="0" w:after="283"/>
              <w:jc w:val="left"/>
              <w:rPr/>
            </w:pPr>
            <w:r>
              <w:rPr/>
              <w:t> </w:t>
            </w:r>
          </w:p>
        </w:tc>
        <w:tc>
          <w:tcPr>
            <w:tcW w:w="3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868" w:type="dxa"/>
            <w:tcBorders/>
            <w:vAlign w:val="center"/>
          </w:tcPr>
          <w:p>
            <w:pPr>
              <w:pStyle w:val="TableContents"/>
              <w:bidi w:val="0"/>
              <w:spacing w:before="0" w:after="283"/>
              <w:jc w:val="left"/>
              <w:rPr/>
            </w:pPr>
            <w:r>
              <w:rPr/>
              <w:t>Date:</w:t>
            </w:r>
          </w:p>
        </w:tc>
        <w:tc>
          <w:tcPr>
            <w:tcW w:w="3051" w:type="dxa"/>
            <w:tcBorders>
              <w:bottom w:val="single" w:sz="2" w:space="0" w:color="000000"/>
            </w:tcBorders>
            <w:tcMar>
              <w:bottom w:w="28" w:type="dxa"/>
            </w:tcMar>
            <w:vAlign w:val="center"/>
          </w:tcPr>
          <w:p>
            <w:pPr>
              <w:pStyle w:val="TableContents"/>
              <w:bidi w:val="0"/>
              <w:spacing w:before="0" w:after="283"/>
              <w:jc w:val="left"/>
              <w:rPr/>
            </w:pPr>
            <w:r>
              <w:rPr/>
              <w:t>June 22, 2023</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Date:</w:t>
            </w:r>
          </w:p>
        </w:tc>
        <w:tc>
          <w:tcPr>
            <w:tcW w:w="2525" w:type="dxa"/>
            <w:tcBorders>
              <w:bottom w:val="single" w:sz="2" w:space="0" w:color="000000"/>
            </w:tcBorders>
            <w:tcMar>
              <w:bottom w:w="28" w:type="dxa"/>
            </w:tcMar>
            <w:vAlign w:val="center"/>
          </w:tcPr>
          <w:p>
            <w:pPr>
              <w:pStyle w:val="TableContents"/>
              <w:bidi w:val="0"/>
              <w:spacing w:before="0" w:after="283"/>
              <w:jc w:val="left"/>
              <w:rPr/>
            </w:pPr>
            <w:r>
              <w:rPr/>
              <w:t>June 22,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Page 2 of 2</w:t>
      </w:r>
    </w:p>
    <w:p>
      <w:pPr>
        <w:pStyle w:val="TextBody"/>
        <w:bidi w:val="0"/>
        <w:spacing w:before="0" w:after="0"/>
        <w:ind w:left="0" w:right="0" w:hanging="0"/>
        <w:jc w:val="right"/>
        <w:rPr>
          <w:rFonts w:ascii="Times New Roman;Times;serif" w:hAnsi="Times New Roman;Times;serif"/>
          <w:b/>
          <w:sz w:val="20"/>
        </w:rPr>
      </w:pPr>
      <w:bookmarkStart w:id="29" w:name="ex_537096.htm"/>
      <w:bookmarkStart w:id="30" w:name="ksex_537096"/>
      <w:bookmarkEnd w:id="29"/>
      <w:bookmarkEnd w:id="30"/>
      <w:r>
        <w:rPr>
          <w:rFonts w:ascii="Times New Roman;Times;serif" w:hAnsi="Times New Roman;Times;serif"/>
          <w:b/>
          <w:sz w:val="20"/>
        </w:rPr>
        <w:t>Exhibit 10.161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CONSULTING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Consulting Agreement (“Agreement”) is made and entered into as of November 17, 2022, by and between Vistagen Therapeutics, Inc., a Nevada corporation with principal offices located at 343 Allerton Avenue, South San Francisco, CA 94080 (“Vistagen”), and Mark A. Smith, M.D., Ph.D. (“Consultant”). In this Agreement, Vistagen and Consultant are sometimes referred to individually as a “Party” and together as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Consultant has substantial expertise in the biopharmaceutical industry relating to the clinical development of therapeutic products;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Vistagen wishes to engage Consultant to provide consulting services in their area of expertise.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xml:space="preserve"> the Parties, intending to be legally bound, agree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7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SERVICES.</w:t>
            </w:r>
            <w:r>
              <w:rPr>
                <w:rFonts w:ascii="Times New Roman;Times;serif" w:hAnsi="Times New Roman;Times;serif"/>
                <w:caps w:val="false"/>
                <w:smallCaps w:val="false"/>
                <w:sz w:val="20"/>
              </w:rPr>
              <w:t> Consultant agrees to provide Vistagen with the consulting services (“Services”) described in Appendix A to this Agreement. Consultant will perform the Services in good faith, with all due care, skill, and ability, and to the highest standards of professional and ethical competence and integrity. Consultant will keep accurate records of their Services including authorized expenditures. For clarity, this Agreement shall be applied in case of any conflict between this Agreement and the proposal at Appendix 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COMPENSATION</w:t>
            </w:r>
            <w:r>
              <w:rPr>
                <w:rFonts w:ascii="Times New Roman;Times;serif" w:hAnsi="Times New Roman;Times;serif"/>
                <w:caps w:val="false"/>
                <w:smallCaps w:val="false"/>
                <w:sz w:val="20"/>
              </w:rPr>
              <w:t>. In consideration for the Services performed by Consultant, Vistagen agrees to compensate Consultant as set forth in Appendix A. Monthly invoices will be submitted by Consultant via email to: accountspayable@vistagen.com, with a copy to jdotson@vistagen.com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WORK PRODUCT AND DELIVERABLES. </w:t>
            </w:r>
            <w:r>
              <w:rPr>
                <w:rFonts w:ascii="Times New Roman;Times;serif" w:hAnsi="Times New Roman;Times;serif"/>
                <w:caps w:val="false"/>
                <w:smallCaps w:val="false"/>
                <w:sz w:val="20"/>
              </w:rPr>
              <w:t>Any work product and deliverables to be provided pursuant to the Services are described in Appendix A. Consultant agrees to treat as for the sole benefit of Vistagen and to fully and promptly disclose and assign to Vistagen, without additional compensation, all right, title and interest in and to any and all intellectual property embodied in such work product and deliverables. Works of authorship that are protectable by copyright are “works made for hire,” as that term is defined in the United States Copyright Act. As required by California law, the foregoing provision regarding intellectual property, specifically including any assignment obligations, shall not apply to any invention developed outside of the Services. Consultant agrees to sign all papers and take other actions, at Vistagen’s expense and reasonable request, to assign, secure and enforce rights to such intellectual property.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RELATIONSHIP OF THE PARTIES.</w:t>
            </w:r>
            <w:r>
              <w:rPr>
                <w:rFonts w:ascii="Times New Roman;Times;serif" w:hAnsi="Times New Roman;Times;serif"/>
                <w:caps w:val="false"/>
                <w:smallCaps w:val="false"/>
                <w:sz w:val="20"/>
              </w:rPr>
              <w:t> Consultant is an independent contractor to and not an employee of Vistagen. Vistagen will not withhold taxes or provide any benefits to Consultant, such as health insurance, leave, or any other employee benefits. Consultant will have no management activities, authority or responsibilities on behalf of Vistagen.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CONFIDENTIAL INFORMATION.</w:t>
            </w:r>
            <w:r>
              <w:rPr>
                <w:rFonts w:ascii="Times New Roman;Times;serif" w:hAnsi="Times New Roman;Times;serif"/>
                <w:sz w:val="20"/>
              </w:rPr>
              <w:t>  Subject to the limitations set forth in Section 6, all information disclosed by one Party to the other shall be deemed to be “Confidential Information.” Confidential Information may include, without limitation, any trade secret, patent application, technique, invention, idea, process, or formula; any sample, compound, extract, media, vector and/or cell line; any procedures and formulations for producing the foregoing; any data or information relating to any past, current and contemplated research and development activities, clinical trials, and the like; and any commercial, engineering, manufacturing, marketing, partnering, regulatory, servicing, financing or personnel matter, plan, program or strategy, suppliers, clients, customers, employees, investors, partners or business opportunities of a Party, whether in oral, written, visual, graphic or electronic form. All Confidential Information (including all copies thereof) shall remain at all times the property of the Party that discloses it (“Disclosing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100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EXCLUSIONS FROM CONFIDENTIAL INFORMATION.</w:t>
            </w:r>
            <w:r>
              <w:rPr>
                <w:rFonts w:ascii="Times New Roman;Times;serif" w:hAnsi="Times New Roman;Times;serif"/>
                <w:sz w:val="20"/>
              </w:rPr>
              <w:t>  Confidential Information shall not include information that the Party which receives it (“Receiving Party”) can demonstrate by competent written proof: (a) is now, or hereafter, becomes generally known or available in the public domain through no act or failure to act by Receiving Party; (b) is already known by Receiving Party at the time of receiving such information; (c) is hereafter furnished to Receiving Party by a third party, as a matter of right and without restriction on disclosure; (d) is independently developed by Receiving Party without any use of the Confidential Information; or (e) is approved in writing for disclosure by Disclosing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100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DISCLOSURE DUE TO OPERATION OF LAW.</w:t>
            </w:r>
            <w:r>
              <w:rPr>
                <w:rFonts w:ascii="Times New Roman;Times;serif" w:hAnsi="Times New Roman;Times;serif"/>
                <w:sz w:val="20"/>
              </w:rPr>
              <w:t>  Notwithstanding any other provision of this Agreement to the contrary, disclosure of Confidential Information by Receiving Party will not be precluded if such disclosure: (a) is made in response to a valid order of a court or other governmental body of the United States or any political subdivision thereof having competent jurisdiction; or (b) is otherwise required by law or regulation; provided, however, that Receiving Party shall first have given reasonable prior notice to Disclosing Party, to the extent legally permissible, and shall have made a reasonable effort to obtain a protective order requiring that the Confidential Information so disclosed be used only for the purposes for which the order was issued.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100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LIMITATIONS ON USE. </w:t>
            </w:r>
            <w:r>
              <w:rPr>
                <w:rFonts w:ascii="Times New Roman;Times;serif" w:hAnsi="Times New Roman;Times;serif"/>
                <w:sz w:val="20"/>
              </w:rPr>
              <w:t>Receiving Party may use the Confidential Information only to the extent required to provide the Services and for no other purpose. Receiving Party shall maintain all Confidential Information in trust and strict confidence and shall not disclose any of the Confidential Information to any other third party without Disclosing Party’s prior written consent.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1006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MAINTENANCE OF CONFIDENTIALITY.</w:t>
            </w:r>
            <w:r>
              <w:rPr>
                <w:rFonts w:ascii="Times New Roman;Times;serif" w:hAnsi="Times New Roman;Times;serif"/>
                <w:caps w:val="false"/>
                <w:smallCaps w:val="false"/>
                <w:sz w:val="20"/>
              </w:rPr>
              <w:t> Receiving Party agrees to take reasonable measures to protect the secrecy of and avoid disclosure and unauthorized use of the Confidential Information. Without limiting the foregoing, Receiving Party will take at least those measures taken to protect their own confidential information of a similar nature.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995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NO LICENSE OR IMPLIED RIGHTS.</w:t>
            </w:r>
            <w:r>
              <w:rPr>
                <w:rFonts w:ascii="Times New Roman;Times;serif" w:hAnsi="Times New Roman;Times;serif"/>
                <w:caps w:val="false"/>
                <w:smallCaps w:val="false"/>
                <w:sz w:val="20"/>
              </w:rPr>
              <w:t> No rights or licenses to copyrights, inventions, know-how, patents, trademarks, trade secrets, or any other intellectual property rights, are implied or granted under this Agreement except as expressly set forth.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997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TERM, TERMINATION AND SURVIVAL. </w:t>
            </w:r>
            <w:r>
              <w:rPr>
                <w:rFonts w:ascii="Times New Roman;Times;serif" w:hAnsi="Times New Roman;Times;serif"/>
                <w:caps w:val="false"/>
                <w:smallCaps w:val="false"/>
                <w:sz w:val="20"/>
              </w:rPr>
              <w:t>This term of this Agreement will extend from December 2, 2022 (“Effective Date”) to December 31, 2023, unless earlier terminated or extended by mutual agreement. Each Party reserves the right, in its sole discretion, to terminate the Agreement at any time and for any reason, including no reason. Either Party may terminate this Agreement if the other Party commits a material breach of this Agreement that is not remedied within thirty (30) days after receiving written notice of such breach or within such other period as is reasonable under the circumstances. Receiving Party’s obligations regarding confidentiality under this Agreement will continue for a period of five (5) years after any expiration or termination of this Agreement. The provisions of this Agreement that expressly or by implication are intended to come into or remain in force on or after its expiration or termination shall remain in full force and effect, including Sections 4 – 8 and 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99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TREATMENT OF CONFIDENTIAL INFORMATION UPON TERMINATION. </w:t>
            </w:r>
            <w:r>
              <w:rPr>
                <w:rFonts w:ascii="Times New Roman;Times;serif" w:hAnsi="Times New Roman;Times;serif"/>
                <w:caps w:val="false"/>
                <w:smallCaps w:val="false"/>
                <w:sz w:val="20"/>
              </w:rPr>
              <w:t>Upon expiration or termination of this Agreement, Receiving Party shall promptly return or destroy, as directed by Disclosing Party, all copies of Confidential Information and provide Disclosing Party with all work product and deliverables described in the Services and confirm such actions in writing. Notwithstanding the foregoing, Receiving Party may retain copies of Confidential Information as is reasonably required to comply with their internal document retention policies or applicable law or to ensure compliance with the provisions of this Agreement. In addition, Receiving Party will not be obligated to destroy copies of such information remaining on their standard computer back-up systems. Any Confidential Information so retained will continue to be subject to the terms of this Agreement for the period set forth.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99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REMEDIES. </w:t>
            </w:r>
            <w:r>
              <w:rPr>
                <w:rFonts w:ascii="Times New Roman;Times;serif" w:hAnsi="Times New Roman;Times;serif"/>
                <w:caps w:val="false"/>
                <w:smallCaps w:val="false"/>
                <w:sz w:val="20"/>
              </w:rPr>
              <w:t>Consultant understands and agrees that money damages may not be a sufficient remedy for a breach of this Agreement and that Vistagen will be entitled to seek specific performance, injunctive relief and/or other equitable relief as a remedy for any such breach. Such remedy shall not be deemed to be the exclusive remedy for a breach of this Agreement but shall be in addition to other remedies available at law or in equity.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99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SECURITIES LAWS. </w:t>
            </w:r>
            <w:r>
              <w:rPr>
                <w:rFonts w:ascii="Times New Roman;Times;serif" w:hAnsi="Times New Roman;Times;serif"/>
                <w:caps w:val="false"/>
                <w:smallCaps w:val="false"/>
                <w:sz w:val="20"/>
              </w:rPr>
              <w:t>Vistagen is a publicly traded company. Consultant acknowledges that: (i) trading in securities of Vistagen is subject to applicable securities legislation; (ii) as a result of the disclosure of the Confidential Information by Vistagen to Consultant, Consultant may possess material, non-public information of Vistagen; and (iii) any trading by Consultant or its Representatives in the securities of Vistagen while in possession of such material, non-public information may be a violation of applicable securities legislation and is at all times prohibited.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c>
          <w:tcPr>
            <w:tcW w:w="996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NOTICE.</w:t>
            </w:r>
            <w:r>
              <w:rPr>
                <w:rFonts w:ascii="Times New Roman;Times;serif" w:hAnsi="Times New Roman;Times;serif"/>
                <w:caps w:val="false"/>
                <w:smallCaps w:val="false"/>
                <w:sz w:val="20"/>
              </w:rPr>
              <w:t> All demands, notices and requests under this Agreement, other than routine communications, shall be in writing, in each case to the attention of the other Party’s signatory at the address above. Either Party may give any notice under this Agreement by customary means (including personal delivery, overnight courier, or by certified postal delivery but expressly not including fax or email), and such notice or other communication shall not be deemed duly given when the Party for whom it is intended receives it. Any Party may change the address to which notices and other communications are to be delivered.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035" w:type="dxa"/>
        <w:jc w:val="left"/>
        <w:tblInd w:w="0" w:type="dxa"/>
        <w:tblLayout w:type="fixed"/>
        <w:tblCellMar>
          <w:top w:w="0" w:type="dxa"/>
          <w:left w:w="0" w:type="dxa"/>
          <w:bottom w:w="0" w:type="dxa"/>
          <w:right w:w="0" w:type="dxa"/>
        </w:tblCellMar>
      </w:tblPr>
      <w:tblGrid>
        <w:gridCol w:w="275"/>
        <w:gridCol w:w="176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c>
          <w:tcPr>
            <w:tcW w:w="17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MISCELLANEOUS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    Each of the undersigned warrants that they have the authority to enter into this Agreement and to disclose the Confidential Information provided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(b)    In the performance of their permitted activities under this Agreement, each Party shall comply with all applicable laws, including all applicable export control, anti-corruption and anti-bribery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(c)    This Agreement shall bind and inure to the benefit of the Parties and their successors and permitted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(d)    Neither Party shall have the right to use the other Party’s name or likeness in any publications, publicity or other materials or presentations without obtaining the prior written consent of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    Neither this Agreement nor any rights or obligations under this Agreement are assignable by either Party without the prior written approval of the other Party, except that either Party may assign this Agreement to an Affiliate without such consent and Vistagen may assign this Agreement in the context of a sale of all or substantially all of its assets that relate to this Agreement without such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(f)    This Agreement shall be governed by the laws of the State of California as applied to disputes involving parties located entirely within the State and without giving effect to its choice of law provisions. Any claim or controversy arising out of or related to this Agreement, or any breach hereof, shall be submitted to a court of competent jurisdiction in the State of California, and each Party hereby consents to the jurisdiction and venue of such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(g)    This Agreement has been prepared in the English language and the English language shall control its interpretation.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(h)    This Agreement constitutes the final, complete and exclusive agreement of the Parties relative to its subject matter and supersedes all prior and contemporaneous understandings and agreements relating to its subject matter. This Agreement may not be changed, modified, amended or supplemented except by a written instrument signed by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    Section headings are included for convenience only and will not be deemed to be a part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(j)    Any failure to enforce any provision of this Agreement shall not constitute a waiver of any provision, nor will any single or partial exercise of any provision preclude any other or further exercise or the exercise of any other right, power or privilege under this Agreement. To be effective, any waiver of any right, power, or privilege under this Agreement shall be in writing and signed by the Party against whom the waiver is sought to be enforced.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(k)    If any one or more of the provisions of this Agreement is held to be invalid or unenforceable by any court of competent jurisdiction from which no appeal can be or is taken, the provision shall be considered severed from this Agreement and shall not serve to invalidate any remaining provisions. The Parties shall make a good faith effort to replace any invalid or unenforceable provision with a valid and enforceable one such that the objectives contemplated by the Parties when entering into this Agreement may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(l)    Neither Party shall be deemed to have defaulted under or to be in breach of this Agreement for failure or delay in fulfilling material obligations when such failure or delay is directly caused by an event outside of their reasonable control, including but not limited to war, acts of war, insurrections, acts of terrorism, epidemics or pandemics, or acts of God (a “Force Majeure Event”). Each Party shall inform the other promptly and in writing of any such Force Majeure Event and the Parties will discuss the situation, and acting in good faith, agree on the appropriate course of action under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(m)    For the convenience of the Parties, this Agreement may be executed in counterparts, each of which shall be deemed an original, but all of which together shall constitute one and the same instrument. This Agreement may be executed in PDF form or by other electronically transmitted signatures and such signatures will be deemed to bind each Party as if they were the original 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[Remainder of page intentionally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mallCaps/>
          <w:sz w:val="20"/>
        </w:rPr>
      </w:pPr>
      <w:r>
        <w:rPr>
          <w:rFonts w:ascii="Times New Roman" w:hAnsi="Times New Roman"/>
          <w:b/>
          <w:smallCaps/>
          <w:sz w:val="20"/>
        </w:rPr>
        <w:t>IN WITNESS WHEREOF</w:t>
      </w:r>
      <w:r>
        <w:rPr>
          <w:rFonts w:ascii="Times New Roman" w:hAnsi="Times New Roman"/>
          <w:smallCaps/>
          <w:sz w:val="20"/>
        </w:rPr>
        <w:t>, each Party has caused the Agreement to be executed effective as of the date set forth above.</w:t>
      </w:r>
    </w:p>
    <w:p>
      <w:pPr>
        <w:pStyle w:val="TextBody"/>
        <w:bidi w:val="0"/>
        <w:spacing w:before="0" w:after="0"/>
        <w:ind w:left="0" w:right="0" w:hanging="0"/>
        <w:jc w:val="left"/>
        <w:rPr>
          <w:caps w:val="false"/>
          <w:smallCaps w:val="false"/>
        </w:rPr>
      </w:pPr>
      <w:r>
        <w:rPr>
          <w:caps w:val="false"/>
          <w:smallCaps w:val="false"/>
        </w:rPr>
        <w:t> </w:t>
      </w:r>
    </w:p>
    <w:tbl>
      <w:tblPr>
        <w:tblW w:w="8639" w:type="dxa"/>
        <w:jc w:val="left"/>
        <w:tblInd w:w="0" w:type="dxa"/>
        <w:tblLayout w:type="fixed"/>
        <w:tblCellMar>
          <w:top w:w="0" w:type="dxa"/>
          <w:left w:w="0" w:type="dxa"/>
          <w:bottom w:w="0" w:type="dxa"/>
          <w:right w:w="0" w:type="dxa"/>
        </w:tblCellMar>
      </w:tblPr>
      <w:tblGrid>
        <w:gridCol w:w="1107"/>
        <w:gridCol w:w="3892"/>
        <w:gridCol w:w="60"/>
        <w:gridCol w:w="770"/>
        <w:gridCol w:w="2810"/>
      </w:tblGrid>
      <w:tr>
        <w:trPr/>
        <w:tc>
          <w:tcPr>
            <w:tcW w:w="4999" w:type="dxa"/>
            <w:gridSpan w:val="2"/>
            <w:tcBorders/>
            <w:vAlign w:val="center"/>
          </w:tcPr>
          <w:p>
            <w:pPr>
              <w:pStyle w:val="TableContents"/>
              <w:bidi w:val="0"/>
              <w:spacing w:before="0" w:after="283"/>
              <w:jc w:val="left"/>
              <w:rPr/>
            </w:pPr>
            <w:r>
              <w:rPr/>
              <w:t>AGREED TO:</w:t>
            </w:r>
          </w:p>
        </w:tc>
        <w:tc>
          <w:tcPr>
            <w:tcW w:w="60" w:type="dxa"/>
            <w:tcBorders/>
            <w:vAlign w:val="center"/>
          </w:tcPr>
          <w:p>
            <w:pPr>
              <w:pStyle w:val="TableContents"/>
              <w:bidi w:val="0"/>
              <w:spacing w:before="0" w:after="283"/>
              <w:jc w:val="left"/>
              <w:rPr/>
            </w:pPr>
            <w:r>
              <w:rPr/>
              <w:t> </w:t>
            </w:r>
          </w:p>
        </w:tc>
        <w:tc>
          <w:tcPr>
            <w:tcW w:w="3580" w:type="dxa"/>
            <w:gridSpan w:val="2"/>
            <w:tcBorders/>
            <w:vAlign w:val="center"/>
          </w:tcPr>
          <w:p>
            <w:pPr>
              <w:pStyle w:val="TableContents"/>
              <w:bidi w:val="0"/>
              <w:spacing w:before="0" w:after="283"/>
              <w:jc w:val="left"/>
              <w:rPr/>
            </w:pPr>
            <w:r>
              <w:rPr/>
              <w:t>AGREED TO:</w:t>
            </w:r>
          </w:p>
        </w:tc>
      </w:tr>
      <w:tr>
        <w:trPr/>
        <w:tc>
          <w:tcPr>
            <w:tcW w:w="1107" w:type="dxa"/>
            <w:tcBorders/>
            <w:vAlign w:val="center"/>
          </w:tcPr>
          <w:p>
            <w:pPr>
              <w:pStyle w:val="TableContents"/>
              <w:bidi w:val="0"/>
              <w:spacing w:before="0" w:after="283"/>
              <w:jc w:val="left"/>
              <w:rPr/>
            </w:pPr>
            <w:r>
              <w:rPr/>
              <w:t> </w:t>
            </w:r>
          </w:p>
        </w:tc>
        <w:tc>
          <w:tcPr>
            <w:tcW w:w="3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r>
      <w:tr>
        <w:trPr/>
        <w:tc>
          <w:tcPr>
            <w:tcW w:w="4999" w:type="dxa"/>
            <w:gridSpan w:val="2"/>
            <w:tcBorders/>
            <w:vAlign w:val="center"/>
          </w:tcPr>
          <w:p>
            <w:pPr>
              <w:pStyle w:val="TableContents"/>
              <w:bidi w:val="0"/>
              <w:spacing w:before="0" w:after="283"/>
              <w:jc w:val="left"/>
              <w:rPr/>
            </w:pPr>
            <w:r>
              <w:rPr>
                <w:b/>
              </w:rPr>
              <w:t>VISTAGEN THERAPEUTICS, INC.</w:t>
            </w:r>
            <w:r>
              <w:rPr/>
              <w:t>                  </w:t>
            </w:r>
          </w:p>
        </w:tc>
        <w:tc>
          <w:tcPr>
            <w:tcW w:w="60" w:type="dxa"/>
            <w:tcBorders/>
            <w:vAlign w:val="center"/>
          </w:tcPr>
          <w:p>
            <w:pPr>
              <w:pStyle w:val="TableContents"/>
              <w:bidi w:val="0"/>
              <w:spacing w:before="0" w:after="283"/>
              <w:jc w:val="left"/>
              <w:rPr/>
            </w:pPr>
            <w:r>
              <w:rPr/>
              <w:t> </w:t>
            </w:r>
          </w:p>
        </w:tc>
        <w:tc>
          <w:tcPr>
            <w:tcW w:w="3580" w:type="dxa"/>
            <w:gridSpan w:val="2"/>
            <w:tcBorders/>
            <w:vAlign w:val="center"/>
          </w:tcPr>
          <w:p>
            <w:pPr>
              <w:pStyle w:val="TableContents"/>
              <w:bidi w:val="0"/>
              <w:spacing w:before="0" w:after="283"/>
              <w:jc w:val="left"/>
              <w:rPr>
                <w:b/>
              </w:rPr>
            </w:pPr>
            <w:r>
              <w:rPr>
                <w:b/>
              </w:rPr>
              <w:t>CONSULTANT</w:t>
            </w:r>
          </w:p>
        </w:tc>
      </w:tr>
      <w:tr>
        <w:trPr/>
        <w:tc>
          <w:tcPr>
            <w:tcW w:w="1107" w:type="dxa"/>
            <w:tcBorders/>
            <w:vAlign w:val="center"/>
          </w:tcPr>
          <w:p>
            <w:pPr>
              <w:pStyle w:val="TableContents"/>
              <w:bidi w:val="0"/>
              <w:spacing w:before="0" w:after="283"/>
              <w:jc w:val="left"/>
              <w:rPr/>
            </w:pPr>
            <w:r>
              <w:rPr/>
              <w:t> </w:t>
            </w:r>
          </w:p>
        </w:tc>
        <w:tc>
          <w:tcPr>
            <w:tcW w:w="3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r>
      <w:tr>
        <w:trPr/>
        <w:tc>
          <w:tcPr>
            <w:tcW w:w="1107" w:type="dxa"/>
            <w:tcBorders/>
            <w:vAlign w:val="center"/>
          </w:tcPr>
          <w:p>
            <w:pPr>
              <w:pStyle w:val="TableContents"/>
              <w:bidi w:val="0"/>
              <w:spacing w:before="0" w:after="283"/>
              <w:jc w:val="left"/>
              <w:rPr/>
            </w:pPr>
            <w:r>
              <w:rPr/>
              <w:t> </w:t>
            </w:r>
          </w:p>
        </w:tc>
        <w:tc>
          <w:tcPr>
            <w:tcW w:w="3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r>
      <w:tr>
        <w:trPr/>
        <w:tc>
          <w:tcPr>
            <w:tcW w:w="1107" w:type="dxa"/>
            <w:tcBorders/>
            <w:vAlign w:val="center"/>
          </w:tcPr>
          <w:p>
            <w:pPr>
              <w:pStyle w:val="TableContents"/>
              <w:bidi w:val="0"/>
              <w:spacing w:before="0" w:after="283"/>
              <w:jc w:val="left"/>
              <w:rPr/>
            </w:pPr>
            <w:r>
              <w:rPr/>
              <w:t>By:</w:t>
            </w:r>
          </w:p>
        </w:tc>
        <w:tc>
          <w:tcPr>
            <w:tcW w:w="3892" w:type="dxa"/>
            <w:tcBorders>
              <w:bottom w:val="single" w:sz="2" w:space="0" w:color="000000"/>
            </w:tcBorders>
            <w:tcMar>
              <w:bottom w:w="28" w:type="dxa"/>
            </w:tcMar>
            <w:vAlign w:val="center"/>
          </w:tcPr>
          <w:p>
            <w:pPr>
              <w:pStyle w:val="TableContents"/>
              <w:bidi w:val="0"/>
              <w:spacing w:before="0" w:after="283"/>
              <w:jc w:val="left"/>
              <w:rPr/>
            </w:pPr>
            <w:r>
              <w:rPr/>
              <w:t>/s/ Shawn K. Singh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By:</w:t>
            </w:r>
          </w:p>
        </w:tc>
        <w:tc>
          <w:tcPr>
            <w:tcW w:w="2810" w:type="dxa"/>
            <w:tcBorders>
              <w:bottom w:val="single" w:sz="2" w:space="0" w:color="000000"/>
            </w:tcBorders>
            <w:tcMar>
              <w:bottom w:w="28" w:type="dxa"/>
            </w:tcMar>
            <w:vAlign w:val="center"/>
          </w:tcPr>
          <w:p>
            <w:pPr>
              <w:pStyle w:val="TableContents"/>
              <w:bidi w:val="0"/>
              <w:spacing w:before="0" w:after="283"/>
              <w:jc w:val="left"/>
              <w:rPr/>
            </w:pPr>
            <w:r>
              <w:rPr/>
              <w:t>/s/ Mark A. Smith</w:t>
            </w:r>
          </w:p>
        </w:tc>
      </w:tr>
      <w:tr>
        <w:trPr/>
        <w:tc>
          <w:tcPr>
            <w:tcW w:w="1107" w:type="dxa"/>
            <w:tcBorders/>
            <w:vAlign w:val="center"/>
          </w:tcPr>
          <w:p>
            <w:pPr>
              <w:pStyle w:val="TableContents"/>
              <w:bidi w:val="0"/>
              <w:spacing w:before="0" w:after="283"/>
              <w:jc w:val="left"/>
              <w:rPr/>
            </w:pPr>
            <w:r>
              <w:rPr/>
              <w:t> </w:t>
            </w:r>
          </w:p>
        </w:tc>
        <w:tc>
          <w:tcPr>
            <w:tcW w:w="3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r>
      <w:tr>
        <w:trPr/>
        <w:tc>
          <w:tcPr>
            <w:tcW w:w="1107" w:type="dxa"/>
            <w:tcBorders/>
            <w:vAlign w:val="center"/>
          </w:tcPr>
          <w:p>
            <w:pPr>
              <w:pStyle w:val="TableContents"/>
              <w:bidi w:val="0"/>
              <w:spacing w:before="0" w:after="283"/>
              <w:jc w:val="left"/>
              <w:rPr/>
            </w:pPr>
            <w:r>
              <w:rPr/>
              <w:t>Name:</w:t>
            </w:r>
          </w:p>
        </w:tc>
        <w:tc>
          <w:tcPr>
            <w:tcW w:w="3892" w:type="dxa"/>
            <w:tcBorders>
              <w:bottom w:val="single" w:sz="2" w:space="0" w:color="000000"/>
            </w:tcBorders>
            <w:tcMar>
              <w:bottom w:w="28" w:type="dxa"/>
            </w:tcMar>
            <w:vAlign w:val="center"/>
          </w:tcPr>
          <w:p>
            <w:pPr>
              <w:pStyle w:val="TableContents"/>
              <w:bidi w:val="0"/>
              <w:spacing w:before="0" w:after="283"/>
              <w:jc w:val="left"/>
              <w:rPr/>
            </w:pPr>
            <w:r>
              <w:rPr/>
              <w:t>Shawn K. Singh, J.D.</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Name:</w:t>
            </w:r>
          </w:p>
        </w:tc>
        <w:tc>
          <w:tcPr>
            <w:tcW w:w="2810" w:type="dxa"/>
            <w:tcBorders>
              <w:bottom w:val="single" w:sz="2" w:space="0" w:color="000000"/>
            </w:tcBorders>
            <w:tcMar>
              <w:bottom w:w="28" w:type="dxa"/>
            </w:tcMar>
            <w:vAlign w:val="center"/>
          </w:tcPr>
          <w:p>
            <w:pPr>
              <w:pStyle w:val="TableContents"/>
              <w:bidi w:val="0"/>
              <w:spacing w:before="0" w:after="283"/>
              <w:jc w:val="left"/>
              <w:rPr/>
            </w:pPr>
            <w:r>
              <w:rPr/>
              <w:t>Mark A. Smith, M.D., Ph.D. </w:t>
            </w:r>
          </w:p>
        </w:tc>
      </w:tr>
      <w:tr>
        <w:trPr/>
        <w:tc>
          <w:tcPr>
            <w:tcW w:w="1107" w:type="dxa"/>
            <w:tcBorders/>
            <w:vAlign w:val="center"/>
          </w:tcPr>
          <w:p>
            <w:pPr>
              <w:pStyle w:val="TableContents"/>
              <w:bidi w:val="0"/>
              <w:spacing w:before="0" w:after="283"/>
              <w:jc w:val="left"/>
              <w:rPr/>
            </w:pPr>
            <w:r>
              <w:rPr/>
              <w:t> </w:t>
            </w:r>
          </w:p>
        </w:tc>
        <w:tc>
          <w:tcPr>
            <w:tcW w:w="3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r>
      <w:tr>
        <w:trPr/>
        <w:tc>
          <w:tcPr>
            <w:tcW w:w="1107" w:type="dxa"/>
            <w:tcBorders/>
            <w:vAlign w:val="center"/>
          </w:tcPr>
          <w:p>
            <w:pPr>
              <w:pStyle w:val="TableContents"/>
              <w:bidi w:val="0"/>
              <w:spacing w:before="0" w:after="283"/>
              <w:jc w:val="left"/>
              <w:rPr/>
            </w:pPr>
            <w:r>
              <w:rPr/>
              <w:t>Title:</w:t>
            </w:r>
          </w:p>
        </w:tc>
        <w:tc>
          <w:tcPr>
            <w:tcW w:w="3892" w:type="dxa"/>
            <w:tcBorders>
              <w:bottom w:val="single" w:sz="2" w:space="0" w:color="000000"/>
            </w:tcBorders>
            <w:tcMar>
              <w:bottom w:w="28" w:type="dxa"/>
            </w:tcMar>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Date:</w:t>
            </w:r>
          </w:p>
        </w:tc>
        <w:tc>
          <w:tcPr>
            <w:tcW w:w="2810" w:type="dxa"/>
            <w:tcBorders>
              <w:bottom w:val="single" w:sz="2" w:space="0" w:color="000000"/>
            </w:tcBorders>
            <w:tcMar>
              <w:bottom w:w="28" w:type="dxa"/>
            </w:tcMar>
            <w:vAlign w:val="center"/>
          </w:tcPr>
          <w:p>
            <w:pPr>
              <w:pStyle w:val="TableContents"/>
              <w:bidi w:val="0"/>
              <w:spacing w:before="0" w:after="283"/>
              <w:jc w:val="left"/>
              <w:rPr/>
            </w:pPr>
            <w:r>
              <w:rPr/>
              <w:t>November 17, 2022</w:t>
            </w:r>
          </w:p>
        </w:tc>
      </w:tr>
      <w:tr>
        <w:trPr/>
        <w:tc>
          <w:tcPr>
            <w:tcW w:w="1107" w:type="dxa"/>
            <w:tcBorders/>
            <w:vAlign w:val="center"/>
          </w:tcPr>
          <w:p>
            <w:pPr>
              <w:pStyle w:val="TableContents"/>
              <w:bidi w:val="0"/>
              <w:spacing w:before="0" w:after="283"/>
              <w:jc w:val="left"/>
              <w:rPr/>
            </w:pPr>
            <w:r>
              <w:rPr/>
              <w:t> </w:t>
            </w:r>
          </w:p>
        </w:tc>
        <w:tc>
          <w:tcPr>
            <w:tcW w:w="3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r>
      <w:tr>
        <w:trPr/>
        <w:tc>
          <w:tcPr>
            <w:tcW w:w="1107" w:type="dxa"/>
            <w:tcBorders/>
            <w:vAlign w:val="center"/>
          </w:tcPr>
          <w:p>
            <w:pPr>
              <w:pStyle w:val="TableContents"/>
              <w:bidi w:val="0"/>
              <w:spacing w:before="0" w:after="283"/>
              <w:jc w:val="left"/>
              <w:rPr/>
            </w:pPr>
            <w:r>
              <w:rPr/>
              <w:t>Date:</w:t>
            </w:r>
          </w:p>
        </w:tc>
        <w:tc>
          <w:tcPr>
            <w:tcW w:w="3892" w:type="dxa"/>
            <w:tcBorders>
              <w:bottom w:val="single" w:sz="2" w:space="0" w:color="000000"/>
            </w:tcBorders>
            <w:tcMar>
              <w:bottom w:w="28" w:type="dxa"/>
            </w:tcMar>
            <w:vAlign w:val="center"/>
          </w:tcPr>
          <w:p>
            <w:pPr>
              <w:pStyle w:val="TableContents"/>
              <w:bidi w:val="0"/>
              <w:spacing w:before="0" w:after="283"/>
              <w:jc w:val="left"/>
              <w:rPr/>
            </w:pPr>
            <w:r>
              <w:rPr/>
              <w:t>November 17, 2022</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Tax ID:</w:t>
            </w:r>
          </w:p>
        </w:tc>
        <w:tc>
          <w:tcPr>
            <w:tcW w:w="28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(Appendix A is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Appendix A</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170"/>
        <w:gridCol w:w="5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54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Description of Services to be Provided by Consultant to Vistagen</w:t>
            </w:r>
            <w:r>
              <w:rPr>
                <w:rFonts w:ascii="Times New Roman;Times;serif" w:hAnsi="Times New Roman;Times;serif"/>
                <w:b/>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60"/>
        <w:gridCol w:w="170"/>
        <w:gridCol w:w="53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Serve on the Company’s Clinical and Regulatory Advisory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Provide preclinical and clinical development advisory services to senior management and the Company’s Tiger Teams regarding development of the Company’s drug candidates, including, but not limited to its current drug candidates, PH94B, PH10 and AV-101, for central nervous system (CNS) disorders.</w:t>
            </w:r>
          </w:p>
        </w:tc>
      </w:tr>
    </w:tbl>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3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Compensation from Vistagen to Consultant</w:t>
            </w:r>
            <w:r>
              <w:rPr>
                <w:rFonts w:ascii="Times New Roman;Times;serif" w:hAnsi="Times New Roman;Times;serif"/>
                <w:b/>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Vistagen agrees to provide compensation to Consultant as follows, by check or wire to a U.S. bank account:</w:t>
      </w:r>
    </w:p>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60"/>
        <w:gridCol w:w="170"/>
        <w:gridCol w:w="4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$50,000 from the Effective Date through December 31, 2022</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$10,000 per month to be paid in arrears per invoices to be submitted by Consultant, from January 1, 2023 to December 31, 2023, or upon termination of this Agreement if that occurs prior to December 31, 2023</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Reasonable expenses will be reimbursed by Vistagen at cost. Substantial expenses not in the usual course of business, airfare and hotel accommodations must be pre-approved by Vistagen.</w:t>
            </w:r>
          </w:p>
        </w:tc>
      </w:tr>
    </w:tbl>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60"/>
        <w:gridCol w:w="170"/>
        <w:gridCol w:w="36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36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Stock Options and Continuation of Service</w:t>
            </w:r>
            <w:r>
              <w:rPr>
                <w:rFonts w:ascii="Times New Roman;Times;serif" w:hAnsi="Times New Roman;Times;serif"/>
                <w:b/>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Consultant’s issued and outstanding stock options as of the Effective Date will continue to vest until expiration or termination of this Agreement; vested options as of the expiration or termination date of this Agreement will be exercisable for up to 90 days thereafter.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- 7 -</w:t>
      </w:r>
    </w:p>
    <w:p>
      <w:pPr>
        <w:pStyle w:val="TextBody"/>
        <w:bidi w:val="0"/>
        <w:spacing w:before="0" w:after="0"/>
        <w:ind w:left="0" w:right="0" w:hanging="0"/>
        <w:jc w:val="right"/>
        <w:rPr>
          <w:rFonts w:ascii="Times New Roman;Times;serif" w:hAnsi="Times New Roman;Times;serif"/>
          <w:b/>
          <w:sz w:val="20"/>
        </w:rPr>
      </w:pPr>
      <w:bookmarkStart w:id="31" w:name="ex_537097.htm"/>
      <w:bookmarkStart w:id="32" w:name="ksex_537097"/>
      <w:bookmarkEnd w:id="31"/>
      <w:bookmarkEnd w:id="32"/>
      <w:r>
        <w:rPr>
          <w:rFonts w:ascii="Times New Roman;Times;serif" w:hAnsi="Times New Roman;Times;serif"/>
          <w:b/>
          <w:sz w:val="20"/>
        </w:rPr>
        <w:t>Exhibit 10.162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MASTER SERVICES AGREEMENT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All CRO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This Amendment (“Amendment No. 1”) is made between </w:t>
      </w:r>
      <w:r>
        <w:rPr>
          <w:rFonts w:ascii="Times New Roman" w:hAnsi="Times New Roman"/>
          <w:b/>
          <w:caps w:val="false"/>
          <w:smallCaps w:val="false"/>
          <w:sz w:val="20"/>
        </w:rPr>
        <w:t>VistaGen Therapeutics, Inc.</w:t>
      </w:r>
      <w:r>
        <w:rPr>
          <w:rFonts w:ascii="Times New Roman" w:hAnsi="Times New Roman"/>
          <w:caps w:val="false"/>
          <w:smallCaps w:val="false"/>
          <w:sz w:val="20"/>
        </w:rPr>
        <w:t xml:space="preserve">, a Nevada corporation having an address at 343 Allerton Avenue, South San Francisco, California 94080 (“VistaGen”) and </w:t>
      </w:r>
      <w:r>
        <w:rPr>
          <w:rFonts w:ascii="Times New Roman" w:hAnsi="Times New Roman"/>
          <w:b/>
          <w:caps w:val="false"/>
          <w:smallCaps w:val="false"/>
          <w:sz w:val="20"/>
        </w:rPr>
        <w:t>Allucent (formerly known as Cato Research Ltd.)</w:t>
      </w:r>
      <w:r>
        <w:rPr>
          <w:rFonts w:ascii="Times New Roman" w:hAnsi="Times New Roman"/>
          <w:caps w:val="false"/>
          <w:smallCaps w:val="false"/>
          <w:sz w:val="20"/>
        </w:rPr>
        <w:t xml:space="preserve"> a North Carolina corporation having an address at 2000 Centregreen Way, Suite 300, Cary, North Carolina 27513 (“Allucent”), and is effective as of June 23,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VistaGen and Allucent entered into a Master Services Agreement dated July 11, 2017 (the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the parties wish to amend the Agreement to extend its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VistaGen and Allucent therefore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6"/>
        <w:gridCol w:w="9989"/>
      </w:tblGrid>
      <w:tr>
        <w:trPr/>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term of the Agreement shall be extended and continue until the later of July 31, 2027, or the expiration or termination of any Work Orders that are active as of that date.</w:t>
            </w:r>
          </w:p>
        </w:tc>
      </w:tr>
    </w:tbl>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automatic renewal provision in Section 5.1 of the Agreement is deleted going forward as of the effective date of this Amendment No. 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as expressly provided in this Amendment No. 1, the Agreement remains unchanged and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party is signing this agreement with the party’s authorized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899" w:type="dxa"/>
        <w:jc w:val="left"/>
        <w:tblInd w:w="0" w:type="dxa"/>
        <w:tblLayout w:type="fixed"/>
        <w:tblCellMar>
          <w:top w:w="0" w:type="dxa"/>
          <w:left w:w="0" w:type="dxa"/>
          <w:bottom w:w="0" w:type="dxa"/>
          <w:right w:w="0" w:type="dxa"/>
        </w:tblCellMar>
      </w:tblPr>
      <w:tblGrid>
        <w:gridCol w:w="834"/>
        <w:gridCol w:w="3085"/>
        <w:gridCol w:w="60"/>
        <w:gridCol w:w="650"/>
        <w:gridCol w:w="2270"/>
      </w:tblGrid>
      <w:tr>
        <w:trPr/>
        <w:tc>
          <w:tcPr>
            <w:tcW w:w="3919" w:type="dxa"/>
            <w:gridSpan w:val="2"/>
            <w:tcBorders/>
            <w:vAlign w:val="center"/>
          </w:tcPr>
          <w:p>
            <w:pPr>
              <w:pStyle w:val="TableContents"/>
              <w:bidi w:val="0"/>
              <w:spacing w:before="0" w:after="283"/>
              <w:jc w:val="left"/>
              <w:rPr>
                <w:b/>
              </w:rPr>
            </w:pPr>
            <w:r>
              <w:rPr>
                <w:b/>
              </w:rPr>
              <w:t>AGREED TO:</w:t>
            </w:r>
          </w:p>
        </w:tc>
        <w:tc>
          <w:tcPr>
            <w:tcW w:w="60" w:type="dxa"/>
            <w:tcBorders/>
            <w:vAlign w:val="center"/>
          </w:tcPr>
          <w:p>
            <w:pPr>
              <w:pStyle w:val="TableContents"/>
              <w:bidi w:val="0"/>
              <w:spacing w:before="0" w:after="283"/>
              <w:jc w:val="left"/>
              <w:rPr/>
            </w:pPr>
            <w:r>
              <w:rPr/>
              <w:t> </w:t>
            </w:r>
          </w:p>
        </w:tc>
        <w:tc>
          <w:tcPr>
            <w:tcW w:w="2920" w:type="dxa"/>
            <w:gridSpan w:val="2"/>
            <w:tcBorders/>
            <w:vAlign w:val="center"/>
          </w:tcPr>
          <w:p>
            <w:pPr>
              <w:pStyle w:val="TableContents"/>
              <w:bidi w:val="0"/>
              <w:spacing w:before="0" w:after="283"/>
              <w:jc w:val="left"/>
              <w:rPr>
                <w:b/>
              </w:rPr>
            </w:pPr>
            <w:r>
              <w:rPr>
                <w:b/>
              </w:rPr>
              <w:t>AGREED TO:</w:t>
            </w:r>
          </w:p>
        </w:tc>
      </w:tr>
      <w:tr>
        <w:trPr/>
        <w:tc>
          <w:tcPr>
            <w:tcW w:w="834" w:type="dxa"/>
            <w:tcBorders/>
            <w:vAlign w:val="center"/>
          </w:tcPr>
          <w:p>
            <w:pPr>
              <w:pStyle w:val="TableContents"/>
              <w:bidi w:val="0"/>
              <w:spacing w:before="0" w:after="283"/>
              <w:jc w:val="left"/>
              <w:rPr/>
            </w:pPr>
            <w:r>
              <w:rPr/>
              <w:t> </w:t>
            </w:r>
          </w:p>
        </w:tc>
        <w:tc>
          <w:tcPr>
            <w:tcW w:w="3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3919" w:type="dxa"/>
            <w:gridSpan w:val="2"/>
            <w:tcBorders/>
            <w:vAlign w:val="center"/>
          </w:tcPr>
          <w:p>
            <w:pPr>
              <w:pStyle w:val="TableContents"/>
              <w:bidi w:val="0"/>
              <w:spacing w:before="0" w:after="283"/>
              <w:jc w:val="left"/>
              <w:rPr>
                <w:b/>
              </w:rPr>
            </w:pPr>
            <w:r>
              <w:rPr>
                <w:b/>
              </w:rPr>
              <w:t>VISTAGEN THERAPEUTICS, INC.</w:t>
            </w:r>
          </w:p>
        </w:tc>
        <w:tc>
          <w:tcPr>
            <w:tcW w:w="60" w:type="dxa"/>
            <w:tcBorders/>
            <w:vAlign w:val="center"/>
          </w:tcPr>
          <w:p>
            <w:pPr>
              <w:pStyle w:val="TableContents"/>
              <w:bidi w:val="0"/>
              <w:spacing w:before="0" w:after="283"/>
              <w:jc w:val="left"/>
              <w:rPr/>
            </w:pPr>
            <w:r>
              <w:rPr/>
              <w:t> </w:t>
            </w:r>
          </w:p>
        </w:tc>
        <w:tc>
          <w:tcPr>
            <w:tcW w:w="2920" w:type="dxa"/>
            <w:gridSpan w:val="2"/>
            <w:tcBorders/>
            <w:vAlign w:val="center"/>
          </w:tcPr>
          <w:p>
            <w:pPr>
              <w:pStyle w:val="TableContents"/>
              <w:bidi w:val="0"/>
              <w:spacing w:before="0" w:after="283"/>
              <w:jc w:val="left"/>
              <w:rPr>
                <w:b/>
              </w:rPr>
            </w:pPr>
            <w:r>
              <w:rPr>
                <w:b/>
              </w:rPr>
              <w:t>ALLUCENT</w:t>
            </w:r>
          </w:p>
        </w:tc>
      </w:tr>
      <w:tr>
        <w:trPr/>
        <w:tc>
          <w:tcPr>
            <w:tcW w:w="834" w:type="dxa"/>
            <w:tcBorders/>
            <w:vAlign w:val="center"/>
          </w:tcPr>
          <w:p>
            <w:pPr>
              <w:pStyle w:val="TableContents"/>
              <w:bidi w:val="0"/>
              <w:spacing w:before="0" w:after="283"/>
              <w:jc w:val="left"/>
              <w:rPr/>
            </w:pPr>
            <w:r>
              <w:rPr/>
              <w:t> </w:t>
            </w:r>
          </w:p>
        </w:tc>
        <w:tc>
          <w:tcPr>
            <w:tcW w:w="3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834" w:type="dxa"/>
            <w:tcBorders/>
            <w:vAlign w:val="center"/>
          </w:tcPr>
          <w:p>
            <w:pPr>
              <w:pStyle w:val="TableContents"/>
              <w:bidi w:val="0"/>
              <w:spacing w:before="0" w:after="283"/>
              <w:jc w:val="left"/>
              <w:rPr/>
            </w:pPr>
            <w:r>
              <w:rPr/>
              <w:t> </w:t>
            </w:r>
          </w:p>
        </w:tc>
        <w:tc>
          <w:tcPr>
            <w:tcW w:w="3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834" w:type="dxa"/>
            <w:tcBorders/>
            <w:vAlign w:val="center"/>
          </w:tcPr>
          <w:p>
            <w:pPr>
              <w:pStyle w:val="TableContents"/>
              <w:bidi w:val="0"/>
              <w:spacing w:before="0" w:after="283"/>
              <w:jc w:val="left"/>
              <w:rPr/>
            </w:pPr>
            <w:r>
              <w:rPr/>
              <w:t> </w:t>
            </w:r>
          </w:p>
        </w:tc>
        <w:tc>
          <w:tcPr>
            <w:tcW w:w="3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834" w:type="dxa"/>
            <w:tcBorders/>
            <w:vAlign w:val="center"/>
          </w:tcPr>
          <w:p>
            <w:pPr>
              <w:pStyle w:val="TableContents"/>
              <w:bidi w:val="0"/>
              <w:spacing w:before="0" w:after="283"/>
              <w:jc w:val="left"/>
              <w:rPr/>
            </w:pPr>
            <w:r>
              <w:rPr/>
              <w:t>By:</w:t>
            </w:r>
          </w:p>
        </w:tc>
        <w:tc>
          <w:tcPr>
            <w:tcW w:w="3085" w:type="dxa"/>
            <w:tcBorders>
              <w:bottom w:val="single" w:sz="2" w:space="0" w:color="000000"/>
            </w:tcBorders>
            <w:tcMar>
              <w:bottom w:w="28" w:type="dxa"/>
            </w:tcMar>
            <w:vAlign w:val="center"/>
          </w:tcPr>
          <w:p>
            <w:pPr>
              <w:pStyle w:val="TableContents"/>
              <w:bidi w:val="0"/>
              <w:spacing w:before="0" w:after="283"/>
              <w:jc w:val="left"/>
              <w:rPr/>
            </w:pPr>
            <w:r>
              <w:rPr/>
              <w:t>/s/ Shawn K. Singh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270" w:type="dxa"/>
            <w:tcBorders>
              <w:bottom w:val="single" w:sz="2" w:space="0" w:color="000000"/>
            </w:tcBorders>
            <w:tcMar>
              <w:bottom w:w="28" w:type="dxa"/>
            </w:tcMar>
            <w:vAlign w:val="center"/>
          </w:tcPr>
          <w:p>
            <w:pPr>
              <w:pStyle w:val="TableContents"/>
              <w:bidi w:val="0"/>
              <w:spacing w:before="0" w:after="283"/>
              <w:jc w:val="left"/>
              <w:rPr/>
            </w:pPr>
            <w:r>
              <w:rPr/>
              <w:t>/s/ Richard Shimota</w:t>
            </w:r>
          </w:p>
        </w:tc>
      </w:tr>
      <w:tr>
        <w:trPr/>
        <w:tc>
          <w:tcPr>
            <w:tcW w:w="834" w:type="dxa"/>
            <w:tcBorders/>
            <w:vAlign w:val="center"/>
          </w:tcPr>
          <w:p>
            <w:pPr>
              <w:pStyle w:val="TableContents"/>
              <w:bidi w:val="0"/>
              <w:spacing w:before="0" w:after="283"/>
              <w:jc w:val="left"/>
              <w:rPr/>
            </w:pPr>
            <w:r>
              <w:rPr/>
              <w:t> </w:t>
            </w:r>
          </w:p>
        </w:tc>
        <w:tc>
          <w:tcPr>
            <w:tcW w:w="3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834" w:type="dxa"/>
            <w:tcBorders/>
            <w:vAlign w:val="center"/>
          </w:tcPr>
          <w:p>
            <w:pPr>
              <w:pStyle w:val="TableContents"/>
              <w:bidi w:val="0"/>
              <w:spacing w:before="0" w:after="283"/>
              <w:jc w:val="left"/>
              <w:rPr/>
            </w:pPr>
            <w:r>
              <w:rPr/>
              <w:t>Name:</w:t>
            </w:r>
          </w:p>
        </w:tc>
        <w:tc>
          <w:tcPr>
            <w:tcW w:w="3085" w:type="dxa"/>
            <w:tcBorders>
              <w:bottom w:val="single" w:sz="2" w:space="0" w:color="000000"/>
            </w:tcBorders>
            <w:tcMar>
              <w:bottom w:w="28" w:type="dxa"/>
            </w:tcMar>
            <w:vAlign w:val="center"/>
          </w:tcPr>
          <w:p>
            <w:pPr>
              <w:pStyle w:val="TableContents"/>
              <w:bidi w:val="0"/>
              <w:spacing w:before="0" w:after="283"/>
              <w:jc w:val="left"/>
              <w:rPr/>
            </w:pPr>
            <w:r>
              <w:rPr/>
              <w:t>Shawn K. Singh, J.D.</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70" w:type="dxa"/>
            <w:tcBorders>
              <w:bottom w:val="single" w:sz="2" w:space="0" w:color="000000"/>
            </w:tcBorders>
            <w:tcMar>
              <w:bottom w:w="28" w:type="dxa"/>
            </w:tcMar>
            <w:vAlign w:val="center"/>
          </w:tcPr>
          <w:p>
            <w:pPr>
              <w:pStyle w:val="TableContents"/>
              <w:bidi w:val="0"/>
              <w:spacing w:before="0" w:after="283"/>
              <w:jc w:val="left"/>
              <w:rPr/>
            </w:pPr>
            <w:r>
              <w:rPr/>
              <w:t>Richard Shimota</w:t>
            </w:r>
          </w:p>
        </w:tc>
      </w:tr>
      <w:tr>
        <w:trPr/>
        <w:tc>
          <w:tcPr>
            <w:tcW w:w="834" w:type="dxa"/>
            <w:tcBorders/>
            <w:vAlign w:val="center"/>
          </w:tcPr>
          <w:p>
            <w:pPr>
              <w:pStyle w:val="TableContents"/>
              <w:bidi w:val="0"/>
              <w:spacing w:before="0" w:after="283"/>
              <w:jc w:val="left"/>
              <w:rPr/>
            </w:pPr>
            <w:r>
              <w:rPr/>
              <w:t> </w:t>
            </w:r>
          </w:p>
        </w:tc>
        <w:tc>
          <w:tcPr>
            <w:tcW w:w="3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834" w:type="dxa"/>
            <w:tcBorders/>
            <w:vAlign w:val="center"/>
          </w:tcPr>
          <w:p>
            <w:pPr>
              <w:pStyle w:val="TableContents"/>
              <w:bidi w:val="0"/>
              <w:spacing w:before="0" w:after="283"/>
              <w:jc w:val="left"/>
              <w:rPr/>
            </w:pPr>
            <w:r>
              <w:rPr/>
              <w:t>Title:</w:t>
            </w:r>
          </w:p>
        </w:tc>
        <w:tc>
          <w:tcPr>
            <w:tcW w:w="3085" w:type="dxa"/>
            <w:tcBorders>
              <w:bottom w:val="single" w:sz="2" w:space="0" w:color="000000"/>
            </w:tcBorders>
            <w:tcMar>
              <w:bottom w:w="28" w:type="dxa"/>
            </w:tcMar>
            <w:vAlign w:val="center"/>
          </w:tcPr>
          <w:p>
            <w:pPr>
              <w:pStyle w:val="TableContents"/>
              <w:bidi w:val="0"/>
              <w:spacing w:before="0" w:after="283"/>
              <w:jc w:val="left"/>
              <w:rPr/>
            </w:pPr>
            <w:r>
              <w:rPr/>
              <w:t>Chief Executive Officer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70" w:type="dxa"/>
            <w:tcBorders>
              <w:bottom w:val="single" w:sz="2" w:space="0" w:color="000000"/>
            </w:tcBorders>
            <w:tcMar>
              <w:bottom w:w="28" w:type="dxa"/>
            </w:tcMar>
            <w:vAlign w:val="center"/>
          </w:tcPr>
          <w:p>
            <w:pPr>
              <w:pStyle w:val="TableContents"/>
              <w:bidi w:val="0"/>
              <w:spacing w:before="0" w:after="283"/>
              <w:jc w:val="left"/>
              <w:rPr/>
            </w:pPr>
            <w:r>
              <w:rPr/>
              <w:t>Chief Financial Officer </w:t>
            </w:r>
          </w:p>
        </w:tc>
      </w:tr>
      <w:tr>
        <w:trPr/>
        <w:tc>
          <w:tcPr>
            <w:tcW w:w="834" w:type="dxa"/>
            <w:tcBorders/>
            <w:vAlign w:val="center"/>
          </w:tcPr>
          <w:p>
            <w:pPr>
              <w:pStyle w:val="TableContents"/>
              <w:bidi w:val="0"/>
              <w:spacing w:before="0" w:after="283"/>
              <w:jc w:val="left"/>
              <w:rPr/>
            </w:pPr>
            <w:r>
              <w:rPr/>
              <w:t> </w:t>
            </w:r>
          </w:p>
        </w:tc>
        <w:tc>
          <w:tcPr>
            <w:tcW w:w="3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834" w:type="dxa"/>
            <w:tcBorders/>
            <w:vAlign w:val="center"/>
          </w:tcPr>
          <w:p>
            <w:pPr>
              <w:pStyle w:val="TableContents"/>
              <w:bidi w:val="0"/>
              <w:spacing w:before="0" w:after="283"/>
              <w:jc w:val="left"/>
              <w:rPr/>
            </w:pPr>
            <w:r>
              <w:rPr/>
              <w:t>Date:</w:t>
            </w:r>
          </w:p>
        </w:tc>
        <w:tc>
          <w:tcPr>
            <w:tcW w:w="3085" w:type="dxa"/>
            <w:tcBorders>
              <w:bottom w:val="single" w:sz="2" w:space="0" w:color="000000"/>
            </w:tcBorders>
            <w:tcMar>
              <w:bottom w:w="28" w:type="dxa"/>
            </w:tcMar>
            <w:vAlign w:val="center"/>
          </w:tcPr>
          <w:p>
            <w:pPr>
              <w:pStyle w:val="TableContents"/>
              <w:bidi w:val="0"/>
              <w:spacing w:before="0" w:after="283"/>
              <w:jc w:val="left"/>
              <w:rPr/>
            </w:pPr>
            <w:r>
              <w:rPr/>
              <w:t>June 23, 2022</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Date:</w:t>
            </w:r>
          </w:p>
        </w:tc>
        <w:tc>
          <w:tcPr>
            <w:tcW w:w="2270" w:type="dxa"/>
            <w:tcBorders>
              <w:bottom w:val="single" w:sz="2" w:space="0" w:color="000000"/>
            </w:tcBorders>
            <w:tcMar>
              <w:bottom w:w="28" w:type="dxa"/>
            </w:tcMar>
            <w:vAlign w:val="center"/>
          </w:tcPr>
          <w:p>
            <w:pPr>
              <w:pStyle w:val="TableContents"/>
              <w:bidi w:val="0"/>
              <w:spacing w:before="0" w:after="283"/>
              <w:jc w:val="left"/>
              <w:rPr/>
            </w:pPr>
            <w:r>
              <w:rPr/>
              <w:t> </w:t>
            </w:r>
            <w:r>
              <w:rPr/>
              <w:t>6/24/2022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 2 of 2</w:t>
      </w:r>
    </w:p>
    <w:p>
      <w:pPr>
        <w:pStyle w:val="TextBody"/>
        <w:bidi w:val="0"/>
        <w:spacing w:before="0" w:after="0"/>
        <w:ind w:left="0" w:right="0" w:hanging="0"/>
        <w:jc w:val="left"/>
        <w:rPr>
          <w:caps w:val="false"/>
          <w:smallCaps w:val="false"/>
        </w:rPr>
      </w:pPr>
      <w:bookmarkStart w:id="33" w:name="ex_536705.htm"/>
      <w:bookmarkStart w:id="34" w:name="ksex_536705"/>
      <w:bookmarkEnd w:id="33"/>
      <w:bookmarkEnd w:id="34"/>
      <w:r>
        <w:rPr>
          <w:caps w:val="false"/>
          <w:smallCaps w:val="false"/>
        </w:rPr>
        <w:t>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21.1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List of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Vistastem, Inc., a California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Pherin Pharmaceuticals, Inc., a Delaware corporation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35" w:name="ex_536704.htm"/>
      <w:bookmarkStart w:id="36" w:name="ksex_536704"/>
      <w:bookmarkEnd w:id="35"/>
      <w:bookmarkEnd w:id="36"/>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hereby consent to the incorporation by reference in the Registration Statements on Form S-8 (File Nos. 333-259799, 333-234026, 333-223556 and 333-208354), Form S-3 (File Nos. 333-270232, 333-254299, 333-237968, 333-234025 and 333-215671) and Form S-1 (No. 333-237514) of Vistagen Therapeutics, Inc. of our report dated June 28, 2023, which includes an explanatory paragraph relating to Vistagen Therapeutics, Inc.’s ability to continue as a going concern, relating to the consolidated financial statements, which appears in this Annual Report on Form 10</w:t>
        <w:noBreakHyphen/>
        <w: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WithumSmith+Brown,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 Francisco,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28,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37" w:name="ex_536703.htm"/>
      <w:bookmarkStart w:id="38" w:name="ksex_536703"/>
      <w:bookmarkEnd w:id="37"/>
      <w:bookmarkEnd w:id="38"/>
      <w:r>
        <w:rPr>
          <w:caps w:val="false"/>
          <w:smallCaps w:val="false"/>
        </w:rPr>
        <w:t>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Shawn K. Singh,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Annual Report on Form 10-K of Vistagen Therapeutics, Inc., a Nevada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1715"/>
        <w:gridCol w:w="2600"/>
      </w:tblGrid>
      <w:tr>
        <w:trPr/>
        <w:tc>
          <w:tcPr>
            <w:tcW w:w="1715" w:type="dxa"/>
            <w:tcBorders/>
            <w:vAlign w:val="center"/>
          </w:tcPr>
          <w:p>
            <w:pPr>
              <w:pStyle w:val="TableContents"/>
              <w:bidi w:val="0"/>
              <w:spacing w:before="0" w:after="283"/>
              <w:jc w:val="left"/>
              <w:rPr/>
            </w:pPr>
            <w:r>
              <w:rPr/>
              <w:t>June 28, 2023      </w:t>
            </w:r>
          </w:p>
        </w:tc>
        <w:tc>
          <w:tcPr>
            <w:tcW w:w="2600" w:type="dxa"/>
            <w:tcBorders/>
            <w:vAlign w:val="center"/>
          </w:tcPr>
          <w:p>
            <w:pPr>
              <w:pStyle w:val="TableContents"/>
              <w:bidi w:val="0"/>
              <w:spacing w:before="0" w:after="283"/>
              <w:jc w:val="left"/>
              <w:rPr>
                <w:u w:val="single"/>
              </w:rPr>
            </w:pPr>
            <w:r>
              <w:rPr>
                <w:u w:val="single"/>
              </w:rPr>
              <w:t>/s/ Shawn K. Singh</w:t>
            </w:r>
          </w:p>
        </w:tc>
      </w:tr>
      <w:tr>
        <w:trPr/>
        <w:tc>
          <w:tcPr>
            <w:tcW w:w="171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Shawn K. Singh, JD</w:t>
            </w:r>
          </w:p>
        </w:tc>
      </w:tr>
      <w:tr>
        <w:trPr/>
        <w:tc>
          <w:tcPr>
            <w:tcW w:w="171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Principal Executive Officer</w:t>
            </w:r>
          </w:p>
        </w:tc>
      </w:tr>
      <w:tr>
        <w:trPr/>
        <w:tc>
          <w:tcPr>
            <w:tcW w:w="171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39" w:name="ex_536702.htm"/>
      <w:bookmarkStart w:id="40" w:name="ksex_536702"/>
      <w:bookmarkEnd w:id="39"/>
      <w:bookmarkEnd w:id="40"/>
      <w:r>
        <w:rPr>
          <w:caps w:val="false"/>
          <w:smallCaps w:val="false"/>
        </w:rPr>
        <w:t>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Jerrold D. Dotson,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Annual Report on Form 10-K of Vistagen Therapeutics, Inc., a Nevada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1430"/>
        <w:gridCol w:w="3245"/>
      </w:tblGrid>
      <w:tr>
        <w:trPr/>
        <w:tc>
          <w:tcPr>
            <w:tcW w:w="1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28, 2023      </w:t>
            </w:r>
          </w:p>
        </w:tc>
        <w:tc>
          <w:tcPr>
            <w:tcW w:w="3245" w:type="dxa"/>
            <w:tcBorders/>
            <w:vAlign w:val="center"/>
          </w:tcPr>
          <w:p>
            <w:pPr>
              <w:pStyle w:val="TableContents"/>
              <w:bidi w:val="0"/>
              <w:spacing w:before="0" w:after="283"/>
              <w:jc w:val="left"/>
              <w:rPr/>
            </w:pPr>
            <w:r>
              <w:rPr/>
              <w:t> </w:t>
            </w:r>
            <w:r>
              <w:rPr>
                <w:u w:val="single"/>
              </w:rPr>
              <w:t>/s/ Jerrold D. Dotson</w:t>
            </w:r>
          </w:p>
        </w:tc>
      </w:tr>
      <w:tr>
        <w:trPr/>
        <w:tc>
          <w:tcPr>
            <w:tcW w:w="143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Jerrold D. Dotson          </w:t>
            </w:r>
          </w:p>
        </w:tc>
      </w:tr>
      <w:tr>
        <w:trPr/>
        <w:tc>
          <w:tcPr>
            <w:tcW w:w="143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Principal Financial Officer            </w:t>
            </w:r>
          </w:p>
        </w:tc>
      </w:tr>
      <w:tr>
        <w:trPr/>
        <w:tc>
          <w:tcPr>
            <w:tcW w:w="143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41" w:name="ex_536701.htm"/>
      <w:bookmarkStart w:id="42" w:name="ksex_536701"/>
      <w:bookmarkEnd w:id="41"/>
      <w:bookmarkEnd w:id="42"/>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18 U.S.C. § 1350, as created by Section 906 of the Sarbanes-Oxley Act of 2002, the undersigned officer of Vistagen Therapeutics, Inc. (the “</w:t>
      </w:r>
      <w:r>
        <w:rPr>
          <w:rFonts w:ascii="Times New Roman" w:hAnsi="Times New Roman"/>
          <w:i/>
          <w:caps w:val="false"/>
          <w:smallCaps w:val="false"/>
          <w:sz w:val="20"/>
        </w:rPr>
        <w:t>Company</w:t>
      </w:r>
      <w:r>
        <w:rPr>
          <w:rFonts w:ascii="Times New Roman" w:hAnsi="Times New Roman"/>
          <w:caps w:val="false"/>
          <w:smallCaps w:val="false"/>
          <w:sz w:val="20"/>
        </w:rPr>
        <w:t xml:space="preserve"> ”) hereby certifies, to such officer’s knowledge,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 w:hAnsi="Times New Roman"/>
          <w:caps w:val="false"/>
          <w:smallCaps w:val="false"/>
          <w:sz w:val="20"/>
        </w:rPr>
      </w:pPr>
      <w:r>
        <w:rPr>
          <w:rFonts w:ascii="Times New Roman" w:hAnsi="Times New Roman"/>
          <w:caps w:val="false"/>
          <w:smallCaps w:val="false"/>
          <w:sz w:val="20"/>
        </w:rPr>
        <w:t>(i) the accompanying Annual Report on Form 10-K of the Company for the annual period ended March 31, 2023 (the “</w:t>
      </w:r>
      <w:r>
        <w:rPr>
          <w:rFonts w:ascii="Times New Roman" w:hAnsi="Times New Roman"/>
          <w:i/>
          <w:caps w:val="false"/>
          <w:smallCaps w:val="false"/>
          <w:sz w:val="20"/>
        </w:rPr>
        <w:t>Report</w:t>
      </w:r>
      <w:r>
        <w:rPr>
          <w:rFonts w:ascii="Times New Roman" w:hAnsi="Times New Roman"/>
          <w:caps w:val="false"/>
          <w:smallCaps w:val="false"/>
          <w:sz w:val="20"/>
        </w:rPr>
        <w:t>”) fully complies with the requirements of Section 13(a) or Section 15(d), as applicable, of the Securities Exchange Act of 1934, as amended;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 w:hAnsi="Times New Roman"/>
          <w:caps w:val="false"/>
          <w:smallCaps w:val="false"/>
          <w:sz w:val="20"/>
        </w:rPr>
      </w:pPr>
      <w:r>
        <w:rPr>
          <w:rFonts w:ascii="Times New Roman" w:hAnsi="Times New Roman"/>
          <w:caps w:val="false"/>
          <w:smallCaps w:val="false"/>
          <w:sz w:val="20"/>
        </w:rPr>
        <w:t>(ii)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28,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/s/ Shawn K. Singh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K. Singh, JD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/s/ Jerrold D. Dotson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Jerrold D. Dotson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www.sec.gov/Archives/edgar/data/1411685/000165495421005701/ex1-1.htm" TargetMode="External"/><Relationship Id="rId8" Type="http://schemas.openxmlformats.org/officeDocument/2006/relationships/hyperlink" Target="http://www.sec.gov/Archives/edgar/data/1411685/000141588911000362/ex2-1.htm" TargetMode="External"/><Relationship Id="rId9" Type="http://schemas.openxmlformats.org/officeDocument/2006/relationships/hyperlink" Target="http://www.sec.gov/Archives/edgar/data/1411685/000185173422000740/ex_458079.htm" TargetMode="External"/><Relationship Id="rId10" Type="http://schemas.openxmlformats.org/officeDocument/2006/relationships/hyperlink" Target="http://www.sec.gov/Archives/edgar/data/1411685/000141588911000445/exhibit3-1.htm" TargetMode="External"/><Relationship Id="rId11" Type="http://schemas.openxmlformats.org/officeDocument/2006/relationships/hyperlink" Target="http://www.sec.gov/Archives/edgar/data/1411685/000141588911001446/ex3-12232011_081210.htm" TargetMode="External"/><Relationship Id="rId12" Type="http://schemas.openxmlformats.org/officeDocument/2006/relationships/hyperlink" Target="http://www.sec.gov/Archives/edgar/data/1411685/000185173422000662/ex_442810.htm" TargetMode="External"/><Relationship Id="rId13" Type="http://schemas.openxmlformats.org/officeDocument/2006/relationships/hyperlink" Target="http://www.sec.gov/Archives/edgar/data/1411685/000141588915001677/ex3-1.htm" TargetMode="External"/><Relationship Id="rId14" Type="http://schemas.openxmlformats.org/officeDocument/2006/relationships/hyperlink" Target="http://www.sec.gov/Archives/edgar/data/1411685/000185173422000662/ex_442811.htm" TargetMode="External"/><Relationship Id="rId15" Type="http://schemas.openxmlformats.org/officeDocument/2006/relationships/hyperlink" Target="http://www.sec.gov/Archives/edgar/data/1411685/000141588916004564/ex3-01292016_020121.htm" TargetMode="External"/><Relationship Id="rId16" Type="http://schemas.openxmlformats.org/officeDocument/2006/relationships/hyperlink" Target="http://www.sec.gov/Archives/edgar/data/1411685/000185173422000662/ex_442812.htm" TargetMode="External"/><Relationship Id="rId17" Type="http://schemas.openxmlformats.org/officeDocument/2006/relationships/hyperlink" Target="http://www.sec.gov/Archives/edgar/data/1411685/000141588916006879/ex3-1.htm" TargetMode="External"/><Relationship Id="rId18" Type="http://schemas.openxmlformats.org/officeDocument/2006/relationships/hyperlink" Target="http://www.sec.gov/Archives/edgar/data/1411685/000141588916006879/ex3-2.htm" TargetMode="External"/><Relationship Id="rId19" Type="http://schemas.openxmlformats.org/officeDocument/2006/relationships/hyperlink" Target="http://www.sec.gov/Archives/edgar/data/1411685/000165495417008632/ex3-1.htm" TargetMode="External"/><Relationship Id="rId20" Type="http://schemas.openxmlformats.org/officeDocument/2006/relationships/hyperlink" Target="http://www.sec.gov/Archives/edgar/data/1411685/000165495419010432/ex3-1.htm" TargetMode="External"/><Relationship Id="rId21" Type="http://schemas.openxmlformats.org/officeDocument/2006/relationships/hyperlink" Target="http://www.sec.gov/Archives/edgar/data/1411685/000165495420013839/ex3-1.htm" TargetMode="External"/><Relationship Id="rId22" Type="http://schemas.openxmlformats.org/officeDocument/2006/relationships/hyperlink" Target="http://www.sec.gov/Archives/edgar/data/1411685/000185173422000662/ex_442813.htm" TargetMode="External"/><Relationship Id="rId23" Type="http://schemas.openxmlformats.org/officeDocument/2006/relationships/hyperlink" Target="http://www.sec.gov/Archives/edgar/data/1411685/000165495421002420/ex3-1.htm" TargetMode="External"/><Relationship Id="rId24" Type="http://schemas.openxmlformats.org/officeDocument/2006/relationships/hyperlink" Target="http://www.sec.gov/Archives/edgar/data/1411685/000185173422000516/ex_418416.htm" TargetMode="External"/><Relationship Id="rId25" Type="http://schemas.openxmlformats.org/officeDocument/2006/relationships/hyperlink" Target="http://www.sec.gov/Archives/edgar/data/1411685/000143774923016689/ex_530160.htm" TargetMode="External"/><Relationship Id="rId26" Type="http://schemas.openxmlformats.org/officeDocument/2006/relationships/hyperlink" Target="http://www.sec.gov/Archives/edgar/data/1411685/000141588911000362/ex10-40.htm" TargetMode="External"/><Relationship Id="rId27" Type="http://schemas.openxmlformats.org/officeDocument/2006/relationships/hyperlink" Target="http://www.sec.gov/Archives/edgar/data/1411685/000141588913001409/leasebaysidevistagen.htm" TargetMode="External"/><Relationship Id="rId28" Type="http://schemas.openxmlformats.org/officeDocument/2006/relationships/hyperlink" Target="http://www.sec.gov/Archives/edgar/data/1411685/000141588913001409/saxeindemnification.htm" TargetMode="External"/><Relationship Id="rId29" Type="http://schemas.openxmlformats.org/officeDocument/2006/relationships/hyperlink" Target="http://www.sec.gov/Archives/edgar/data/1411685/000141588913001409/singhindemnification.htm" TargetMode="External"/><Relationship Id="rId30" Type="http://schemas.openxmlformats.org/officeDocument/2006/relationships/hyperlink" Target="http://www.sec.gov/Archives/edgar/data/1411685/000141588913001409/dotsonindemnification.htm" TargetMode="External"/><Relationship Id="rId31" Type="http://schemas.openxmlformats.org/officeDocument/2006/relationships/hyperlink" Target="http://www.sec.gov/Archives/edgar/data/1411685/000141588916006331/ex10-112.htm" TargetMode="External"/><Relationship Id="rId32" Type="http://schemas.openxmlformats.org/officeDocument/2006/relationships/hyperlink" Target="http://www.sec.gov/Archives/edgar/data/1411685/000141588916006331/ex10-116.htm" TargetMode="External"/><Relationship Id="rId33" Type="http://schemas.openxmlformats.org/officeDocument/2006/relationships/hyperlink" Target="http://www.sec.gov/Archives/edgar/data/1411685/000141588916007413/ex10-1.htm" TargetMode="External"/><Relationship Id="rId34" Type="http://schemas.openxmlformats.org/officeDocument/2006/relationships/hyperlink" Target="http://www.sec.gov/Archives/edgar/data/1411685/000141588916007413/ex10-2.htm" TargetMode="External"/><Relationship Id="rId35" Type="http://schemas.openxmlformats.org/officeDocument/2006/relationships/hyperlink" Target="http://www.sec.gov/Archives/edgar/data/1411685/000165495417005976/ex10-122.htm" TargetMode="External"/><Relationship Id="rId36" Type="http://schemas.openxmlformats.org/officeDocument/2006/relationships/hyperlink" Target="http://www.sec.gov/Archives/edgar/data/1411685/000165495418010158/ex10-1.htm" TargetMode="External"/><Relationship Id="rId37" Type="http://schemas.openxmlformats.org/officeDocument/2006/relationships/hyperlink" Target="http://www.sec.gov/Archives/edgar/data/1411685/000165495418010158/ex10-2.htm" TargetMode="External"/><Relationship Id="rId38" Type="http://schemas.openxmlformats.org/officeDocument/2006/relationships/hyperlink" Target="http://www.sec.gov/Archives/edgar/data/1411685/000165495418011715/ex10-3.htm" TargetMode="External"/><Relationship Id="rId39" Type="http://schemas.openxmlformats.org/officeDocument/2006/relationships/hyperlink" Target="http://www.sec.gov/Archives/edgar/data/1411685/000165495419000496/ex10-1.htm" TargetMode="External"/><Relationship Id="rId40" Type="http://schemas.openxmlformats.org/officeDocument/2006/relationships/hyperlink" Target="http://www.sec.gov/Archives/edgar/data/1411685/000165495419007632/ex10-138.htm" TargetMode="External"/><Relationship Id="rId41" Type="http://schemas.openxmlformats.org/officeDocument/2006/relationships/hyperlink" Target="http://www.sec.gov/Archives/edgar/data/1411685/000165495419008434/def14a_july262019.htm" TargetMode="External"/><Relationship Id="rId42" Type="http://schemas.openxmlformats.org/officeDocument/2006/relationships/hyperlink" Target="http://www.sec.gov/Archives/edgar/data/1411685/000165495419008434/def14a_july262019.htm" TargetMode="External"/><Relationship Id="rId43" Type="http://schemas.openxmlformats.org/officeDocument/2006/relationships/hyperlink" Target="http://www.sec.gov/Archives/edgar/data/1411685/000165495420000744/ex10-1.htm" TargetMode="External"/><Relationship Id="rId44" Type="http://schemas.openxmlformats.org/officeDocument/2006/relationships/hyperlink" Target="http://www.sec.gov/Archives/edgar/data/1411685/000165495420000744/ex10-2.htm" TargetMode="External"/><Relationship Id="rId45" Type="http://schemas.openxmlformats.org/officeDocument/2006/relationships/hyperlink" Target="http://www.sec.gov/Archives/edgar/data/1411685/000165495420007024/ex10-1.htm" TargetMode="External"/><Relationship Id="rId46" Type="http://schemas.openxmlformats.org/officeDocument/2006/relationships/hyperlink" Target="http://www.sec.gov/Archives/edgar/data/1411685/000165495421004680/ex10-1.htm" TargetMode="External"/><Relationship Id="rId47" Type="http://schemas.openxmlformats.org/officeDocument/2006/relationships/hyperlink" Target="http://www.sec.gov/Archives/edgar/data/1411685/000165495421007757/ex10-1.htm" TargetMode="External"/><Relationship Id="rId48" Type="http://schemas.openxmlformats.org/officeDocument/2006/relationships/hyperlink" Target="http://www.sec.gov/Archives/edgar/data/1411685/000165495421008125/ex10-1.htm" TargetMode="External"/><Relationship Id="rId49" Type="http://schemas.openxmlformats.org/officeDocument/2006/relationships/hyperlink" Target="http://www.sec.gov/Archives/edgar/data/1411685/000143774921026161/ex_296584.htm" TargetMode="External"/><Relationship Id="rId50" Type="http://schemas.openxmlformats.org/officeDocument/2006/relationships/hyperlink" Target="http://www.sec.gov/Archives/edgar/data/1411685/000185173422000432/ex_406949.htm" TargetMode="External"/><Relationship Id="rId51" Type="http://schemas.openxmlformats.org/officeDocument/2006/relationships/hyperlink" Target="http://www.sec.gov/Archives/edgar/data/1411685/000185173422000662/ex_445594.htm" TargetMode="External"/><Relationship Id="rId52" Type="http://schemas.openxmlformats.org/officeDocument/2006/relationships/hyperlink" Target="http://www.sec.gov/Archives/edgar/data/1411685/000185173422000662/ex_445595.htm" TargetMode="External"/><Relationship Id="rId53" Type="http://schemas.openxmlformats.org/officeDocument/2006/relationships/hyperlink" Target="http://www.sec.gov/Archives/edgar/data/1411685/000185173423000035/ex_470766.htm" TargetMode="External"/><Relationship Id="rId54" Type="http://schemas.openxmlformats.org/officeDocument/2006/relationships/hyperlink" Target="http://www.sec.gov/Archives/edgar/data/1411685/000185173422000662/ex_445596.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102590</Words>
  <Characters>574549</Characters>
  <CharactersWithSpaces>680573</CharactersWithSpaces>
  <Paragraphs>10826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