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77" w:lineRule="exact"/>
        <w:rPr>
          <w:sz w:val="24"/>
          <w:szCs w:val="24"/>
          <w:color w:val="auto"/>
        </w:rPr>
      </w:pPr>
    </w:p>
    <w:tbl>
      <w:tblPr>
        <w:tblLayout w:type="fixed"/>
        <w:tblInd w:w="860" w:type="dxa"/>
        <w:tblCellMar>
          <w:top w:w="0" w:type="dxa"/>
          <w:left w:w="0" w:type="dxa"/>
          <w:bottom w:w="0" w:type="dxa"/>
          <w:right w:w="0" w:type="dxa"/>
        </w:tblCellMar>
      </w:tblPr>
      <w:tr>
        <w:trPr>
          <w:trHeight w:val="195"/>
        </w:trPr>
        <w:tc>
          <w:tcPr>
            <w:tcW w:w="2220" w:type="dxa"/>
            <w:vAlign w:val="bottom"/>
          </w:tcPr>
          <w:p>
            <w:pPr>
              <w:spacing w:after="0"/>
              <w:rPr>
                <w:sz w:val="17"/>
                <w:szCs w:val="17"/>
                <w:color w:val="auto"/>
              </w:rPr>
            </w:pPr>
          </w:p>
        </w:tc>
        <w:tc>
          <w:tcPr>
            <w:tcW w:w="51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Date of Report (Date of earliest event reported): January 8, 2024</w:t>
            </w:r>
          </w:p>
        </w:tc>
        <w:tc>
          <w:tcPr>
            <w:tcW w:w="1880" w:type="dxa"/>
            <w:vAlign w:val="bottom"/>
          </w:tcPr>
          <w:p>
            <w:pPr>
              <w:spacing w:after="0"/>
              <w:rPr>
                <w:sz w:val="17"/>
                <w:szCs w:val="17"/>
                <w:color w:val="auto"/>
              </w:rPr>
            </w:pPr>
          </w:p>
        </w:tc>
      </w:tr>
      <w:tr>
        <w:trPr>
          <w:trHeight w:val="401"/>
        </w:trPr>
        <w:tc>
          <w:tcPr>
            <w:tcW w:w="2220" w:type="dxa"/>
            <w:vAlign w:val="bottom"/>
          </w:tcPr>
          <w:p>
            <w:pPr>
              <w:spacing w:after="0"/>
              <w:rPr>
                <w:sz w:val="24"/>
                <w:szCs w:val="24"/>
                <w:color w:val="auto"/>
              </w:rPr>
            </w:pPr>
          </w:p>
        </w:tc>
        <w:tc>
          <w:tcPr>
            <w:tcW w:w="3720" w:type="dxa"/>
            <w:vAlign w:val="bottom"/>
          </w:tcPr>
          <w:p>
            <w:pPr>
              <w:jc w:val="center"/>
              <w:ind w:left="1276"/>
              <w:spacing w:after="0"/>
              <w:rPr>
                <w:sz w:val="20"/>
                <w:szCs w:val="20"/>
                <w:color w:val="auto"/>
              </w:rPr>
            </w:pPr>
            <w:r>
              <w:rPr>
                <w:rFonts w:ascii="Times New Roman" w:cs="Times New Roman" w:eastAsia="Times New Roman" w:hAnsi="Times New Roman"/>
                <w:sz w:val="17"/>
                <w:szCs w:val="17"/>
                <w:b w:val="1"/>
                <w:bCs w:val="1"/>
                <w:color w:val="auto"/>
                <w:w w:val="98"/>
              </w:rPr>
              <w:t>Vistagen Therapeutics, Inc.</w:t>
            </w:r>
          </w:p>
        </w:tc>
        <w:tc>
          <w:tcPr>
            <w:tcW w:w="11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22"/>
        </w:trPr>
        <w:tc>
          <w:tcPr>
            <w:tcW w:w="2220" w:type="dxa"/>
            <w:vAlign w:val="bottom"/>
          </w:tcPr>
          <w:p>
            <w:pPr>
              <w:spacing w:after="0"/>
              <w:rPr>
                <w:sz w:val="19"/>
                <w:szCs w:val="19"/>
                <w:color w:val="auto"/>
              </w:rPr>
            </w:pPr>
          </w:p>
        </w:tc>
        <w:tc>
          <w:tcPr>
            <w:tcW w:w="51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i w:val="1"/>
                <w:iCs w:val="1"/>
                <w:color w:val="auto"/>
                <w:w w:val="98"/>
              </w:rPr>
              <w:t>(Exact name of registrant as specified in its charter)</w:t>
            </w:r>
          </w:p>
        </w:tc>
        <w:tc>
          <w:tcPr>
            <w:tcW w:w="1880" w:type="dxa"/>
            <w:vAlign w:val="bottom"/>
          </w:tcPr>
          <w:p>
            <w:pPr>
              <w:spacing w:after="0"/>
              <w:rPr>
                <w:sz w:val="19"/>
                <w:szCs w:val="19"/>
                <w:color w:val="auto"/>
              </w:rPr>
            </w:pPr>
          </w:p>
        </w:tc>
      </w:tr>
      <w:tr>
        <w:trPr>
          <w:trHeight w:val="383"/>
        </w:trPr>
        <w:tc>
          <w:tcPr>
            <w:tcW w:w="2220" w:type="dxa"/>
            <w:vAlign w:val="bottom"/>
          </w:tcPr>
          <w:p>
            <w:pPr>
              <w:jc w:val="center"/>
              <w:ind w:right="116"/>
              <w:spacing w:after="0"/>
              <w:rPr>
                <w:sz w:val="20"/>
                <w:szCs w:val="20"/>
                <w:color w:val="auto"/>
              </w:rPr>
            </w:pPr>
            <w:r>
              <w:rPr>
                <w:rFonts w:ascii="Times New Roman" w:cs="Times New Roman" w:eastAsia="Times New Roman" w:hAnsi="Times New Roman"/>
                <w:sz w:val="17"/>
                <w:szCs w:val="17"/>
                <w:b w:val="1"/>
                <w:bCs w:val="1"/>
                <w:color w:val="auto"/>
                <w:w w:val="96"/>
              </w:rPr>
              <w:t>NEVADA</w:t>
            </w:r>
          </w:p>
        </w:tc>
        <w:tc>
          <w:tcPr>
            <w:tcW w:w="3720" w:type="dxa"/>
            <w:vAlign w:val="bottom"/>
          </w:tcPr>
          <w:p>
            <w:pPr>
              <w:jc w:val="center"/>
              <w:ind w:left="1276"/>
              <w:spacing w:after="0"/>
              <w:rPr>
                <w:sz w:val="20"/>
                <w:szCs w:val="20"/>
                <w:color w:val="auto"/>
              </w:rPr>
            </w:pPr>
            <w:r>
              <w:rPr>
                <w:rFonts w:ascii="Times New Roman" w:cs="Times New Roman" w:eastAsia="Times New Roman" w:hAnsi="Times New Roman"/>
                <w:sz w:val="17"/>
                <w:szCs w:val="17"/>
                <w:b w:val="1"/>
                <w:bCs w:val="1"/>
                <w:color w:val="auto"/>
                <w:w w:val="97"/>
              </w:rPr>
              <w:t>000-54014</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jc w:val="center"/>
              <w:ind w:left="256"/>
              <w:spacing w:after="0"/>
              <w:rPr>
                <w:sz w:val="20"/>
                <w:szCs w:val="20"/>
                <w:color w:val="auto"/>
              </w:rPr>
            </w:pPr>
            <w:r>
              <w:rPr>
                <w:rFonts w:ascii="Times New Roman" w:cs="Times New Roman" w:eastAsia="Times New Roman" w:hAnsi="Times New Roman"/>
                <w:sz w:val="17"/>
                <w:szCs w:val="17"/>
                <w:b w:val="1"/>
                <w:bCs w:val="1"/>
                <w:color w:val="auto"/>
                <w:w w:val="99"/>
              </w:rPr>
              <w:t>20-5093315</w:t>
            </w:r>
          </w:p>
        </w:tc>
      </w:tr>
      <w:tr>
        <w:trPr>
          <w:trHeight w:val="202"/>
        </w:trPr>
        <w:tc>
          <w:tcPr>
            <w:tcW w:w="2220" w:type="dxa"/>
            <w:vAlign w:val="bottom"/>
          </w:tcPr>
          <w:p>
            <w:pPr>
              <w:jc w:val="center"/>
              <w:ind w:right="156"/>
              <w:spacing w:after="0"/>
              <w:rPr>
                <w:sz w:val="20"/>
                <w:szCs w:val="20"/>
                <w:color w:val="auto"/>
              </w:rPr>
            </w:pPr>
            <w:r>
              <w:rPr>
                <w:rFonts w:ascii="Times New Roman" w:cs="Times New Roman" w:eastAsia="Times New Roman" w:hAnsi="Times New Roman"/>
                <w:sz w:val="17"/>
                <w:szCs w:val="17"/>
                <w:i w:val="1"/>
                <w:iCs w:val="1"/>
                <w:color w:val="auto"/>
                <w:w w:val="99"/>
              </w:rPr>
              <w:t>(State or other jurisdiction of</w:t>
            </w:r>
          </w:p>
        </w:tc>
        <w:tc>
          <w:tcPr>
            <w:tcW w:w="51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i w:val="1"/>
                <w:iCs w:val="1"/>
                <w:color w:val="auto"/>
                <w:w w:val="98"/>
              </w:rPr>
              <w:t>(Commission File Number)</w:t>
            </w:r>
          </w:p>
        </w:tc>
        <w:tc>
          <w:tcPr>
            <w:tcW w:w="1880" w:type="dxa"/>
            <w:vAlign w:val="bottom"/>
          </w:tcPr>
          <w:p>
            <w:pPr>
              <w:jc w:val="center"/>
              <w:ind w:left="216"/>
              <w:spacing w:after="0"/>
              <w:rPr>
                <w:sz w:val="20"/>
                <w:szCs w:val="20"/>
                <w:color w:val="auto"/>
              </w:rPr>
            </w:pPr>
            <w:r>
              <w:rPr>
                <w:rFonts w:ascii="Times New Roman" w:cs="Times New Roman" w:eastAsia="Times New Roman" w:hAnsi="Times New Roman"/>
                <w:sz w:val="17"/>
                <w:szCs w:val="17"/>
                <w:i w:val="1"/>
                <w:iCs w:val="1"/>
                <w:color w:val="auto"/>
                <w:w w:val="97"/>
              </w:rPr>
              <w:t>(IRS Employer</w:t>
            </w:r>
          </w:p>
        </w:tc>
      </w:tr>
      <w:tr>
        <w:trPr>
          <w:trHeight w:val="222"/>
        </w:trPr>
        <w:tc>
          <w:tcPr>
            <w:tcW w:w="2220" w:type="dxa"/>
            <w:vAlign w:val="bottom"/>
          </w:tcPr>
          <w:p>
            <w:pPr>
              <w:jc w:val="center"/>
              <w:ind w:right="116"/>
              <w:spacing w:after="0"/>
              <w:rPr>
                <w:sz w:val="20"/>
                <w:szCs w:val="20"/>
                <w:color w:val="auto"/>
              </w:rPr>
            </w:pPr>
            <w:r>
              <w:rPr>
                <w:rFonts w:ascii="Times New Roman" w:cs="Times New Roman" w:eastAsia="Times New Roman" w:hAnsi="Times New Roman"/>
                <w:sz w:val="17"/>
                <w:szCs w:val="17"/>
                <w:i w:val="1"/>
                <w:iCs w:val="1"/>
                <w:color w:val="auto"/>
                <w:w w:val="97"/>
              </w:rPr>
              <w:t>incorporation)</w:t>
            </w:r>
          </w:p>
        </w:tc>
        <w:tc>
          <w:tcPr>
            <w:tcW w:w="3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jc w:val="center"/>
              <w:ind w:left="256"/>
              <w:spacing w:after="0"/>
              <w:rPr>
                <w:sz w:val="20"/>
                <w:szCs w:val="20"/>
                <w:color w:val="auto"/>
              </w:rPr>
            </w:pPr>
            <w:r>
              <w:rPr>
                <w:rFonts w:ascii="Times New Roman" w:cs="Times New Roman" w:eastAsia="Times New Roman" w:hAnsi="Times New Roman"/>
                <w:sz w:val="17"/>
                <w:szCs w:val="17"/>
                <w:i w:val="1"/>
                <w:iCs w:val="1"/>
                <w:color w:val="auto"/>
                <w:w w:val="98"/>
              </w:rPr>
              <w:t>Identification Number)</w:t>
            </w:r>
          </w:p>
        </w:tc>
      </w:tr>
      <w:tr>
        <w:trPr>
          <w:trHeight w:val="383"/>
        </w:trPr>
        <w:tc>
          <w:tcPr>
            <w:tcW w:w="2220" w:type="dxa"/>
            <w:vAlign w:val="bottom"/>
          </w:tcPr>
          <w:p>
            <w:pPr>
              <w:spacing w:after="0"/>
              <w:rPr>
                <w:sz w:val="24"/>
                <w:szCs w:val="24"/>
                <w:color w:val="auto"/>
              </w:rPr>
            </w:pPr>
          </w:p>
        </w:tc>
        <w:tc>
          <w:tcPr>
            <w:tcW w:w="51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343 Allerton Ave.</w:t>
            </w:r>
          </w:p>
        </w:tc>
        <w:tc>
          <w:tcPr>
            <w:tcW w:w="1880" w:type="dxa"/>
            <w:vAlign w:val="bottom"/>
          </w:tcPr>
          <w:p>
            <w:pPr>
              <w:spacing w:after="0"/>
              <w:rPr>
                <w:sz w:val="24"/>
                <w:szCs w:val="24"/>
                <w:color w:val="auto"/>
              </w:rPr>
            </w:pPr>
          </w:p>
        </w:tc>
      </w:tr>
      <w:tr>
        <w:trPr>
          <w:trHeight w:val="202"/>
        </w:trPr>
        <w:tc>
          <w:tcPr>
            <w:tcW w:w="2220" w:type="dxa"/>
            <w:vAlign w:val="bottom"/>
          </w:tcPr>
          <w:p>
            <w:pPr>
              <w:spacing w:after="0"/>
              <w:rPr>
                <w:sz w:val="17"/>
                <w:szCs w:val="17"/>
                <w:color w:val="auto"/>
              </w:rPr>
            </w:pPr>
          </w:p>
        </w:tc>
        <w:tc>
          <w:tcPr>
            <w:tcW w:w="51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South San Francisco, California 94090</w:t>
            </w:r>
          </w:p>
        </w:tc>
        <w:tc>
          <w:tcPr>
            <w:tcW w:w="1880" w:type="dxa"/>
            <w:vAlign w:val="bottom"/>
          </w:tcPr>
          <w:p>
            <w:pPr>
              <w:spacing w:after="0"/>
              <w:rPr>
                <w:sz w:val="17"/>
                <w:szCs w:val="17"/>
                <w:color w:val="auto"/>
              </w:rPr>
            </w:pPr>
          </w:p>
        </w:tc>
      </w:tr>
      <w:tr>
        <w:trPr>
          <w:trHeight w:val="222"/>
        </w:trPr>
        <w:tc>
          <w:tcPr>
            <w:tcW w:w="2220" w:type="dxa"/>
            <w:vAlign w:val="bottom"/>
          </w:tcPr>
          <w:p>
            <w:pPr>
              <w:spacing w:after="0"/>
              <w:rPr>
                <w:sz w:val="19"/>
                <w:szCs w:val="19"/>
                <w:color w:val="auto"/>
              </w:rPr>
            </w:pPr>
          </w:p>
        </w:tc>
        <w:tc>
          <w:tcPr>
            <w:tcW w:w="518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i w:val="1"/>
                <w:iCs w:val="1"/>
                <w:color w:val="auto"/>
                <w:w w:val="98"/>
              </w:rPr>
              <w:t>(Address of principal executive offices)</w:t>
            </w:r>
          </w:p>
        </w:tc>
        <w:tc>
          <w:tcPr>
            <w:tcW w:w="1880" w:type="dxa"/>
            <w:vAlign w:val="bottom"/>
          </w:tcPr>
          <w:p>
            <w:pPr>
              <w:spacing w:after="0"/>
              <w:rPr>
                <w:sz w:val="19"/>
                <w:szCs w:val="19"/>
                <w:color w:val="auto"/>
              </w:rPr>
            </w:pPr>
          </w:p>
        </w:tc>
      </w:tr>
      <w:tr>
        <w:trPr>
          <w:trHeight w:val="383"/>
        </w:trPr>
        <w:tc>
          <w:tcPr>
            <w:tcW w:w="2220" w:type="dxa"/>
            <w:vAlign w:val="bottom"/>
          </w:tcPr>
          <w:p>
            <w:pPr>
              <w:spacing w:after="0"/>
              <w:rPr>
                <w:sz w:val="24"/>
                <w:szCs w:val="24"/>
                <w:color w:val="auto"/>
              </w:rPr>
            </w:pPr>
          </w:p>
        </w:tc>
        <w:tc>
          <w:tcPr>
            <w:tcW w:w="3720" w:type="dxa"/>
            <w:vAlign w:val="bottom"/>
          </w:tcPr>
          <w:p>
            <w:pPr>
              <w:jc w:val="center"/>
              <w:ind w:left="1276"/>
              <w:spacing w:after="0"/>
              <w:rPr>
                <w:sz w:val="20"/>
                <w:szCs w:val="20"/>
                <w:color w:val="auto"/>
              </w:rPr>
            </w:pPr>
            <w:r>
              <w:rPr>
                <w:rFonts w:ascii="Times New Roman" w:cs="Times New Roman" w:eastAsia="Times New Roman" w:hAnsi="Times New Roman"/>
                <w:sz w:val="17"/>
                <w:szCs w:val="17"/>
                <w:b w:val="1"/>
                <w:bCs w:val="1"/>
                <w:color w:val="auto"/>
                <w:w w:val="97"/>
              </w:rPr>
              <w:t>(650) 577-3600</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22"/>
        </w:trPr>
        <w:tc>
          <w:tcPr>
            <w:tcW w:w="2220" w:type="dxa"/>
            <w:vAlign w:val="bottom"/>
          </w:tcPr>
          <w:p>
            <w:pPr>
              <w:spacing w:after="0"/>
              <w:rPr>
                <w:sz w:val="19"/>
                <w:szCs w:val="19"/>
                <w:color w:val="auto"/>
              </w:rPr>
            </w:pPr>
          </w:p>
        </w:tc>
        <w:tc>
          <w:tcPr>
            <w:tcW w:w="518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i w:val="1"/>
                <w:iCs w:val="1"/>
                <w:color w:val="auto"/>
                <w:w w:val="97"/>
              </w:rPr>
              <w:t>(Registrant</w:t>
            </w:r>
            <w:r>
              <w:rPr>
                <w:rFonts w:ascii="Times New Roman" w:cs="Times New Roman" w:eastAsia="Times New Roman" w:hAnsi="Times New Roman"/>
                <w:sz w:val="17"/>
                <w:szCs w:val="17"/>
                <w:color w:val="auto"/>
                <w:w w:val="97"/>
              </w:rPr>
              <w:t>’</w:t>
            </w:r>
            <w:r>
              <w:rPr>
                <w:rFonts w:ascii="Times New Roman" w:cs="Times New Roman" w:eastAsia="Times New Roman" w:hAnsi="Times New Roman"/>
                <w:sz w:val="17"/>
                <w:szCs w:val="17"/>
                <w:i w:val="1"/>
                <w:iCs w:val="1"/>
                <w:color w:val="auto"/>
                <w:w w:val="97"/>
              </w:rPr>
              <w:t>s telephone number, including area code)</w:t>
            </w:r>
          </w:p>
        </w:tc>
        <w:tc>
          <w:tcPr>
            <w:tcW w:w="1880" w:type="dxa"/>
            <w:vAlign w:val="bottom"/>
          </w:tcPr>
          <w:p>
            <w:pPr>
              <w:spacing w:after="0"/>
              <w:rPr>
                <w:sz w:val="19"/>
                <w:szCs w:val="19"/>
                <w:color w:val="auto"/>
              </w:rPr>
            </w:pPr>
          </w:p>
        </w:tc>
      </w:tr>
      <w:tr>
        <w:trPr>
          <w:trHeight w:val="383"/>
        </w:trPr>
        <w:tc>
          <w:tcPr>
            <w:tcW w:w="2220" w:type="dxa"/>
            <w:vAlign w:val="bottom"/>
          </w:tcPr>
          <w:p>
            <w:pPr>
              <w:spacing w:after="0"/>
              <w:rPr>
                <w:sz w:val="24"/>
                <w:szCs w:val="24"/>
                <w:color w:val="auto"/>
              </w:rPr>
            </w:pPr>
          </w:p>
        </w:tc>
        <w:tc>
          <w:tcPr>
            <w:tcW w:w="51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Not Applicable</w:t>
            </w:r>
          </w:p>
        </w:tc>
        <w:tc>
          <w:tcPr>
            <w:tcW w:w="1880" w:type="dxa"/>
            <w:vAlign w:val="bottom"/>
          </w:tcPr>
          <w:p>
            <w:pPr>
              <w:spacing w:after="0"/>
              <w:rPr>
                <w:sz w:val="24"/>
                <w:szCs w:val="24"/>
                <w:color w:val="auto"/>
              </w:rPr>
            </w:pPr>
          </w:p>
        </w:tc>
      </w:tr>
      <w:tr>
        <w:trPr>
          <w:trHeight w:val="222"/>
        </w:trPr>
        <w:tc>
          <w:tcPr>
            <w:tcW w:w="2220" w:type="dxa"/>
            <w:vAlign w:val="bottom"/>
          </w:tcPr>
          <w:p>
            <w:pPr>
              <w:spacing w:after="0"/>
              <w:rPr>
                <w:sz w:val="19"/>
                <w:szCs w:val="19"/>
                <w:color w:val="auto"/>
              </w:rPr>
            </w:pPr>
          </w:p>
        </w:tc>
        <w:tc>
          <w:tcPr>
            <w:tcW w:w="51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i w:val="1"/>
                <w:iCs w:val="1"/>
                <w:color w:val="auto"/>
                <w:w w:val="98"/>
              </w:rPr>
              <w:t>(Former name or former address, if changed since last report)</w:t>
            </w:r>
          </w:p>
        </w:tc>
        <w:tc>
          <w:tcPr>
            <w:tcW w:w="1880" w:type="dxa"/>
            <w:vAlign w:val="bottom"/>
          </w:tcPr>
          <w:p>
            <w:pPr>
              <w:spacing w:after="0"/>
              <w:rPr>
                <w:sz w:val="19"/>
                <w:szCs w:val="19"/>
                <w:color w:val="auto"/>
              </w:rPr>
            </w:pPr>
          </w:p>
        </w:tc>
      </w:tr>
    </w:tbl>
    <w:p>
      <w:pPr>
        <w:spacing w:after="0" w:line="186" w:lineRule="exact"/>
        <w:rPr>
          <w:sz w:val="24"/>
          <w:szCs w:val="24"/>
          <w:color w:val="auto"/>
        </w:rPr>
      </w:pPr>
    </w:p>
    <w:p>
      <w:pPr>
        <w:ind w:right="700"/>
        <w:spacing w:after="0" w:line="274"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59" w:lineRule="exact"/>
        <w:rPr>
          <w:sz w:val="24"/>
          <w:szCs w:val="24"/>
          <w:color w:val="auto"/>
        </w:rPr>
      </w:pPr>
    </w:p>
    <w:p>
      <w:pPr>
        <w:ind w:left="200" w:hanging="199"/>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07" w:lineRule="exact"/>
        <w:rPr>
          <w:rFonts w:ascii="MS PGothic" w:cs="MS PGothic" w:eastAsia="MS PGothic" w:hAnsi="MS PGothic"/>
          <w:sz w:val="17"/>
          <w:szCs w:val="17"/>
          <w:color w:val="auto"/>
        </w:rPr>
      </w:pPr>
    </w:p>
    <w:p>
      <w:pPr>
        <w:ind w:left="200" w:hanging="199"/>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 -12)</w:t>
      </w:r>
    </w:p>
    <w:p>
      <w:pPr>
        <w:spacing w:after="0" w:line="207" w:lineRule="exact"/>
        <w:rPr>
          <w:rFonts w:ascii="MS PGothic" w:cs="MS PGothic" w:eastAsia="MS PGothic" w:hAnsi="MS PGothic"/>
          <w:sz w:val="17"/>
          <w:szCs w:val="17"/>
          <w:color w:val="auto"/>
        </w:rPr>
      </w:pPr>
    </w:p>
    <w:p>
      <w:pPr>
        <w:ind w:left="200" w:hanging="199"/>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 -2(b))</w:t>
      </w:r>
    </w:p>
    <w:p>
      <w:pPr>
        <w:spacing w:after="0" w:line="207" w:lineRule="exact"/>
        <w:rPr>
          <w:rFonts w:ascii="MS PGothic" w:cs="MS PGothic" w:eastAsia="MS PGothic" w:hAnsi="MS PGothic"/>
          <w:sz w:val="17"/>
          <w:szCs w:val="17"/>
          <w:color w:val="auto"/>
        </w:rPr>
      </w:pPr>
    </w:p>
    <w:p>
      <w:pPr>
        <w:ind w:right="3500" w:firstLine="1"/>
        <w:spacing w:after="0" w:line="495" w:lineRule="auto"/>
        <w:tabs>
          <w:tab w:leader="none" w:pos="193"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 -4(c))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Title of each class</w:t>
            </w:r>
          </w:p>
        </w:tc>
        <w:tc>
          <w:tcPr>
            <w:tcW w:w="254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7"/>
                <w:szCs w:val="17"/>
                <w:color w:val="auto"/>
                <w:w w:val="99"/>
              </w:rPr>
              <w:t>Trading Symbol(s)</w:t>
            </w:r>
          </w:p>
        </w:tc>
        <w:tc>
          <w:tcPr>
            <w:tcW w:w="47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7"/>
                <w:szCs w:val="17"/>
                <w:color w:val="auto"/>
                <w:w w:val="98"/>
              </w:rPr>
              <w:t>Name of each exchange on which registered</w:t>
            </w:r>
          </w:p>
        </w:tc>
      </w:tr>
      <w:tr>
        <w:trPr>
          <w:trHeight w:val="211"/>
        </w:trPr>
        <w:tc>
          <w:tcPr>
            <w:tcW w:w="3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Common Stock, par value $0.001 per share</w:t>
            </w:r>
          </w:p>
        </w:tc>
        <w:tc>
          <w:tcPr>
            <w:tcW w:w="2540" w:type="dxa"/>
            <w:vAlign w:val="bottom"/>
          </w:tcPr>
          <w:p>
            <w:pPr>
              <w:jc w:val="center"/>
              <w:ind w:right="196"/>
              <w:spacing w:after="0"/>
              <w:rPr>
                <w:sz w:val="20"/>
                <w:szCs w:val="20"/>
                <w:color w:val="auto"/>
              </w:rPr>
            </w:pPr>
            <w:r>
              <w:rPr>
                <w:rFonts w:ascii="Times New Roman" w:cs="Times New Roman" w:eastAsia="Times New Roman" w:hAnsi="Times New Roman"/>
                <w:sz w:val="17"/>
                <w:szCs w:val="17"/>
                <w:color w:val="auto"/>
                <w:w w:val="97"/>
              </w:rPr>
              <w:t>VTGN</w:t>
            </w:r>
          </w:p>
        </w:tc>
        <w:tc>
          <w:tcPr>
            <w:tcW w:w="4780" w:type="dxa"/>
            <w:vAlign w:val="bottom"/>
          </w:tcPr>
          <w:p>
            <w:pPr>
              <w:jc w:val="center"/>
              <w:ind w:right="176"/>
              <w:spacing w:after="0"/>
              <w:rPr>
                <w:sz w:val="20"/>
                <w:szCs w:val="20"/>
                <w:color w:val="auto"/>
              </w:rPr>
            </w:pPr>
            <w:r>
              <w:rPr>
                <w:rFonts w:ascii="Times New Roman" w:cs="Times New Roman" w:eastAsia="Times New Roman" w:hAnsi="Times New Roman"/>
                <w:sz w:val="17"/>
                <w:szCs w:val="17"/>
                <w:color w:val="auto"/>
                <w:w w:val="98"/>
              </w:rPr>
              <w:t>Nasdaq Capital Market</w:t>
            </w:r>
          </w:p>
        </w:tc>
      </w:tr>
    </w:tbl>
    <w:p>
      <w:pPr>
        <w:spacing w:after="0" w:line="169" w:lineRule="exact"/>
        <w:rPr>
          <w:sz w:val="24"/>
          <w:szCs w:val="24"/>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914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58"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320675</wp:posOffset>
            </wp:positionV>
            <wp:extent cx="714121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7.01 Regulation FD Disclosure.</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On January 8, 2024, Vistagen Therapeutics, Inc. began utilizing a new corporate presentation, a copy of which is attached to this Current Report on Form 8-K as Exhibit 99.1.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Disclaimer.</w:t>
      </w:r>
    </w:p>
    <w:p>
      <w:pPr>
        <w:spacing w:after="0" w:line="212" w:lineRule="exact"/>
        <w:rPr>
          <w:sz w:val="20"/>
          <w:szCs w:val="20"/>
          <w:color w:val="auto"/>
        </w:rPr>
      </w:pPr>
    </w:p>
    <w:p>
      <w:pPr>
        <w:jc w:val="both"/>
        <w:ind w:firstLine="605"/>
        <w:spacing w:after="0" w:line="285" w:lineRule="auto"/>
        <w:rPr>
          <w:sz w:val="20"/>
          <w:szCs w:val="20"/>
          <w:color w:val="auto"/>
        </w:rPr>
      </w:pPr>
      <w:r>
        <w:rPr>
          <w:rFonts w:ascii="Times New Roman" w:cs="Times New Roman" w:eastAsia="Times New Roman" w:hAnsi="Times New Roman"/>
          <w:sz w:val="16"/>
          <w:szCs w:val="16"/>
          <w:color w:val="auto"/>
        </w:rPr>
        <w:t>The information in this Current Report on Form 8-K, including the information set forth in Exhibit 99.1, is being furnished and shall not be deemed “filed” for purposes of Section 18 of the Securities Exchange Act of 1934, as amended (the “</w:t>
      </w:r>
      <w:r>
        <w:rPr>
          <w:rFonts w:ascii="Times New Roman" w:cs="Times New Roman" w:eastAsia="Times New Roman" w:hAnsi="Times New Roman"/>
          <w:sz w:val="16"/>
          <w:szCs w:val="16"/>
          <w:i w:val="1"/>
          <w:iCs w:val="1"/>
          <w:color w:val="auto"/>
        </w:rPr>
        <w:t>Exchange Act</w:t>
      </w:r>
      <w:r>
        <w:rPr>
          <w:rFonts w:ascii="Times New Roman" w:cs="Times New Roman" w:eastAsia="Times New Roman" w:hAnsi="Times New Roman"/>
          <w:sz w:val="16"/>
          <w:szCs w:val="16"/>
          <w:color w:val="auto"/>
        </w:rPr>
        <w:t>”), nor shall Exhibit 99.1 filed herewith be deemed incorporated by reference in any filing under the Securities Act of 1933, as amended, or the Exchange Act, except as shall be expressly set forth by specific reference in such a filing.</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 Exhibits Index</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220" w:type="dxa"/>
            <w:vAlign w:val="bottom"/>
          </w:tcPr>
          <w:p>
            <w:pPr>
              <w:spacing w:after="0"/>
              <w:rPr>
                <w:sz w:val="19"/>
                <w:szCs w:val="19"/>
                <w:color w:val="auto"/>
              </w:rPr>
            </w:pPr>
          </w:p>
        </w:tc>
        <w:tc>
          <w:tcPr>
            <w:tcW w:w="9780" w:type="dxa"/>
            <w:vAlign w:val="bottom"/>
            <w:tcBorders>
              <w:bottom w:val="single" w:sz="8" w:color="auto"/>
            </w:tcBorders>
            <w:gridSpan w:val="2"/>
          </w:tcPr>
          <w:p>
            <w:pPr>
              <w:ind w:left="448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57"/>
        </w:trPr>
        <w:tc>
          <w:tcPr>
            <w:tcW w:w="1240" w:type="dxa"/>
            <w:vAlign w:val="bottom"/>
          </w:tcPr>
          <w:p>
            <w:pPr>
              <w:jc w:val="right"/>
              <w:ind w:right="376"/>
              <w:spacing w:after="0" w:line="157" w:lineRule="exact"/>
              <w:rPr>
                <w:sz w:val="20"/>
                <w:szCs w:val="20"/>
                <w:color w:val="auto"/>
              </w:rPr>
            </w:pPr>
            <w:r>
              <w:rPr>
                <w:rFonts w:ascii="Times New Roman" w:cs="Times New Roman" w:eastAsia="Times New Roman" w:hAnsi="Times New Roman"/>
                <w:sz w:val="17"/>
                <w:szCs w:val="17"/>
                <w:color w:val="auto"/>
              </w:rPr>
              <w:t>99.1</w:t>
            </w:r>
          </w:p>
        </w:tc>
        <w:tc>
          <w:tcPr>
            <w:tcW w:w="220" w:type="dxa"/>
            <w:vAlign w:val="bottom"/>
          </w:tcPr>
          <w:p>
            <w:pPr>
              <w:spacing w:after="0"/>
              <w:rPr>
                <w:sz w:val="13"/>
                <w:szCs w:val="13"/>
                <w:color w:val="auto"/>
              </w:rPr>
            </w:pPr>
          </w:p>
        </w:tc>
        <w:tc>
          <w:tcPr>
            <w:tcW w:w="9780" w:type="dxa"/>
            <w:vAlign w:val="bottom"/>
            <w:gridSpan w:val="2"/>
          </w:tcPr>
          <w:p>
            <w:pPr>
              <w:spacing w:after="0" w:line="157" w:lineRule="exact"/>
              <w:rPr>
                <w:sz w:val="20"/>
                <w:szCs w:val="20"/>
                <w:color w:val="auto"/>
              </w:rPr>
            </w:pPr>
            <w:r>
              <w:rPr>
                <w:rFonts w:ascii="Times New Roman" w:cs="Times New Roman" w:eastAsia="Times New Roman" w:hAnsi="Times New Roman"/>
                <w:sz w:val="17"/>
                <w:szCs w:val="17"/>
                <w:color w:val="0000EE"/>
              </w:rPr>
              <w:t>Vistagen Therapeutics, Inc. Corporate Presentation, dated January 2024.</w:t>
            </w:r>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60" w:type="dxa"/>
            <w:vAlign w:val="bottom"/>
            <w:shd w:val="clear" w:color="auto" w:fill="0000EE"/>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219"/>
        </w:trPr>
        <w:tc>
          <w:tcPr>
            <w:tcW w:w="124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rPr>
              <w:t>104</w:t>
            </w:r>
          </w:p>
        </w:tc>
        <w:tc>
          <w:tcPr>
            <w:tcW w:w="2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r>
        <w:trPr>
          <w:trHeight w:val="535"/>
        </w:trPr>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00" w:type="dxa"/>
            <w:vAlign w:val="bottom"/>
          </w:tcPr>
          <w:p>
            <w:pPr>
              <w:spacing w:after="0"/>
              <w:rPr>
                <w:sz w:val="18"/>
                <w:szCs w:val="18"/>
                <w:color w:val="auto"/>
              </w:rPr>
            </w:pPr>
          </w:p>
        </w:tc>
        <w:tc>
          <w:tcPr>
            <w:tcW w:w="7740" w:type="dxa"/>
            <w:vAlign w:val="bottom"/>
            <w:gridSpan w:val="2"/>
          </w:tcPr>
          <w:p>
            <w:pPr>
              <w:ind w:left="2020"/>
              <w:spacing w:after="0"/>
              <w:rPr>
                <w:sz w:val="20"/>
                <w:szCs w:val="20"/>
                <w:color w:val="auto"/>
              </w:rPr>
            </w:pPr>
            <w:r>
              <w:rPr>
                <w:rFonts w:ascii="Times New Roman" w:cs="Times New Roman" w:eastAsia="Times New Roman" w:hAnsi="Times New Roman"/>
                <w:sz w:val="17"/>
                <w:szCs w:val="17"/>
                <w:color w:val="auto"/>
              </w:rPr>
              <w:t>Vistagen Therapeutics, Inc.</w:t>
            </w:r>
          </w:p>
        </w:tc>
      </w:tr>
      <w:tr>
        <w:trPr>
          <w:trHeight w:val="404"/>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Date: January 8, 2024</w:t>
            </w:r>
          </w:p>
        </w:tc>
        <w:tc>
          <w:tcPr>
            <w:tcW w:w="2660" w:type="dxa"/>
            <w:vAlign w:val="bottom"/>
          </w:tcPr>
          <w:p>
            <w:pPr>
              <w:ind w:left="2020"/>
              <w:spacing w:after="0"/>
              <w:rPr>
                <w:sz w:val="20"/>
                <w:szCs w:val="20"/>
                <w:color w:val="auto"/>
              </w:rPr>
            </w:pPr>
            <w:r>
              <w:rPr>
                <w:rFonts w:ascii="Times New Roman" w:cs="Times New Roman" w:eastAsia="Times New Roman" w:hAnsi="Times New Roman"/>
                <w:sz w:val="17"/>
                <w:szCs w:val="17"/>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Shawn K. Singh</w:t>
            </w:r>
          </w:p>
        </w:tc>
      </w:tr>
      <w:tr>
        <w:trPr>
          <w:trHeight w:val="178"/>
        </w:trPr>
        <w:tc>
          <w:tcPr>
            <w:tcW w:w="35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508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Shawn K. Singh</w:t>
            </w:r>
          </w:p>
        </w:tc>
      </w:tr>
      <w:tr>
        <w:trPr>
          <w:trHeight w:val="218"/>
        </w:trPr>
        <w:tc>
          <w:tcPr>
            <w:tcW w:w="35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bl>
    <w:p>
      <w:pPr>
        <w:sectPr>
          <w:pgSz w:w="11900" w:h="16838" w:orient="portrait"/>
          <w:cols w:equalWidth="0" w:num="1">
            <w:col w:w="11240"/>
          </w:cols>
          <w:pgMar w:left="320" w:top="548" w:right="339" w:bottom="1440" w:gutter="0" w:footer="0" w:header="0"/>
        </w:sectPr>
      </w:pPr>
    </w:p>
    <w:bookmarkStart w:id="3" w:name="page4"/>
    <w:bookmarkEnd w:id="3"/>
    <w:p>
      <w:pPr>
        <w:ind w:left="926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4923790</wp:posOffset>
            </wp:positionV>
            <wp:extent cx="7141210"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15875"/>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408305</wp:posOffset>
            </wp:positionV>
            <wp:extent cx="7200265" cy="4051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265" cy="4051300"/>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4620260</wp:posOffset>
            </wp:positionV>
            <wp:extent cx="7141210"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4030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0265" cy="4403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233045</wp:posOffset>
            </wp:positionV>
            <wp:extent cx="7200265" cy="40513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7200265" cy="40513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2024-01-09T05:14:11Z</dcterms:created>
  <dcterms:modified xsi:type="dcterms:W3CDTF">2024-01-09T05:14:11Z</dcterms:modified>
</cp:coreProperties>
</file>