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10312011_091033.htm"/>
      <w:bookmarkStart w:id="1" w:name="ksform8k10312011_091033"/>
      <w:bookmarkStart w:id="2" w:name="form8k-10312011_091033.htm"/>
      <w:bookmarkStart w:id="3" w:name="ksform8k10312011_091033"/>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jc w:val="center"/>
        <w:rPr>
          <w:rFonts w:ascii="Times New Roman" w:hAnsi="Times New Roman"/>
          <w:sz w:val="20"/>
        </w:rPr>
      </w:pPr>
      <w:r>
        <w:rPr>
          <w:rFonts w:ascii="Times New Roman" w:hAnsi="Times New Roman"/>
          <w:b/>
          <w:sz w:val="20"/>
        </w:rPr>
        <w:t>Washington, D.C. 20549</w:t>
      </w:r>
      <w:r>
        <w:rPr>
          <w:rFonts w:ascii="Times New Roman" w:hAnsi="Times New Roman"/>
          <w:sz w:val="20"/>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Date of report (Date of earliest event reported): October 28, 2011</w:t>
            </w:r>
          </w:p>
        </w:tc>
      </w:tr>
    </w:tbl>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 000-54014</w:t>
            </w:r>
          </w:p>
        </w:tc>
      </w:tr>
    </w:tbl>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center"/>
              <w:rPr>
                <w:rFonts w:ascii="times new roman" w:hAnsi="times new roman"/>
                <w:b/>
                <w:sz w:val="28"/>
              </w:rPr>
            </w:pPr>
            <w:r>
              <w:rPr>
                <w:rFonts w:ascii="times new roman" w:hAnsi="times new roman"/>
                <w:b/>
                <w:sz w:val="28"/>
              </w:rPr>
              <w:t>VistaGen Therapeutics, Inc.</w:t>
            </w:r>
          </w:p>
        </w:tc>
      </w:tr>
    </w:tbl>
    <w:p>
      <w:pPr>
        <w:pStyle w:val="TextBody"/>
        <w:spacing w:before="0" w:after="0"/>
        <w:ind w:left="0" w:right="0" w:hanging="0"/>
        <w:jc w:val="center"/>
        <w:rPr>
          <w:rFonts w:ascii="Times New Roman" w:hAnsi="Times New Roman"/>
          <w:sz w:val="20"/>
        </w:rPr>
      </w:pPr>
      <w:r>
        <w:rPr>
          <w:rFonts w:ascii="Times New Roman" w:hAnsi="Times New Roman"/>
          <w:sz w:val="20"/>
        </w:rPr>
        <w:t>(Exact name of small business issuer as specified in its charter)</w:t>
      </w:r>
    </w:p>
    <w:p>
      <w:pPr>
        <w:pStyle w:val="TextBody"/>
        <w:spacing w:before="0" w:after="0"/>
        <w:ind w:left="0" w:right="0" w:hanging="0"/>
        <w:jc w:val="center"/>
        <w:rPr/>
      </w:pPr>
      <w:r>
        <w:rPr/>
        <w:t> </w:t>
      </w:r>
    </w:p>
    <w:tbl>
      <w:tblPr>
        <w:tblW w:w="5000" w:type="pct"/>
        <w:jc w:val="center"/>
        <w:tblInd w:w="0" w:type="dxa"/>
        <w:shd w:fill="FFFFFF" w:val="clear"/>
        <w:tblCellMar>
          <w:top w:w="0" w:type="dxa"/>
          <w:left w:w="0" w:type="dxa"/>
          <w:bottom w:w="0" w:type="dxa"/>
          <w:right w:w="0" w:type="dxa"/>
        </w:tblCellMar>
      </w:tblPr>
      <w:tblGrid>
        <w:gridCol w:w="4694"/>
        <w:gridCol w:w="408"/>
        <w:gridCol w:w="5103"/>
      </w:tblGrid>
      <w:tr>
        <w:trPr/>
        <w:tc>
          <w:tcPr>
            <w:tcW w:w="4694" w:type="dxa"/>
            <w:tcBorders/>
            <w:shd w:fill="FFFF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Nevada</w:t>
            </w:r>
          </w:p>
        </w:tc>
        <w:tc>
          <w:tcPr>
            <w:tcW w:w="408"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205093315</w:t>
            </w:r>
          </w:p>
        </w:tc>
      </w:tr>
      <w:tr>
        <w:trPr/>
        <w:tc>
          <w:tcPr>
            <w:tcW w:w="469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(State or other jurisdiction of incorporation or organization)</w:t>
            </w:r>
          </w:p>
        </w:tc>
        <w:tc>
          <w:tcPr>
            <w:tcW w:w="408"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(IRS Employer Identification No.)</w:t>
            </w:r>
          </w:p>
        </w:tc>
      </w:tr>
      <w:tr>
        <w:trPr/>
        <w:tc>
          <w:tcPr>
            <w:tcW w:w="4694" w:type="dxa"/>
            <w:tcBorders/>
            <w:shd w:fill="FFFFFF" w:val="clear"/>
            <w:vAlign w:val="center"/>
          </w:tcPr>
          <w:p>
            <w:pPr>
              <w:pStyle w:val="TableContents"/>
              <w:spacing w:before="0" w:after="283"/>
              <w:rPr/>
            </w:pPr>
            <w:r>
              <w:rPr/>
              <w:t> </w:t>
            </w:r>
          </w:p>
        </w:tc>
        <w:tc>
          <w:tcPr>
            <w:tcW w:w="408"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pPr>
            <w:r>
              <w:rPr/>
              <w:t> </w:t>
            </w:r>
          </w:p>
        </w:tc>
      </w:tr>
    </w:tbl>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384 Oyster Point Blvd, No. 8, South San Francisco, California 94080</w:t>
            </w:r>
          </w:p>
        </w:tc>
      </w:tr>
    </w:tbl>
    <w:p>
      <w:pPr>
        <w:pStyle w:val="TextBody"/>
        <w:spacing w:before="0" w:after="0"/>
        <w:ind w:left="0" w:right="0" w:hanging="0"/>
        <w:jc w:val="center"/>
        <w:rPr>
          <w:rFonts w:ascii="Times New Roman" w:hAnsi="Times New Roman"/>
          <w:sz w:val="20"/>
        </w:rPr>
      </w:pPr>
      <w:r>
        <w:rPr>
          <w:rFonts w:ascii="Times New Roman" w:hAnsi="Times New Roman"/>
          <w:sz w:val="20"/>
        </w:rPr>
        <w:t>(Address of principal executive offices)</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650-244-9997</w:t>
            </w:r>
          </w:p>
        </w:tc>
      </w:tr>
    </w:tbl>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Not Applicable</w:t>
            </w:r>
          </w:p>
        </w:tc>
      </w:tr>
    </w:tbl>
    <w:p>
      <w:pPr>
        <w:pStyle w:val="TextBody"/>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 Written communications pursuant to Rule 425 under the Securities Act (17 CFR 230.425)</w:t>
            </w:r>
          </w:p>
        </w:tc>
      </w:tr>
    </w:tbl>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 Soliciting material pursuant to Rule 14a-12 under the Exchange Act (17 CFR 240.14a-12)</w:t>
            </w:r>
          </w:p>
        </w:tc>
      </w:tr>
    </w:tbl>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 Pre-commencement communications pursuant to Rule 14d-2(b) under the Exchange Act (17 CFR 240.14d-2(b))</w:t>
            </w:r>
          </w:p>
        </w:tc>
      </w:tr>
    </w:tbl>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 Pre-commencement communications pursuant to Rule 13e-4(c) under the Exchange Act (17 CFR 240.13e-4(c))</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5.07 Submission of Matters to a Vote of Security Holders.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special meeting of the Company's stockholders was held on October 28, 2011.</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At the meeting, the following amendment to the Company's Articles of Incorporation was approved by the Company's stockholders.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Amendment:</w:t>
      </w:r>
    </w:p>
    <w:p>
      <w:pPr>
        <w:pStyle w:val="TextBody"/>
        <w:spacing w:before="0" w:after="0"/>
        <w:ind w:left="0" w:right="0" w:hanging="0"/>
        <w:jc w:val="left"/>
        <w:rPr/>
      </w:pPr>
      <w:r>
        <w:rPr/>
        <w:t> </w:t>
      </w:r>
    </w:p>
    <w:p>
      <w:pPr>
        <w:pStyle w:val="Normal"/>
        <w:spacing w:before="0" w:after="0"/>
        <w:ind w:left="0" w:right="0" w:hanging="0"/>
        <w:jc w:val="center"/>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124"/>
        <w:gridCol w:w="10081"/>
      </w:tblGrid>
      <w:tr>
        <w:trPr/>
        <w:tc>
          <w:tcPr>
            <w:tcW w:w="124" w:type="dxa"/>
            <w:tcBorders/>
            <w:shd w:fill="auto" w:val="clear"/>
          </w:tcPr>
          <w:p>
            <w:pPr>
              <w:pStyle w:val="TableContents"/>
              <w:spacing w:before="0" w:after="0"/>
              <w:ind w:left="0" w:right="0" w:hanging="0"/>
              <w:jc w:val="left"/>
              <w:rPr/>
            </w:pPr>
            <w:r>
              <w:rPr/>
              <w:t>•</w:t>
            </w:r>
          </w:p>
        </w:tc>
        <w:tc>
          <w:tcPr>
            <w:tcW w:w="1008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reduced the number of shares of common stock the Company is authorized to issue from 400,000,000 shares to 200,000,000 shares;</w:t>
            </w:r>
          </w:p>
          <w:p>
            <w:pPr>
              <w:pStyle w:val="TableContents"/>
              <w:spacing w:before="0" w:after="0"/>
              <w:ind w:left="0" w:right="0" w:hanging="0"/>
              <w:jc w:val="left"/>
              <w:rPr/>
            </w:pPr>
            <w:r>
              <w:rPr/>
              <w:t> </w:t>
            </w:r>
          </w:p>
        </w:tc>
      </w:tr>
    </w:tbl>
    <w:p>
      <w:pPr>
        <w:pStyle w:val="Normal"/>
        <w:spacing w:before="0" w:after="0"/>
        <w:ind w:left="0" w:right="0" w:hanging="0"/>
        <w:rPr>
          <w:sz w:val="4"/>
          <w:szCs w:val="4"/>
        </w:rPr>
      </w:pPr>
      <w:r>
        <w:rPr>
          <w:sz w:val="4"/>
          <w:szCs w:val="4"/>
        </w:rPr>
      </w:r>
      <w:bookmarkStart w:id="6" w:name="hangingindent1"/>
      <w:bookmarkStart w:id="7" w:name="hangingindent1"/>
      <w:bookmarkEnd w:id="7"/>
    </w:p>
    <w:tbl>
      <w:tblPr>
        <w:tblW w:w="5000" w:type="pct"/>
        <w:jc w:val="center"/>
        <w:tblInd w:w="0" w:type="dxa"/>
        <w:tblCellMar>
          <w:top w:w="0" w:type="dxa"/>
          <w:left w:w="0" w:type="dxa"/>
          <w:bottom w:w="0" w:type="dxa"/>
          <w:right w:w="0" w:type="dxa"/>
        </w:tblCellMar>
      </w:tblPr>
      <w:tblGrid>
        <w:gridCol w:w="124"/>
        <w:gridCol w:w="10081"/>
      </w:tblGrid>
      <w:tr>
        <w:trPr/>
        <w:tc>
          <w:tcPr>
            <w:tcW w:w="124" w:type="dxa"/>
            <w:tcBorders/>
            <w:shd w:fill="auto" w:val="clear"/>
          </w:tcPr>
          <w:p>
            <w:pPr>
              <w:pStyle w:val="TableContents"/>
              <w:spacing w:before="0" w:after="0"/>
              <w:ind w:left="0" w:right="0" w:hanging="0"/>
              <w:jc w:val="left"/>
              <w:rPr/>
            </w:pPr>
            <w:r>
              <w:rPr/>
              <w:t>•</w:t>
            </w:r>
          </w:p>
        </w:tc>
        <w:tc>
          <w:tcPr>
            <w:tcW w:w="1008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authorized the Company to issue up to 10,000,000 shares of preferred stock; and</w:t>
            </w:r>
          </w:p>
          <w:p>
            <w:pPr>
              <w:pStyle w:val="TableContents"/>
              <w:spacing w:before="0" w:after="0"/>
              <w:ind w:left="0" w:right="0" w:hanging="0"/>
              <w:jc w:val="left"/>
              <w:rPr/>
            </w:pPr>
            <w:r>
              <w:rPr/>
              <w:t> </w:t>
            </w:r>
          </w:p>
        </w:tc>
      </w:tr>
    </w:tbl>
    <w:p>
      <w:pPr>
        <w:pStyle w:val="Normal"/>
        <w:spacing w:before="0" w:after="0"/>
        <w:ind w:left="0" w:right="0" w:hanging="0"/>
        <w:rPr>
          <w:sz w:val="4"/>
          <w:szCs w:val="4"/>
        </w:rPr>
      </w:pPr>
      <w:r>
        <w:rPr>
          <w:sz w:val="4"/>
          <w:szCs w:val="4"/>
        </w:rPr>
      </w:r>
      <w:bookmarkStart w:id="8" w:name="hangingindent2"/>
      <w:bookmarkStart w:id="9" w:name="hangingindent2"/>
      <w:bookmarkEnd w:id="9"/>
    </w:p>
    <w:tbl>
      <w:tblPr>
        <w:tblW w:w="5000" w:type="pct"/>
        <w:jc w:val="center"/>
        <w:tblInd w:w="0" w:type="dxa"/>
        <w:tblCellMar>
          <w:top w:w="0" w:type="dxa"/>
          <w:left w:w="0" w:type="dxa"/>
          <w:bottom w:w="0" w:type="dxa"/>
          <w:right w:w="0" w:type="dxa"/>
        </w:tblCellMar>
      </w:tblPr>
      <w:tblGrid>
        <w:gridCol w:w="124"/>
        <w:gridCol w:w="10081"/>
      </w:tblGrid>
      <w:tr>
        <w:trPr/>
        <w:tc>
          <w:tcPr>
            <w:tcW w:w="124" w:type="dxa"/>
            <w:tcBorders/>
            <w:shd w:fill="auto" w:val="clear"/>
          </w:tcPr>
          <w:p>
            <w:pPr>
              <w:pStyle w:val="TableContents"/>
              <w:spacing w:before="0" w:after="0"/>
              <w:ind w:left="0" w:right="0" w:hanging="0"/>
              <w:jc w:val="left"/>
              <w:rPr/>
            </w:pPr>
            <w:r>
              <w:rPr/>
              <w:t>•</w:t>
            </w:r>
          </w:p>
        </w:tc>
        <w:tc>
          <w:tcPr>
            <w:tcW w:w="1008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authorized the Company's Board of Directors to prescribe the classes, series and the number of each class or series of preferred stock and the voting powers, designations, preferences, limitations, restrictions and relative rights of each class or series of preferred stock.</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is a tabulation of votes cast with respect to this proposal: </w:t>
      </w:r>
    </w:p>
    <w:tbl>
      <w:tblPr>
        <w:tblW w:w="3000" w:type="pct"/>
        <w:jc w:val="center"/>
        <w:tblInd w:w="0" w:type="dxa"/>
        <w:shd w:fill="FFFFFF" w:val="clear"/>
        <w:tblCellMar>
          <w:top w:w="0" w:type="dxa"/>
          <w:left w:w="0" w:type="dxa"/>
          <w:bottom w:w="28" w:type="dxa"/>
          <w:right w:w="0" w:type="dxa"/>
        </w:tblCellMar>
      </w:tblPr>
      <w:tblGrid>
        <w:gridCol w:w="1530"/>
        <w:gridCol w:w="1531"/>
        <w:gridCol w:w="1531"/>
        <w:gridCol w:w="1531"/>
      </w:tblGrid>
      <w:tr>
        <w:trPr/>
        <w:tc>
          <w:tcPr>
            <w:tcW w:w="4592" w:type="dxa"/>
            <w:gridSpan w:val="3"/>
            <w:tcBorders>
              <w:bottom w:val="single" w:sz="12" w:space="0" w:color="000000"/>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Votes</w:t>
            </w:r>
          </w:p>
        </w:tc>
        <w:tc>
          <w:tcPr>
            <w:tcW w:w="1531" w:type="dxa"/>
            <w:tcBorders/>
            <w:shd w:fill="FFFF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Broker</w:t>
            </w:r>
          </w:p>
        </w:tc>
      </w:tr>
      <w:tr>
        <w:trPr/>
        <w:tc>
          <w:tcPr>
            <w:tcW w:w="1530" w:type="dxa"/>
            <w:tcBorders/>
            <w:shd w:fill="FFFFFF" w:val="clear"/>
            <w:tcMar>
              <w:bottom w:w="0" w:type="dxa"/>
            </w:tcMar>
            <w:vAlign w:val="center"/>
          </w:tcPr>
          <w:p>
            <w:pPr>
              <w:pStyle w:val="TableContents"/>
              <w:spacing w:before="0" w:after="283"/>
              <w:jc w:val="center"/>
              <w:rPr>
                <w:rFonts w:ascii="times new roman" w:hAnsi="times new roman"/>
                <w:sz w:val="20"/>
                <w:u w:val="single"/>
              </w:rPr>
            </w:pPr>
            <w:r>
              <w:rPr>
                <w:rFonts w:ascii="times new roman" w:hAnsi="times new roman"/>
                <w:sz w:val="20"/>
                <w:u w:val="single"/>
              </w:rPr>
              <w:t>For</w:t>
            </w:r>
          </w:p>
        </w:tc>
        <w:tc>
          <w:tcPr>
            <w:tcW w:w="1531" w:type="dxa"/>
            <w:tcBorders/>
            <w:shd w:fill="FFFFFF" w:val="clear"/>
            <w:tcMar>
              <w:bottom w:w="0" w:type="dxa"/>
            </w:tcMar>
            <w:vAlign w:val="center"/>
          </w:tcPr>
          <w:p>
            <w:pPr>
              <w:pStyle w:val="TableContents"/>
              <w:spacing w:before="0" w:after="283"/>
              <w:jc w:val="center"/>
              <w:rPr>
                <w:rFonts w:ascii="times new roman" w:hAnsi="times new roman"/>
                <w:sz w:val="20"/>
                <w:u w:val="single"/>
              </w:rPr>
            </w:pPr>
            <w:r>
              <w:rPr>
                <w:rFonts w:ascii="times new roman" w:hAnsi="times new roman"/>
                <w:sz w:val="20"/>
                <w:u w:val="single"/>
              </w:rPr>
              <w:t>Against</w:t>
            </w:r>
          </w:p>
        </w:tc>
        <w:tc>
          <w:tcPr>
            <w:tcW w:w="1531" w:type="dxa"/>
            <w:tcBorders/>
            <w:shd w:fill="FFFFFF" w:val="clear"/>
            <w:tcMar>
              <w:bottom w:w="0" w:type="dxa"/>
            </w:tcMar>
            <w:vAlign w:val="center"/>
          </w:tcPr>
          <w:p>
            <w:pPr>
              <w:pStyle w:val="TableContents"/>
              <w:spacing w:before="0" w:after="283"/>
              <w:jc w:val="center"/>
              <w:rPr>
                <w:rFonts w:ascii="times new roman" w:hAnsi="times new roman"/>
                <w:sz w:val="20"/>
                <w:u w:val="single"/>
              </w:rPr>
            </w:pPr>
            <w:r>
              <w:rPr>
                <w:rFonts w:ascii="times new roman" w:hAnsi="times new roman"/>
                <w:sz w:val="20"/>
                <w:u w:val="single"/>
              </w:rPr>
              <w:t>Abstain</w:t>
            </w:r>
          </w:p>
        </w:tc>
        <w:tc>
          <w:tcPr>
            <w:tcW w:w="1531" w:type="dxa"/>
            <w:tcBorders/>
            <w:shd w:fill="FFFFFF" w:val="clear"/>
            <w:tcMar>
              <w:bottom w:w="0" w:type="dxa"/>
            </w:tcMar>
            <w:vAlign w:val="center"/>
          </w:tcPr>
          <w:p>
            <w:pPr>
              <w:pStyle w:val="TableContents"/>
              <w:spacing w:before="0" w:after="283"/>
              <w:jc w:val="center"/>
              <w:rPr>
                <w:rFonts w:ascii="times new roman" w:hAnsi="times new roman"/>
                <w:sz w:val="20"/>
                <w:u w:val="single"/>
              </w:rPr>
            </w:pPr>
            <w:r>
              <w:rPr>
                <w:rFonts w:ascii="times new roman" w:hAnsi="times new roman"/>
                <w:sz w:val="20"/>
                <w:u w:val="single"/>
              </w:rPr>
              <w:t>Non-Votes</w:t>
            </w:r>
          </w:p>
        </w:tc>
      </w:tr>
      <w:tr>
        <w:trPr/>
        <w:tc>
          <w:tcPr>
            <w:tcW w:w="1530" w:type="dxa"/>
            <w:tcBorders/>
            <w:shd w:fill="FFFF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 xml:space="preserve">8,506,874 </w:t>
            </w:r>
          </w:p>
        </w:tc>
        <w:tc>
          <w:tcPr>
            <w:tcW w:w="1531" w:type="dxa"/>
            <w:tcBorders/>
            <w:shd w:fill="FFFF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 xml:space="preserve">21,308 </w:t>
            </w:r>
          </w:p>
        </w:tc>
        <w:tc>
          <w:tcPr>
            <w:tcW w:w="1531" w:type="dxa"/>
            <w:tcBorders/>
            <w:shd w:fill="FFFF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0</w:t>
            </w:r>
          </w:p>
        </w:tc>
        <w:tc>
          <w:tcPr>
            <w:tcW w:w="1531" w:type="dxa"/>
            <w:tcBorders/>
            <w:shd w:fill="FFFF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0</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0" w:name="PGBRK"/>
      <w:bookmarkStart w:id="11" w:name="PGBRK"/>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 w:name="FTR"/>
      <w:bookmarkStart w:id="13" w:name="FT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 w:name="GLFT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15" w:name="PN"/>
      <w:bookmarkEnd w:id="15"/>
      <w:r>
        <w:rPr>
          <w:rFonts w:eastAsia="Times New Roman" w:cs="Times New Roman" w:ascii="Times New Roman" w:hAnsi="Times New Roman"/>
          <w:sz w:val="20"/>
          <w:szCs w:val="20"/>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16" w:name="HDR"/>
      <w:bookmarkStart w:id="17" w:name="HDR"/>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 w:name="GLHDR"/>
      <w:bookmarkEnd w:id="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SIGNATURES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5103"/>
        <w:gridCol w:w="306"/>
        <w:gridCol w:w="3572"/>
        <w:gridCol w:w="1224"/>
      </w:tblGrid>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 October 31, 2011</w:t>
            </w:r>
          </w:p>
        </w:tc>
        <w:tc>
          <w:tcPr>
            <w:tcW w:w="30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Shawn K. Singh</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Name: Shawn K. Singh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Title:   Chief Executive Officer</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373</Words>
  <CharactersWithSpaces>2476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