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September 15, 2017</w:t>
      </w:r>
    </w:p>
    <w:p>
      <w:pPr>
        <w:spacing w:after="0" w:line="21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ind w:left="3880"/>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020"/>
          </w:cols>
          <w:pgMar w:left="240" w:top="706" w:right="639" w:bottom="1440" w:gutter="0" w:footer="0" w:header="0"/>
        </w:sectPr>
      </w:pPr>
    </w:p>
    <w:p>
      <w:pPr>
        <w:spacing w:after="0" w:line="205" w:lineRule="exact"/>
        <w:rPr>
          <w:sz w:val="24"/>
          <w:szCs w:val="24"/>
          <w:color w:val="auto"/>
        </w:rPr>
      </w:pPr>
    </w:p>
    <w:p>
      <w:pPr>
        <w:jc w:val="center"/>
        <w:ind w:left="130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1300"/>
        <w:spacing w:after="0"/>
        <w:rPr>
          <w:sz w:val="20"/>
          <w:szCs w:val="20"/>
          <w:color w:val="auto"/>
        </w:rPr>
      </w:pPr>
      <w:r>
        <w:rPr>
          <w:rFonts w:ascii="Arial" w:cs="Arial" w:eastAsia="Arial" w:hAnsi="Arial"/>
          <w:sz w:val="16"/>
          <w:szCs w:val="16"/>
          <w:i w:val="1"/>
          <w:i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900"/>
        <w:spacing w:after="0"/>
        <w:rPr>
          <w:sz w:val="20"/>
          <w:szCs w:val="20"/>
          <w:color w:val="auto"/>
        </w:rPr>
      </w:pPr>
      <w:r>
        <w:rPr>
          <w:rFonts w:ascii="Arial" w:cs="Arial" w:eastAsia="Arial" w:hAnsi="Arial"/>
          <w:sz w:val="16"/>
          <w:szCs w:val="16"/>
          <w:i w:val="1"/>
          <w:iCs w:val="1"/>
          <w:color w:val="auto"/>
        </w:rPr>
        <w:t>(IRS Employer Identification Number)</w:t>
      </w:r>
    </w:p>
    <w:p>
      <w:pPr>
        <w:spacing w:after="0" w:line="32" w:lineRule="exact"/>
        <w:rPr>
          <w:sz w:val="24"/>
          <w:szCs w:val="24"/>
          <w:color w:val="auto"/>
        </w:rPr>
      </w:pPr>
    </w:p>
    <w:p>
      <w:pPr>
        <w:sectPr>
          <w:pgSz w:w="11900" w:h="16838" w:orient="portrait"/>
          <w:cols w:equalWidth="0" w:num="3">
            <w:col w:w="4040" w:space="720"/>
            <w:col w:w="1940" w:space="720"/>
            <w:col w:w="3600"/>
          </w:cols>
          <w:pgMar w:left="240" w:top="706" w:right="639" w:bottom="1440" w:gutter="0" w:footer="0" w:header="0"/>
          <w:type w:val="continuous"/>
        </w:sectPr>
      </w:pPr>
    </w:p>
    <w:p>
      <w:pPr>
        <w:ind w:left="2140"/>
        <w:spacing w:after="0"/>
        <w:rPr>
          <w:sz w:val="20"/>
          <w:szCs w:val="20"/>
          <w:color w:val="auto"/>
        </w:rPr>
      </w:pPr>
      <w:r>
        <w:rPr>
          <w:rFonts w:ascii="Arial" w:cs="Arial" w:eastAsia="Arial" w:hAnsi="Arial"/>
          <w:sz w:val="18"/>
          <w:szCs w:val="18"/>
          <w:i w:val="1"/>
          <w:iCs w:val="1"/>
          <w:color w:val="auto"/>
        </w:rPr>
        <w:t>incorporation)</w:t>
      </w:r>
    </w:p>
    <w:p>
      <w:pPr>
        <w:spacing w:after="0" w:line="213"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5"/>
          <w:szCs w:val="15"/>
          <w:b w:val="1"/>
          <w:bCs w:val="1"/>
          <w:color w:val="auto"/>
        </w:rPr>
        <w:t>South San Francisco, California 94090</w:t>
      </w:r>
    </w:p>
    <w:p>
      <w:pPr>
        <w:spacing w:after="0" w:line="44" w:lineRule="exact"/>
        <w:rPr>
          <w:sz w:val="24"/>
          <w:szCs w:val="24"/>
          <w:color w:val="auto"/>
        </w:rPr>
      </w:pPr>
    </w:p>
    <w:p>
      <w:pPr>
        <w:ind w:left="4340"/>
        <w:spacing w:after="0"/>
        <w:rPr>
          <w:sz w:val="20"/>
          <w:szCs w:val="20"/>
          <w:color w:val="auto"/>
        </w:rPr>
      </w:pPr>
      <w:r>
        <w:rPr>
          <w:rFonts w:ascii="Arial" w:cs="Arial" w:eastAsia="Arial" w:hAnsi="Arial"/>
          <w:sz w:val="16"/>
          <w:szCs w:val="16"/>
          <w:i w:val="1"/>
          <w:iCs w:val="1"/>
          <w:color w:val="auto"/>
        </w:rPr>
        <w:t>(Address of principal executive offices)</w:t>
      </w:r>
    </w:p>
    <w:p>
      <w:pPr>
        <w:sectPr>
          <w:pgSz w:w="11900" w:h="16838" w:orient="portrait"/>
          <w:cols w:equalWidth="0" w:num="1">
            <w:col w:w="11020"/>
          </w:cols>
          <w:pgMar w:left="240" w:top="706" w:right="639" w:bottom="1440" w:gutter="0" w:footer="0" w:header="0"/>
          <w:type w:val="continuous"/>
        </w:sectPr>
      </w:pPr>
    </w:p>
    <w:p>
      <w:pPr>
        <w:spacing w:after="0" w:line="23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456565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706"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5.07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September 15, 2017,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held its annual meeting of stockholders (the “</w:t>
      </w:r>
      <w:r>
        <w:rPr>
          <w:rFonts w:ascii="Arial" w:cs="Arial" w:eastAsia="Arial" w:hAnsi="Arial"/>
          <w:sz w:val="18"/>
          <w:szCs w:val="18"/>
          <w:i w:val="1"/>
          <w:iCs w:val="1"/>
          <w:color w:val="auto"/>
        </w:rPr>
        <w:t>Annual Meeting</w:t>
      </w:r>
      <w:r>
        <w:rPr>
          <w:rFonts w:ascii="Arial" w:cs="Arial" w:eastAsia="Arial" w:hAnsi="Arial"/>
          <w:sz w:val="18"/>
          <w:szCs w:val="18"/>
          <w:color w:val="auto"/>
        </w:rPr>
        <w:t>”). The matters voted upon at the Annual Meeting and the results of the voting are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80" w:type="dxa"/>
            <w:vAlign w:val="bottom"/>
            <w:gridSpan w:val="2"/>
          </w:tcPr>
          <w:p>
            <w:pPr>
              <w:spacing w:after="0"/>
              <w:rPr>
                <w:sz w:val="20"/>
                <w:szCs w:val="20"/>
                <w:color w:val="auto"/>
              </w:rPr>
            </w:pPr>
            <w:r>
              <w:rPr>
                <w:rFonts w:ascii="Arial" w:cs="Arial" w:eastAsia="Arial" w:hAnsi="Arial"/>
                <w:sz w:val="18"/>
                <w:szCs w:val="18"/>
                <w:i w:val="1"/>
                <w:iCs w:val="1"/>
                <w:color w:val="auto"/>
              </w:rPr>
              <w:t>Proposal No. 1- Election of Directors</w:t>
            </w:r>
          </w:p>
        </w:tc>
        <w:tc>
          <w:tcPr>
            <w:tcW w:w="1120" w:type="dxa"/>
            <w:vAlign w:val="bottom"/>
          </w:tcPr>
          <w:p>
            <w:pPr>
              <w:spacing w:after="0"/>
              <w:rPr>
                <w:sz w:val="19"/>
                <w:szCs w:val="19"/>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w w:val="88"/>
              </w:rPr>
              <w:t>For</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3"/>
            <w:vMerge w:val="restart"/>
          </w:tcPr>
          <w:p>
            <w:pPr>
              <w:ind w:left="920"/>
              <w:spacing w:after="0"/>
              <w:rPr>
                <w:sz w:val="20"/>
                <w:szCs w:val="20"/>
                <w:color w:val="auto"/>
              </w:rPr>
            </w:pPr>
            <w:r>
              <w:rPr>
                <w:rFonts w:ascii="Arial" w:cs="Arial" w:eastAsia="Arial" w:hAnsi="Arial"/>
                <w:sz w:val="18"/>
                <w:szCs w:val="18"/>
                <w:color w:val="auto"/>
                <w:w w:val="94"/>
              </w:rPr>
              <w:t>Withheld</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Borders>
              <w:bottom w:val="single" w:sz="8" w:color="auto"/>
            </w:tcBorders>
            <w:gridSpan w:val="3"/>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Votes</w:t>
            </w:r>
          </w:p>
        </w:tc>
        <w:tc>
          <w:tcPr>
            <w:tcW w:w="260" w:type="dxa"/>
            <w:vAlign w:val="bottom"/>
          </w:tcPr>
          <w:p>
            <w:pPr>
              <w:spacing w:after="0"/>
              <w:rPr>
                <w:sz w:val="19"/>
                <w:szCs w:val="19"/>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 Voted</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Votes</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Voted</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Jon S. Saxe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3,922,660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Shawn K. Singh</w:t>
            </w:r>
          </w:p>
        </w:tc>
        <w:tc>
          <w:tcPr>
            <w:tcW w:w="1120" w:type="dxa"/>
            <w:vAlign w:val="bottom"/>
          </w:tcPr>
          <w:p>
            <w:pPr>
              <w:jc w:val="right"/>
              <w:spacing w:after="0"/>
              <w:rPr>
                <w:sz w:val="20"/>
                <w:szCs w:val="20"/>
                <w:color w:val="auto"/>
              </w:rPr>
            </w:pPr>
            <w:r>
              <w:rPr>
                <w:rFonts w:ascii="Arial" w:cs="Arial" w:eastAsia="Arial" w:hAnsi="Arial"/>
                <w:sz w:val="18"/>
                <w:szCs w:val="18"/>
                <w:color w:val="auto"/>
              </w:rPr>
              <w:t>4,077,051</w:t>
            </w: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99.52%</w:t>
            </w:r>
          </w:p>
        </w:tc>
        <w:tc>
          <w:tcPr>
            <w:tcW w:w="1100" w:type="dxa"/>
            <w:vAlign w:val="bottom"/>
          </w:tcPr>
          <w:p>
            <w:pPr>
              <w:jc w:val="right"/>
              <w:spacing w:after="0"/>
              <w:rPr>
                <w:sz w:val="20"/>
                <w:szCs w:val="20"/>
                <w:color w:val="auto"/>
              </w:rPr>
            </w:pPr>
            <w:r>
              <w:rPr>
                <w:rFonts w:ascii="Arial" w:cs="Arial" w:eastAsia="Arial" w:hAnsi="Arial"/>
                <w:sz w:val="18"/>
                <w:szCs w:val="18"/>
                <w:color w:val="auto"/>
              </w:rPr>
              <w:t>19,768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H. Ralph Snodgrass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3,981,028</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Brian J. Underdown</w:t>
            </w:r>
          </w:p>
        </w:tc>
        <w:tc>
          <w:tcPr>
            <w:tcW w:w="1120" w:type="dxa"/>
            <w:vAlign w:val="bottom"/>
          </w:tcPr>
          <w:p>
            <w:pPr>
              <w:jc w:val="right"/>
              <w:spacing w:after="0"/>
              <w:rPr>
                <w:sz w:val="20"/>
                <w:szCs w:val="20"/>
                <w:color w:val="auto"/>
              </w:rPr>
            </w:pPr>
            <w:r>
              <w:rPr>
                <w:rFonts w:ascii="Arial" w:cs="Arial" w:eastAsia="Arial" w:hAnsi="Arial"/>
                <w:sz w:val="18"/>
                <w:szCs w:val="18"/>
                <w:color w:val="auto"/>
              </w:rPr>
              <w:t>4,050,168</w:t>
            </w: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98.86%</w:t>
            </w:r>
          </w:p>
        </w:tc>
        <w:tc>
          <w:tcPr>
            <w:tcW w:w="1100" w:type="dxa"/>
            <w:vAlign w:val="bottom"/>
          </w:tcPr>
          <w:p>
            <w:pPr>
              <w:jc w:val="right"/>
              <w:spacing w:after="0"/>
              <w:rPr>
                <w:sz w:val="20"/>
                <w:szCs w:val="20"/>
                <w:color w:val="auto"/>
              </w:rPr>
            </w:pPr>
            <w:r>
              <w:rPr>
                <w:rFonts w:ascii="Arial" w:cs="Arial" w:eastAsia="Arial" w:hAnsi="Arial"/>
                <w:sz w:val="18"/>
                <w:szCs w:val="18"/>
                <w:color w:val="auto"/>
              </w:rPr>
              <w:t>46,651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Jerry B. Gin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4,050,168</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Company’s Directors are elected by a plurality of the votes cast. Accordingly, each of the nominees named above were elected to serve on the Board of Directors until the 2018 annual meeting of stockholders, or until their successors are elected and qualified.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No. 2- Approval of an Amendment to the Company’s Restated and Amended Articles of Incorporation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40" w:type="dxa"/>
            <w:vAlign w:val="bottom"/>
          </w:tcPr>
          <w:p>
            <w:pPr>
              <w:spacing w:after="0"/>
              <w:rPr>
                <w:sz w:val="20"/>
                <w:szCs w:val="20"/>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For</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Against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Abstain</w:t>
            </w:r>
          </w:p>
        </w:tc>
      </w:tr>
      <w:tr>
        <w:trPr>
          <w:trHeight w:val="216"/>
        </w:trPr>
        <w:tc>
          <w:tcPr>
            <w:tcW w:w="7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Votes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5,864,179</w:t>
            </w: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243,307</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510,447</w:t>
            </w:r>
          </w:p>
        </w:tc>
        <w:tc>
          <w:tcPr>
            <w:tcW w:w="140" w:type="dxa"/>
            <w:vAlign w:val="bottom"/>
            <w:shd w:val="clear" w:color="auto" w:fill="CCEEFF"/>
          </w:tcPr>
          <w:p>
            <w:pPr>
              <w:spacing w:after="0"/>
              <w:rPr>
                <w:sz w:val="18"/>
                <w:szCs w:val="18"/>
                <w:color w:val="auto"/>
              </w:rPr>
            </w:pPr>
          </w:p>
        </w:tc>
      </w:tr>
      <w:tr>
        <w:trPr>
          <w:trHeight w:val="222"/>
        </w:trPr>
        <w:tc>
          <w:tcPr>
            <w:tcW w:w="7440" w:type="dxa"/>
            <w:vAlign w:val="bottom"/>
          </w:tcPr>
          <w:p>
            <w:pPr>
              <w:jc w:val="right"/>
              <w:ind w:right="32"/>
              <w:spacing w:after="0"/>
              <w:rPr>
                <w:sz w:val="20"/>
                <w:szCs w:val="20"/>
                <w:color w:val="auto"/>
              </w:rPr>
            </w:pPr>
            <w:r>
              <w:rPr>
                <w:rFonts w:ascii="Arial" w:cs="Arial" w:eastAsia="Arial" w:hAnsi="Arial"/>
                <w:sz w:val="18"/>
                <w:szCs w:val="18"/>
                <w:color w:val="auto"/>
              </w:rPr>
              <w:t>% of Total Outstanding Shares Voted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62.71%</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2.60%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5.46%</w:t>
            </w:r>
          </w:p>
        </w:tc>
      </w:tr>
    </w:tbl>
    <w:p>
      <w:pPr>
        <w:spacing w:after="0" w:line="20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vote required to approve this proposal was the affirmative vote of a majority of the outstanding shares of the Company’s common stock entitled to vote as of July 17, 2017, the record date for the Annual Meeting. Accordingly, the amendment to increase the number of authorized shares of common stock under the Company’s Restated and Amended Articles of Incorporation from 30.0 million to 100.0 million (the “</w:t>
      </w:r>
      <w:r>
        <w:rPr>
          <w:rFonts w:ascii="Arial" w:cs="Arial" w:eastAsia="Arial" w:hAnsi="Arial"/>
          <w:sz w:val="16"/>
          <w:szCs w:val="16"/>
          <w:i w:val="1"/>
          <w:iCs w:val="1"/>
          <w:color w:val="auto"/>
        </w:rPr>
        <w:t>Charter Amendment</w:t>
      </w:r>
      <w:r>
        <w:rPr>
          <w:rFonts w:ascii="Arial" w:cs="Arial" w:eastAsia="Arial" w:hAnsi="Arial"/>
          <w:sz w:val="16"/>
          <w:szCs w:val="16"/>
          <w:color w:val="auto"/>
        </w:rPr>
        <w:t>”) was approved.</w:t>
      </w:r>
    </w:p>
    <w:p>
      <w:pPr>
        <w:spacing w:after="0" w:line="16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Following the approval of the Charter Amendment at the Annual Meeting, the Charter Amendment was filed with the Nevada Secretary of State on September 15, 2017. A copy of the Charter Amendment is attached to this Current Report on Form 8-K as Exhibit 3.1.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No. 3- Approval of an Amendment to the Company’s Amended and Restated 2016 Stock Incentive Plan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Broker Non-</w:t>
            </w:r>
          </w:p>
        </w:tc>
      </w:tr>
      <w:tr>
        <w:trPr>
          <w:trHeight w:val="231"/>
        </w:trPr>
        <w:tc>
          <w:tcPr>
            <w:tcW w:w="6080" w:type="dxa"/>
            <w:vAlign w:val="bottom"/>
          </w:tcPr>
          <w:p>
            <w:pPr>
              <w:spacing w:after="0"/>
              <w:rPr>
                <w:sz w:val="20"/>
                <w:szCs w:val="20"/>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For</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Against</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Abstain</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Votes</w:t>
            </w:r>
          </w:p>
        </w:tc>
      </w:tr>
      <w:tr>
        <w:trPr>
          <w:trHeight w:val="216"/>
        </w:trPr>
        <w:tc>
          <w:tcPr>
            <w:tcW w:w="6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Votes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3,522,373</w:t>
            </w: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500,417</w:t>
            </w: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74,029</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2,521,114</w:t>
            </w:r>
          </w:p>
        </w:tc>
        <w:tc>
          <w:tcPr>
            <w:tcW w:w="140" w:type="dxa"/>
            <w:vAlign w:val="bottom"/>
            <w:shd w:val="clear" w:color="auto" w:fill="CCEEFF"/>
          </w:tcPr>
          <w:p>
            <w:pPr>
              <w:spacing w:after="0"/>
              <w:rPr>
                <w:sz w:val="18"/>
                <w:szCs w:val="18"/>
                <w:color w:val="auto"/>
              </w:rPr>
            </w:pPr>
          </w:p>
        </w:tc>
      </w:tr>
      <w:tr>
        <w:trPr>
          <w:trHeight w:val="222"/>
        </w:trPr>
        <w:tc>
          <w:tcPr>
            <w:tcW w:w="6080" w:type="dxa"/>
            <w:vAlign w:val="bottom"/>
          </w:tcPr>
          <w:p>
            <w:pPr>
              <w:jc w:val="right"/>
              <w:ind w:right="32"/>
              <w:spacing w:after="0"/>
              <w:rPr>
                <w:sz w:val="20"/>
                <w:szCs w:val="20"/>
                <w:color w:val="auto"/>
              </w:rPr>
            </w:pPr>
            <w:r>
              <w:rPr>
                <w:rFonts w:ascii="Arial" w:cs="Arial" w:eastAsia="Arial" w:hAnsi="Arial"/>
                <w:sz w:val="18"/>
                <w:szCs w:val="18"/>
                <w:color w:val="auto"/>
              </w:rPr>
              <w:t>% Voted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85.98%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12.21%</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vote required to approve this proposal was the affirmative vote of a majority of the votes cast on the proposal. Accordingly, the amendment to increase the number of authorized shares issuable under the Company’s Amended and Restated 2016 Stock Incentive Plan from 3.0 million to 10.0 million was approved.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No. 4- Ratification of Appointment of Auditors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40" w:type="dxa"/>
            <w:vAlign w:val="bottom"/>
          </w:tcPr>
          <w:p>
            <w:pPr>
              <w:spacing w:after="0"/>
              <w:rPr>
                <w:sz w:val="20"/>
                <w:szCs w:val="20"/>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For</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Against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Abstain</w:t>
            </w:r>
          </w:p>
        </w:tc>
      </w:tr>
      <w:tr>
        <w:trPr>
          <w:trHeight w:val="216"/>
        </w:trPr>
        <w:tc>
          <w:tcPr>
            <w:tcW w:w="7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Votes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6,192,477</w:t>
            </w: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255,945</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169,511</w:t>
            </w:r>
          </w:p>
        </w:tc>
        <w:tc>
          <w:tcPr>
            <w:tcW w:w="140" w:type="dxa"/>
            <w:vAlign w:val="bottom"/>
            <w:shd w:val="clear" w:color="auto" w:fill="CCEEFF"/>
          </w:tcPr>
          <w:p>
            <w:pPr>
              <w:spacing w:after="0"/>
              <w:rPr>
                <w:sz w:val="18"/>
                <w:szCs w:val="18"/>
                <w:color w:val="auto"/>
              </w:rPr>
            </w:pPr>
          </w:p>
        </w:tc>
      </w:tr>
      <w:tr>
        <w:trPr>
          <w:trHeight w:val="222"/>
        </w:trPr>
        <w:tc>
          <w:tcPr>
            <w:tcW w:w="7440" w:type="dxa"/>
            <w:vAlign w:val="bottom"/>
          </w:tcPr>
          <w:p>
            <w:pPr>
              <w:jc w:val="right"/>
              <w:ind w:right="32"/>
              <w:spacing w:after="0"/>
              <w:rPr>
                <w:sz w:val="20"/>
                <w:szCs w:val="20"/>
                <w:color w:val="auto"/>
              </w:rPr>
            </w:pPr>
            <w:r>
              <w:rPr>
                <w:rFonts w:ascii="Arial" w:cs="Arial" w:eastAsia="Arial" w:hAnsi="Arial"/>
                <w:sz w:val="18"/>
                <w:szCs w:val="18"/>
                <w:color w:val="auto"/>
              </w:rPr>
              <w:t>% Voted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93.57%</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3.87%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2.56%</w:t>
            </w:r>
          </w:p>
        </w:tc>
      </w:tr>
    </w:tbl>
    <w:p>
      <w:pPr>
        <w:spacing w:after="0" w:line="201"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The vote required to approve this proposal was the affirmative vote of a majority of the votes cast on the proposal. Accordingly, stockholders ratified the appointment of OUM &amp; Co, LLP as the Company’s registered independent public accounting firm for the fiscal year ending March 31, 2018.</w:t>
      </w:r>
    </w:p>
    <w:p>
      <w:pPr>
        <w:spacing w:after="0" w:line="13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For more information about the foregoing proposals, please review the Company’s definitive proxy statement, filed with the Securities and Exchange Commission on August 4,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ind w:left="5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September 20,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557"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3"/>
              </w:rPr>
              <w:t>Exhibit Number</w:t>
            </w:r>
          </w:p>
        </w:tc>
        <w:tc>
          <w:tcPr>
            <w:tcW w:w="101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gridSpan w:val="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016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w w:val="88"/>
              </w:rPr>
              <w:t>Certificate of Amendment to the Restated and Amended Articles of Incorporation of VistaGen Therapeutics, Inc., dated September 15, 2017.</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9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 AND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VistaGen Therapeutics, Inc., a Nevada corporation (the "</w:t>
      </w:r>
      <w:r>
        <w:rPr>
          <w:rFonts w:ascii="Arial" w:cs="Arial" w:eastAsia="Arial" w:hAnsi="Arial"/>
          <w:sz w:val="18"/>
          <w:szCs w:val="18"/>
          <w:i w:val="1"/>
          <w:iCs w:val="1"/>
          <w:color w:val="auto"/>
        </w:rPr>
        <w:t>Corporation</w:t>
      </w:r>
      <w:r>
        <w:rPr>
          <w:rFonts w:ascii="Arial" w:cs="Arial" w:eastAsia="Arial" w:hAnsi="Arial"/>
          <w:sz w:val="18"/>
          <w:szCs w:val="18"/>
          <w:color w:val="auto"/>
        </w:rPr>
        <w:t>"), does hereby certify that:</w:t>
      </w:r>
    </w:p>
    <w:p>
      <w:pPr>
        <w:spacing w:after="0" w:line="225" w:lineRule="exact"/>
        <w:rPr>
          <w:sz w:val="20"/>
          <w:szCs w:val="20"/>
          <w:color w:val="auto"/>
        </w:rPr>
      </w:pPr>
    </w:p>
    <w:p>
      <w:pPr>
        <w:jc w:val="both"/>
        <w:ind w:firstLine="580"/>
        <w:spacing w:after="0" w:line="268" w:lineRule="auto"/>
        <w:rPr>
          <w:sz w:val="20"/>
          <w:szCs w:val="20"/>
          <w:color w:val="auto"/>
        </w:rPr>
      </w:pPr>
      <w:r>
        <w:rPr>
          <w:rFonts w:ascii="Arial" w:cs="Arial" w:eastAsia="Arial" w:hAnsi="Arial"/>
          <w:sz w:val="18"/>
          <w:szCs w:val="18"/>
          <w:color w:val="auto"/>
        </w:rPr>
        <w:t>FIRST: This Certificate of Amendment amends the provisions of the Corporation's Restated and Amended Articles of Incorporation (the "</w:t>
      </w:r>
      <w:r>
        <w:rPr>
          <w:rFonts w:ascii="Arial" w:cs="Arial" w:eastAsia="Arial" w:hAnsi="Arial"/>
          <w:sz w:val="18"/>
          <w:szCs w:val="18"/>
          <w:i w:val="1"/>
          <w:iCs w:val="1"/>
          <w:color w:val="auto"/>
        </w:rPr>
        <w:t>Articles of</w:t>
      </w:r>
      <w:r>
        <w:rPr>
          <w:rFonts w:ascii="Arial" w:cs="Arial" w:eastAsia="Arial" w:hAnsi="Arial"/>
          <w:sz w:val="18"/>
          <w:szCs w:val="18"/>
          <w:color w:val="auto"/>
        </w:rPr>
        <w:t xml:space="preserve"> </w:t>
      </w:r>
      <w:r>
        <w:rPr>
          <w:rFonts w:ascii="Arial" w:cs="Arial" w:eastAsia="Arial" w:hAnsi="Arial"/>
          <w:sz w:val="18"/>
          <w:szCs w:val="18"/>
          <w:i w:val="1"/>
          <w:iCs w:val="1"/>
          <w:color w:val="auto"/>
        </w:rPr>
        <w:t>Incorporation</w:t>
      </w:r>
      <w:r>
        <w:rPr>
          <w:rFonts w:ascii="Arial" w:cs="Arial" w:eastAsia="Arial" w:hAnsi="Arial"/>
          <w:sz w:val="18"/>
          <w:szCs w:val="18"/>
          <w:color w:val="auto"/>
        </w:rPr>
        <w:t>").</w:t>
      </w:r>
    </w:p>
    <w:p>
      <w:pPr>
        <w:spacing w:after="0" w:line="186" w:lineRule="exact"/>
        <w:rPr>
          <w:sz w:val="20"/>
          <w:szCs w:val="20"/>
          <w:color w:val="auto"/>
        </w:rPr>
      </w:pPr>
    </w:p>
    <w:p>
      <w:pPr>
        <w:jc w:val="both"/>
        <w:ind w:firstLine="470"/>
        <w:spacing w:after="0" w:line="268" w:lineRule="auto"/>
        <w:rPr>
          <w:sz w:val="20"/>
          <w:szCs w:val="20"/>
          <w:color w:val="auto"/>
        </w:rPr>
      </w:pPr>
      <w:r>
        <w:rPr>
          <w:rFonts w:ascii="Arial" w:cs="Arial" w:eastAsia="Arial" w:hAnsi="Arial"/>
          <w:sz w:val="18"/>
          <w:szCs w:val="18"/>
          <w:color w:val="auto"/>
        </w:rPr>
        <w:t>SECOND: The terms and provisions of this Certificate of Amendment have been duly adopted in accordance with Section 78.380 of the Nevada Revised Statutes and shall become effective immediately upon filing this Certificate of Amendment.</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THIRD: The first paragraph of Article V of the Articles of Incorporation is hereby amended in its entirety and replaced with the following:</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“This corporation is authorized to issue two classes of capital stock, to be designated “Common Stock” and “Preferred Stock.” The total number of shares of Common Stock which this corporation is authorized to issue is One Hundred Million (100,000,000), each having a par value of $0.001. The total number of shares of Preferred Stock which this corporation is authorized to issue is Ten Million (10,000,000), each having a par value of $0.001. The holders of the Common Stock shall have one (1) vote per share on each matter submitted to a vote of stockholders. The capital stock of this corporation, after the amount of the subscription price has been paid in, shall never be assessable, or assessed to pay debts of this corporation.”</w:t>
      </w:r>
    </w:p>
    <w:p>
      <w:pPr>
        <w:spacing w:after="0" w:line="170" w:lineRule="exact"/>
        <w:rPr>
          <w:sz w:val="20"/>
          <w:szCs w:val="20"/>
          <w:color w:val="auto"/>
        </w:rPr>
      </w:pPr>
    </w:p>
    <w:p>
      <w:pPr>
        <w:jc w:val="both"/>
        <w:ind w:firstLine="418"/>
        <w:spacing w:after="0" w:line="268" w:lineRule="auto"/>
        <w:rPr>
          <w:sz w:val="20"/>
          <w:szCs w:val="20"/>
          <w:color w:val="auto"/>
        </w:rPr>
      </w:pPr>
      <w:r>
        <w:rPr>
          <w:rFonts w:ascii="Arial" w:cs="Arial" w:eastAsia="Arial" w:hAnsi="Arial"/>
          <w:sz w:val="18"/>
          <w:szCs w:val="18"/>
          <w:color w:val="auto"/>
        </w:rPr>
        <w:t>IN WITNESS WHEREOF, the Corporation has caused this Certificate of Amendment to be signed by its officers thereunto duly authorized this 15th day of September, 2017.</w:t>
      </w:r>
    </w:p>
    <w:p>
      <w:pPr>
        <w:spacing w:after="0" w:line="18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Name: Shawn K. Singh</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2020-01-18T09:32:06Z</dcterms:created>
  <dcterms:modified xsi:type="dcterms:W3CDTF">2020-01-18T09:32:06Z</dcterms:modified>
</cp:coreProperties>
</file>