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September 6, 2022</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603" w:right="339" w:bottom="1440" w:gutter="0" w:footer="0" w:header="0"/>
        </w:sectPr>
      </w:pPr>
    </w:p>
    <w:p>
      <w:pPr>
        <w:spacing w:after="0" w:line="20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603"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603"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VTGN</w:t>
            </w:r>
          </w:p>
        </w:tc>
        <w:tc>
          <w:tcPr>
            <w:tcW w:w="44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6, 2022,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received a letter (the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from the Listing Qualifications Staff of The Nasdaq Stock Market, LLC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indicating that, based upon the closing bid price of the Company’s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xml:space="preserve">”), for the last 30 consecutive business days, the Company is not currently in compliance with the requirement to maintain a minimum bid price of $1.00 per share for continued listing on the Nasdaq Capital Market, as set forth in Nasdaq Listing Rule 5550(a)(2). </w:t>
      </w:r>
      <w:r>
        <w:rPr>
          <w:rFonts w:ascii="Times New Roman" w:cs="Times New Roman" w:eastAsia="Times New Roman" w:hAnsi="Times New Roman"/>
          <w:sz w:val="18"/>
          <w:szCs w:val="18"/>
          <w:b w:val="1"/>
          <w:bCs w:val="1"/>
          <w:color w:val="auto"/>
        </w:rPr>
        <w:t>The Letter has no immediate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 on the listing of the Company's Common Stock on The Nasdaq Capital Market.</w:t>
      </w:r>
      <w:r>
        <w:rPr>
          <w:rFonts w:ascii="Times New Roman" w:cs="Times New Roman" w:eastAsia="Times New Roman" w:hAnsi="Times New Roman"/>
          <w:sz w:val="18"/>
          <w:szCs w:val="18"/>
          <w:color w:val="auto"/>
        </w:rPr>
        <w:t> </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Common Stock. To regain compliance, the closing bid price of the Company's Common Stock must be at least $1.00 per share for 10 consecutive business days during the 180-day period from September 6, 2022 to March 6, 2023. If the Company does not regain compliance with the minimum bid price requirement by March 6, 2023, Nasdaq may grant the Company a second 180-day period to regain compliance. To qualify for this additional 180-day compliance period, the Company would be required to meet the continued listing requirement for market value of publicly held shares and all other initial listing standards for the Nasdaq Capital Market, other than the minimum bid price requirement. In addition, the Company would also be required to notify Nasdaq of its intent to cure the minimum bid price deficiency by effecting a reverse stock split, if necessary. If the Company does not regain compliance within the allotted compliance periods, including any extensions that may be granted by Nasdaq, Nasdaq will provide notice that the Company's Common Stock will be subject to delisting. The Company would then be entitled to appeal that determination to a Nasdaq hearings panel.</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regain compliance with the minimum bid price requirement during the 180-day compliance period, secure a second 180-day period to regain compliance or maintain compliance with the other Nasdaq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61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7, 2022</w:t>
            </w:r>
          </w:p>
        </w:tc>
        <w:tc>
          <w:tcPr>
            <w:tcW w:w="616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6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6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2022-09-07T15:10:32Z</dcterms:created>
  <dcterms:modified xsi:type="dcterms:W3CDTF">2022-09-07T15:10:32Z</dcterms:modified>
</cp:coreProperties>
</file>