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3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92840H400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38" w:lineRule="exact"/>
        <w:rPr>
          <w:sz w:val="24"/>
          <w:szCs w:val="24"/>
          <w:color w:val="auto"/>
        </w:rPr>
      </w:pPr>
    </w:p>
    <w:p>
      <w:pPr>
        <w:ind w:left="660"/>
        <w:spacing w:after="0"/>
        <w:rPr>
          <w:sz w:val="20"/>
          <w:szCs w:val="20"/>
          <w:color w:val="auto"/>
        </w:rPr>
      </w:pPr>
      <w:r>
        <w:rPr>
          <w:rFonts w:ascii="Wingdings" w:cs="Wingdings" w:eastAsia="Wingdings" w:hAnsi="Wingdings"/>
          <w:sz w:val="22"/>
          <w:szCs w:val="22"/>
          <w:b w:val="1"/>
          <w:bCs w:val="1"/>
          <w:color w:val="auto"/>
        </w:rPr>
        <w:t xml:space="preserve">o </w:t>
      </w:r>
      <w:r>
        <w:rPr>
          <w:rFonts w:ascii="Times New Roman" w:cs="Times New Roman" w:eastAsia="Times New Roman" w:hAnsi="Times New Roman"/>
          <w:sz w:val="17"/>
          <w:szCs w:val="17"/>
          <w:color w:val="auto"/>
        </w:rPr>
        <w:t>Rule 13d-1(b)</w:t>
      </w:r>
    </w:p>
    <w:p>
      <w:pPr>
        <w:spacing w:after="0" w:line="26" w:lineRule="exact"/>
        <w:rPr>
          <w:sz w:val="24"/>
          <w:szCs w:val="24"/>
          <w:color w:val="auto"/>
        </w:rPr>
      </w:pPr>
    </w:p>
    <w:p>
      <w:pPr>
        <w:jc w:val="both"/>
        <w:ind w:left="660" w:right="9340" w:hanging="4"/>
        <w:spacing w:after="0" w:line="297" w:lineRule="auto"/>
        <w:tabs>
          <w:tab w:leader="none" w:pos="894"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 xml:space="preserve">Rule 13d-1(c) </w:t>
      </w:r>
      <w:r>
        <w:rPr>
          <w:rFonts w:ascii="Wingdings" w:cs="Wingdings" w:eastAsia="Wingdings" w:hAnsi="Wingdings"/>
          <w:sz w:val="19"/>
          <w:szCs w:val="19"/>
          <w:b w:val="1"/>
          <w:bCs w:val="1"/>
          <w:color w:val="auto"/>
        </w:rPr>
        <w:t xml:space="preserve">o </w:t>
      </w:r>
      <w:r>
        <w:rPr>
          <w:rFonts w:ascii="Times New Roman" w:cs="Times New Roman" w:eastAsia="Times New Roman" w:hAnsi="Times New Roman"/>
          <w:sz w:val="15"/>
          <w:szCs w:val="15"/>
          <w:color w:val="auto"/>
        </w:rPr>
        <w:t>Rule 13d-1(d)</w:t>
      </w:r>
    </w:p>
    <w:p>
      <w:pPr>
        <w:spacing w:after="0" w:line="39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2" w:lineRule="exact"/>
        <w:rPr>
          <w:sz w:val="24"/>
          <w:szCs w:val="24"/>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318135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350520</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92840H400</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2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Great Point Partners,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40" w:type="dxa"/>
            <w:vAlign w:val="bottom"/>
            <w:tcBorders>
              <w:right w:val="single" w:sz="8" w:color="auto"/>
            </w:tcBorders>
            <w:shd w:val="clear" w:color="auto" w:fill="000000"/>
          </w:tcPr>
          <w:p>
            <w:pPr>
              <w:spacing w:after="0"/>
              <w:rPr>
                <w:sz w:val="13"/>
                <w:szCs w:val="13"/>
                <w:color w:val="auto"/>
              </w:rPr>
            </w:pPr>
          </w:p>
        </w:tc>
        <w:tc>
          <w:tcPr>
            <w:tcW w:w="560" w:type="dxa"/>
            <w:vAlign w:val="bottom"/>
          </w:tcPr>
          <w:p>
            <w:pPr>
              <w:spacing w:after="0"/>
              <w:rPr>
                <w:sz w:val="13"/>
                <w:szCs w:val="13"/>
                <w:color w:val="auto"/>
              </w:rPr>
            </w:pPr>
          </w:p>
        </w:tc>
        <w:tc>
          <w:tcPr>
            <w:tcW w:w="1680" w:type="dxa"/>
            <w:vAlign w:val="bottom"/>
            <w:tcBorders>
              <w:right w:val="single" w:sz="8" w:color="auto"/>
            </w:tcBorders>
            <w:gridSpan w:val="2"/>
            <w:vMerge w:val="continue"/>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40" w:type="dxa"/>
            <w:vAlign w:val="bottom"/>
            <w:tcBorders>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tcPr>
          <w:p>
            <w:pPr>
              <w:spacing w:after="0"/>
              <w:rPr>
                <w:sz w:val="8"/>
                <w:szCs w:val="8"/>
                <w:color w:val="auto"/>
              </w:rPr>
            </w:pPr>
          </w:p>
        </w:tc>
        <w:tc>
          <w:tcPr>
            <w:tcW w:w="4740" w:type="dxa"/>
            <w:vAlign w:val="bottom"/>
            <w:gridSpan w:val="2"/>
            <w:vMerge w:val="continue"/>
          </w:tcPr>
          <w:p>
            <w:pPr>
              <w:spacing w:after="0"/>
              <w:rPr>
                <w:sz w:val="8"/>
                <w:szCs w:val="8"/>
                <w:color w:val="auto"/>
              </w:rPr>
            </w:pPr>
          </w:p>
        </w:tc>
        <w:tc>
          <w:tcPr>
            <w:tcW w:w="33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40" w:type="dxa"/>
            <w:vAlign w:val="bottom"/>
            <w:tcBorders>
              <w:right w:val="single" w:sz="8" w:color="auto"/>
            </w:tcBorders>
            <w:shd w:val="clear" w:color="auto" w:fill="000000"/>
          </w:tcPr>
          <w:p>
            <w:pPr>
              <w:spacing w:after="0"/>
              <w:rPr>
                <w:sz w:val="10"/>
                <w:szCs w:val="10"/>
                <w:color w:val="auto"/>
              </w:rPr>
            </w:pPr>
          </w:p>
        </w:tc>
        <w:tc>
          <w:tcPr>
            <w:tcW w:w="560" w:type="dxa"/>
            <w:vAlign w:val="bottom"/>
          </w:tcPr>
          <w:p>
            <w:pPr>
              <w:spacing w:after="0"/>
              <w:rPr>
                <w:sz w:val="10"/>
                <w:szCs w:val="10"/>
                <w:color w:val="auto"/>
              </w:rPr>
            </w:pPr>
          </w:p>
        </w:tc>
        <w:tc>
          <w:tcPr>
            <w:tcW w:w="1680" w:type="dxa"/>
            <w:vAlign w:val="bottom"/>
            <w:tcBorders>
              <w:right w:val="single" w:sz="8" w:color="auto"/>
            </w:tcBorders>
            <w:gridSpan w:val="2"/>
            <w:vMerge w:val="continue"/>
          </w:tcPr>
          <w:p>
            <w:pPr>
              <w:spacing w:after="0"/>
              <w:rPr>
                <w:sz w:val="10"/>
                <w:szCs w:val="10"/>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2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33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 w:type="dxa"/>
            <w:vAlign w:val="bottom"/>
            <w:tcBorders>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right w:val="single" w:sz="8" w:color="auto"/>
            </w:tcBorders>
          </w:tcPr>
          <w:p>
            <w:pPr>
              <w:spacing w:after="0"/>
              <w:rPr>
                <w:sz w:val="19"/>
                <w:szCs w:val="19"/>
                <w:color w:val="auto"/>
              </w:rPr>
            </w:pP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2,729,909</w:t>
            </w:r>
          </w:p>
        </w:tc>
        <w:tc>
          <w:tcPr>
            <w:tcW w:w="3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790"/>
              <w:spacing w:after="0"/>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40" w:type="dxa"/>
            <w:vAlign w:val="bottom"/>
            <w:tcBorders>
              <w:right w:val="single" w:sz="8" w:color="auto"/>
            </w:tcBorders>
            <w:shd w:val="clear" w:color="auto" w:fill="000000"/>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60" w:type="dxa"/>
            <w:vAlign w:val="bottom"/>
            <w:tcBorders>
              <w:right w:val="single" w:sz="8" w:color="auto"/>
            </w:tcBorders>
            <w:vMerge w:val="continue"/>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40" w:type="dxa"/>
            <w:vAlign w:val="bottom"/>
            <w:tcBorders>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right w:val="single" w:sz="8" w:color="auto"/>
            </w:tcBorders>
            <w:vMerge w:val="continue"/>
          </w:tcPr>
          <w:p>
            <w:pPr>
              <w:spacing w:after="0"/>
              <w:rPr>
                <w:sz w:val="4"/>
                <w:szCs w:val="4"/>
                <w:color w:val="auto"/>
              </w:rPr>
            </w:pPr>
          </w:p>
        </w:tc>
        <w:tc>
          <w:tcPr>
            <w:tcW w:w="220" w:type="dxa"/>
            <w:vAlign w:val="bottom"/>
          </w:tcPr>
          <w:p>
            <w:pPr>
              <w:spacing w:after="0"/>
              <w:rPr>
                <w:sz w:val="4"/>
                <w:szCs w:val="4"/>
                <w:color w:val="auto"/>
              </w:rPr>
            </w:pPr>
          </w:p>
        </w:tc>
        <w:tc>
          <w:tcPr>
            <w:tcW w:w="4520" w:type="dxa"/>
            <w:vAlign w:val="bottom"/>
          </w:tcPr>
          <w:p>
            <w:pPr>
              <w:spacing w:after="0"/>
              <w:rPr>
                <w:sz w:val="4"/>
                <w:szCs w:val="4"/>
                <w:color w:val="auto"/>
              </w:rPr>
            </w:pPr>
          </w:p>
        </w:tc>
        <w:tc>
          <w:tcPr>
            <w:tcW w:w="33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60" w:type="dxa"/>
            <w:vAlign w:val="bottom"/>
            <w:tcBorders>
              <w:right w:val="single" w:sz="8" w:color="auto"/>
            </w:tcBorders>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2,729,909</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2,729,909</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0" w:type="dxa"/>
            <w:vAlign w:val="bottom"/>
            <w:tcBorders>
              <w:right w:val="single" w:sz="8" w:color="auto"/>
            </w:tcBorders>
            <w:shd w:val="clear" w:color="auto" w:fill="000000"/>
          </w:tcPr>
          <w:p>
            <w:pPr>
              <w:spacing w:after="0"/>
              <w:rPr>
                <w:sz w:val="24"/>
                <w:szCs w:val="24"/>
                <w:color w:val="auto"/>
              </w:rPr>
            </w:pPr>
          </w:p>
        </w:tc>
        <w:tc>
          <w:tcPr>
            <w:tcW w:w="560" w:type="dxa"/>
            <w:vAlign w:val="bottom"/>
            <w:vMerge w:val="continue"/>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9.38%</w:t>
            </w:r>
            <w:r>
              <w:rPr>
                <w:rFonts w:ascii="Times New Roman" w:cs="Times New Roman" w:eastAsia="Times New Roman" w:hAnsi="Times New Roman"/>
                <w:sz w:val="29"/>
                <w:szCs w:val="29"/>
                <w:color w:val="auto"/>
                <w:vertAlign w:val="superscript"/>
              </w:rPr>
              <w:t>1</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320" w:type="dxa"/>
            <w:vAlign w:val="bottom"/>
            <w:tcBorders>
              <w:bottom w:val="single" w:sz="8" w:color="auto"/>
              <w:right w:val="single" w:sz="8" w:color="auto"/>
            </w:tcBorders>
          </w:tcPr>
          <w:p>
            <w:pPr>
              <w:spacing w:after="0"/>
              <w:rPr>
                <w:sz w:val="21"/>
                <w:szCs w:val="21"/>
                <w:color w:val="auto"/>
              </w:rPr>
            </w:pPr>
          </w:p>
        </w:tc>
        <w:tc>
          <w:tcPr>
            <w:tcW w:w="1360" w:type="dxa"/>
            <w:vAlign w:val="bottom"/>
            <w:tcBorders>
              <w:bottom w:val="single" w:sz="8" w:color="auto"/>
            </w:tcBorders>
            <w:vMerge w:val="continue"/>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520" w:type="dxa"/>
            <w:vAlign w:val="bottom"/>
            <w:tcBorders>
              <w:bottom w:val="single" w:sz="8" w:color="auto"/>
            </w:tcBorders>
          </w:tcPr>
          <w:p>
            <w:pPr>
              <w:spacing w:after="0"/>
              <w:rPr>
                <w:sz w:val="21"/>
                <w:szCs w:val="21"/>
                <w:color w:val="auto"/>
              </w:rPr>
            </w:pPr>
          </w:p>
        </w:tc>
        <w:tc>
          <w:tcPr>
            <w:tcW w:w="3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IA/OO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ind w:left="160" w:hanging="107"/>
        <w:spacing w:after="0" w:line="184" w:lineRule="auto"/>
        <w:tabs>
          <w:tab w:leader="none" w:pos="160" w:val="left"/>
        </w:tabs>
        <w:numPr>
          <w:ilvl w:val="0"/>
          <w:numId w:val="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Based on a total of 29,110,941 shares outstanding, which is the sum of (i) 27,055,107 common shares outstanding as reported by the Issuer in its Form</w:t>
      </w:r>
    </w:p>
    <w:p>
      <w:pPr>
        <w:spacing w:after="0" w:line="2" w:lineRule="exact"/>
        <w:rPr>
          <w:rFonts w:ascii="Times New Roman" w:cs="Times New Roman" w:eastAsia="Times New Roman" w:hAnsi="Times New Roman"/>
          <w:sz w:val="29"/>
          <w:szCs w:val="29"/>
          <w:color w:val="auto"/>
          <w:vertAlign w:val="superscript"/>
        </w:rPr>
      </w:pPr>
    </w:p>
    <w:p>
      <w:pPr>
        <w:spacing w:after="0" w:line="258"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10-Q filed with the Securities and Exchange Commission (the "SEC") on August 13, 2024 and (ii) 2,055,834 shares of the Common Stock issuable upon exercise of warrants held by the reporting persons (subject to the Beneficial Ownership 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365760</wp:posOffset>
            </wp:positionV>
            <wp:extent cx="7136130"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92840H400</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3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Dr. Jeffrey R. Jay, M.D.</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USA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2,729,909</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2,729,909</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2,729,909</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0" w:type="dxa"/>
            <w:vAlign w:val="bottom"/>
            <w:tcBorders>
              <w:right w:val="single" w:sz="8" w:color="auto"/>
            </w:tcBorders>
            <w:shd w:val="clear" w:color="auto" w:fill="000000"/>
          </w:tcPr>
          <w:p>
            <w:pPr>
              <w:spacing w:after="0"/>
              <w:rPr>
                <w:sz w:val="24"/>
                <w:szCs w:val="24"/>
                <w:color w:val="auto"/>
              </w:rPr>
            </w:pPr>
          </w:p>
        </w:tc>
        <w:tc>
          <w:tcPr>
            <w:tcW w:w="560" w:type="dxa"/>
            <w:vAlign w:val="bottom"/>
            <w:vMerge w:val="continue"/>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9.38%</w:t>
            </w:r>
            <w:r>
              <w:rPr>
                <w:rFonts w:ascii="Times New Roman" w:cs="Times New Roman" w:eastAsia="Times New Roman" w:hAnsi="Times New Roman"/>
                <w:sz w:val="29"/>
                <w:szCs w:val="29"/>
                <w:color w:val="auto"/>
                <w:vertAlign w:val="superscript"/>
              </w:rPr>
              <w:t>1</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320" w:type="dxa"/>
            <w:vAlign w:val="bottom"/>
            <w:tcBorders>
              <w:bottom w:val="single" w:sz="8" w:color="auto"/>
              <w:right w:val="single" w:sz="8" w:color="auto"/>
            </w:tcBorders>
          </w:tcPr>
          <w:p>
            <w:pPr>
              <w:spacing w:after="0"/>
              <w:rPr>
                <w:sz w:val="21"/>
                <w:szCs w:val="21"/>
                <w:color w:val="auto"/>
              </w:rPr>
            </w:pPr>
          </w:p>
        </w:tc>
        <w:tc>
          <w:tcPr>
            <w:tcW w:w="1360" w:type="dxa"/>
            <w:vAlign w:val="bottom"/>
            <w:tcBorders>
              <w:bottom w:val="single" w:sz="8" w:color="auto"/>
            </w:tcBorders>
            <w:vMerge w:val="continue"/>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520" w:type="dxa"/>
            <w:vAlign w:val="bottom"/>
            <w:tcBorders>
              <w:bottom w:val="single" w:sz="8" w:color="auto"/>
            </w:tcBorders>
          </w:tcPr>
          <w:p>
            <w:pPr>
              <w:spacing w:after="0"/>
              <w:rPr>
                <w:sz w:val="21"/>
                <w:szCs w:val="21"/>
                <w:color w:val="auto"/>
              </w:rPr>
            </w:pPr>
          </w:p>
        </w:tc>
        <w:tc>
          <w:tcPr>
            <w:tcW w:w="3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IN/HC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jc w:val="both"/>
        <w:ind w:firstLine="8"/>
        <w:spacing w:after="0" w:line="210" w:lineRule="auto"/>
        <w:tabs>
          <w:tab w:leader="none" w:pos="112"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on a total of 29,110,941 shares outstanding, which is the sum of (i) 27,055,107 common shares outstanding as reported by the Issuer in its Form 10-Q filed with the Securities and Exchange Commission (the "SEC") on August 13, 2024 and (ii) 2,055,834 shares of the Common Stock issuable upon exercise of warrants held by the reporting persons (subject to the Beneficial Ownership 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376555</wp:posOffset>
            </wp:positionV>
            <wp:extent cx="713613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1162"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480" w:type="dxa"/>
            <w:vAlign w:val="bottom"/>
            <w:tcBorders>
              <w:top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92840H400</w:t>
            </w:r>
          </w:p>
        </w:tc>
        <w:tc>
          <w:tcPr>
            <w:tcW w:w="64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4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gridSpan w:val="2"/>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6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Ms. Lillian Nordahl</w:t>
            </w: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6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USA</w:t>
            </w: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24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240" w:type="dxa"/>
            <w:vAlign w:val="bottom"/>
          </w:tcPr>
          <w:p>
            <w:pPr>
              <w:spacing w:after="0"/>
              <w:rPr>
                <w:sz w:val="18"/>
                <w:szCs w:val="18"/>
                <w:color w:val="auto"/>
              </w:rPr>
            </w:pPr>
          </w:p>
        </w:tc>
        <w:tc>
          <w:tcPr>
            <w:tcW w:w="64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40" w:type="dxa"/>
            <w:vAlign w:val="bottom"/>
          </w:tcPr>
          <w:p>
            <w:pPr>
              <w:spacing w:after="0"/>
              <w:rPr>
                <w:sz w:val="18"/>
                <w:szCs w:val="18"/>
                <w:color w:val="auto"/>
              </w:rPr>
            </w:pPr>
          </w:p>
        </w:tc>
        <w:tc>
          <w:tcPr>
            <w:tcW w:w="64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2,729,909</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240" w:type="dxa"/>
            <w:vAlign w:val="bottom"/>
          </w:tcPr>
          <w:p>
            <w:pPr>
              <w:spacing w:after="0"/>
              <w:rPr>
                <w:sz w:val="17"/>
                <w:szCs w:val="17"/>
                <w:color w:val="auto"/>
              </w:rPr>
            </w:pPr>
          </w:p>
        </w:tc>
        <w:tc>
          <w:tcPr>
            <w:tcW w:w="64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240" w:type="dxa"/>
            <w:vAlign w:val="bottom"/>
          </w:tcPr>
          <w:p>
            <w:pPr>
              <w:spacing w:after="0"/>
              <w:rPr>
                <w:sz w:val="18"/>
                <w:szCs w:val="18"/>
                <w:color w:val="auto"/>
              </w:rPr>
            </w:pPr>
          </w:p>
        </w:tc>
        <w:tc>
          <w:tcPr>
            <w:tcW w:w="64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24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240" w:type="dxa"/>
            <w:vAlign w:val="bottom"/>
            <w:tcBorders>
              <w:bottom w:val="single" w:sz="8" w:color="auto"/>
            </w:tcBorders>
          </w:tcPr>
          <w:p>
            <w:pPr>
              <w:spacing w:after="0"/>
              <w:rPr>
                <w:sz w:val="8"/>
                <w:szCs w:val="8"/>
                <w:color w:val="auto"/>
              </w:rPr>
            </w:pPr>
          </w:p>
        </w:tc>
        <w:tc>
          <w:tcPr>
            <w:tcW w:w="64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2,729,909</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gridSpan w:val="2"/>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2,729,909</w:t>
            </w: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5"/>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0" w:type="dxa"/>
            <w:vAlign w:val="bottom"/>
            <w:tcBorders>
              <w:right w:val="single" w:sz="8" w:color="auto"/>
            </w:tcBorders>
            <w:shd w:val="clear" w:color="auto" w:fill="000000"/>
          </w:tcPr>
          <w:p>
            <w:pPr>
              <w:spacing w:after="0"/>
              <w:rPr>
                <w:sz w:val="24"/>
                <w:szCs w:val="24"/>
                <w:color w:val="auto"/>
              </w:rPr>
            </w:pPr>
          </w:p>
        </w:tc>
        <w:tc>
          <w:tcPr>
            <w:tcW w:w="560" w:type="dxa"/>
            <w:vAlign w:val="bottom"/>
            <w:vMerge w:val="continue"/>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9.38%</w:t>
            </w:r>
            <w:r>
              <w:rPr>
                <w:rFonts w:ascii="Times New Roman" w:cs="Times New Roman" w:eastAsia="Times New Roman" w:hAnsi="Times New Roman"/>
                <w:sz w:val="29"/>
                <w:szCs w:val="29"/>
                <w:color w:val="auto"/>
                <w:vertAlign w:val="superscript"/>
              </w:rPr>
              <w:t>1</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320" w:type="dxa"/>
            <w:vAlign w:val="bottom"/>
            <w:tcBorders>
              <w:bottom w:val="single" w:sz="8" w:color="auto"/>
              <w:right w:val="single" w:sz="8" w:color="auto"/>
            </w:tcBorders>
          </w:tcPr>
          <w:p>
            <w:pPr>
              <w:spacing w:after="0"/>
              <w:rPr>
                <w:sz w:val="21"/>
                <w:szCs w:val="21"/>
                <w:color w:val="auto"/>
              </w:rPr>
            </w:pPr>
          </w:p>
        </w:tc>
        <w:tc>
          <w:tcPr>
            <w:tcW w:w="136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520" w:type="dxa"/>
            <w:vAlign w:val="bottom"/>
            <w:tcBorders>
              <w:bottom w:val="single" w:sz="8" w:color="auto"/>
            </w:tcBorders>
          </w:tcPr>
          <w:p>
            <w:pPr>
              <w:spacing w:after="0"/>
              <w:rPr>
                <w:sz w:val="21"/>
                <w:szCs w:val="21"/>
                <w:color w:val="auto"/>
              </w:rPr>
            </w:pPr>
          </w:p>
        </w:tc>
        <w:tc>
          <w:tcPr>
            <w:tcW w:w="3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6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IN/HC</w:t>
            </w: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jc w:val="both"/>
        <w:ind w:firstLine="8"/>
        <w:spacing w:after="0" w:line="210" w:lineRule="auto"/>
        <w:tabs>
          <w:tab w:leader="none" w:pos="112"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on a total of 29,110,941 shares outstanding, which is the sum of (i) 27,055,107 common shares outstanding as reported by the Issuer in its Form 10-Q filed with the Securities and Exchange Commission (the "SEC") on August 13, 2024 and (ii) 2,055,834 shares of the Common Stock issuable upon exercise of warrants held by the reporting persons (subject to the Beneficial Ownership 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119380</wp:posOffset>
            </wp:positionV>
            <wp:extent cx="7136130"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92840H400</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5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19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343 Allerton Ave.</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20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Names of Persons Filing:</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Great Point Partners, LLC</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Dr. Jeffrey R. Jay, M.D.</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Ms. Lillian Nordahl</w:t>
      </w:r>
    </w:p>
    <w:p>
      <w:pPr>
        <w:spacing w:after="0" w:line="207" w:lineRule="exact"/>
        <w:rPr>
          <w:sz w:val="20"/>
          <w:szCs w:val="20"/>
          <w:color w:val="auto"/>
        </w:rPr>
      </w:pPr>
    </w:p>
    <w:p>
      <w:pPr>
        <w:jc w:val="both"/>
        <w:ind w:left="800"/>
        <w:spacing w:after="0" w:line="266" w:lineRule="auto"/>
        <w:rPr>
          <w:sz w:val="20"/>
          <w:szCs w:val="20"/>
          <w:color w:val="auto"/>
        </w:rPr>
      </w:pPr>
      <w:r>
        <w:rPr>
          <w:rFonts w:ascii="Times New Roman" w:cs="Times New Roman" w:eastAsia="Times New Roman" w:hAnsi="Times New Roman"/>
          <w:sz w:val="18"/>
          <w:szCs w:val="18"/>
          <w:color w:val="auto"/>
        </w:rPr>
        <w:t>The Reporting Persons have entered into a Joint Filing Agreement, dated November 14, 2024, a copy of which is filed with this SCHEDULE 13G/A as Exhibit A, pursuant to which the Reporting Persons have agreed to file this statement jointly in accordance with the provisions of Rule 13d-1(k)(1) under the Act.</w:t>
      </w:r>
    </w:p>
    <w:p>
      <w:pPr>
        <w:spacing w:after="0" w:line="17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(b) Address of Principal Business Office:</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The address of the principal business office of each of the Reporting Persons is</w:t>
      </w:r>
    </w:p>
    <w:p>
      <w:pPr>
        <w:spacing w:after="0" w:line="2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165 Mason Street, 3rd Floor</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20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(c) Citizenship:</w:t>
      </w:r>
    </w:p>
    <w:p>
      <w:pPr>
        <w:spacing w:after="0" w:line="121" w:lineRule="exact"/>
        <w:rPr>
          <w:sz w:val="20"/>
          <w:szCs w:val="20"/>
          <w:color w:val="auto"/>
        </w:rPr>
      </w:pPr>
    </w:p>
    <w:p>
      <w:pPr>
        <w:ind w:left="800"/>
        <w:spacing w:after="0" w:line="282" w:lineRule="auto"/>
        <w:rPr>
          <w:sz w:val="20"/>
          <w:szCs w:val="20"/>
          <w:color w:val="auto"/>
        </w:rPr>
      </w:pPr>
      <w:r>
        <w:rPr>
          <w:rFonts w:ascii="Times New Roman" w:cs="Times New Roman" w:eastAsia="Times New Roman" w:hAnsi="Times New Roman"/>
          <w:sz w:val="18"/>
          <w:szCs w:val="18"/>
          <w:color w:val="auto"/>
        </w:rPr>
        <w:t>Great Point Partners, LLC is a limited liability company organized under the laws of the State of Delaware. Dr. Jeffrey R. Jay, M.D. is a citizen of the United States. Ms. Lillian Nordahl is a citizen of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 Title of Class of Securities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Common Stock, $0.001 par value per share (the “Common Stock”)</w:t>
      </w:r>
    </w:p>
    <w:p>
      <w:pPr>
        <w:spacing w:after="0" w:line="22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92840H400</w:t>
      </w:r>
    </w:p>
    <w:p>
      <w:pPr>
        <w:spacing w:after="0" w:line="335"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92840H400</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6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0" w:lineRule="exact"/>
        <w:rPr>
          <w:sz w:val="20"/>
          <w:szCs w:val="20"/>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65"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5"/>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7"/>
          <w:szCs w:val="17"/>
          <w:color w:val="auto"/>
        </w:rPr>
        <w:t>An investment adviser in accordance with §240.13d-1(b)(1)(ii)(E);</w:t>
      </w:r>
    </w:p>
    <w:p>
      <w:pPr>
        <w:spacing w:after="0" w:line="95"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900" w:right="200" w:hanging="595"/>
        <w:spacing w:after="0" w:line="243" w:lineRule="exact"/>
        <w:tabs>
          <w:tab w:leader="none" w:pos="60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68"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900" w:right="460" w:hanging="595"/>
        <w:spacing w:after="0" w:line="243" w:lineRule="exact"/>
        <w:tabs>
          <w:tab w:leader="none" w:pos="60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30" w:type="dxa"/>
        <w:tblCellMar>
          <w:top w:w="0" w:type="dxa"/>
          <w:left w:w="0" w:type="dxa"/>
          <w:bottom w:w="0" w:type="dxa"/>
          <w:right w:w="0" w:type="dxa"/>
        </w:tblCellMar>
      </w:tblPr>
      <w:tr>
        <w:trPr>
          <w:trHeight w:val="347"/>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92840H400</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7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ectPr>
          <w:pgSz w:w="11900" w:h="16838" w:orient="portrait"/>
          <w:cols w:equalWidth="0" w:num="1">
            <w:col w:w="11240"/>
          </w:cols>
          <w:pgMar w:left="320" w:top="663" w:right="339" w:bottom="0" w:gutter="0" w:footer="0" w:header="0"/>
        </w:sectPr>
      </w:pPr>
    </w:p>
    <w:bookmarkStart w:id="5" w:name="page6"/>
    <w:bookmarkEnd w:id="5"/>
    <w:p>
      <w:pPr>
        <w:jc w:val="both"/>
        <w:ind w:left="80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Items 4(a) - (c) is set forth in Rows (5) - (11) of the cover pages for the Reporting Persons and is incorporated herein by reference.</w:t>
      </w:r>
    </w:p>
    <w:p>
      <w:pPr>
        <w:spacing w:after="0" w:line="54" w:lineRule="exact"/>
        <w:rPr>
          <w:sz w:val="20"/>
          <w:szCs w:val="20"/>
          <w:color w:val="auto"/>
        </w:rPr>
      </w:pPr>
    </w:p>
    <w:p>
      <w:pPr>
        <w:jc w:val="both"/>
        <w:ind w:left="800"/>
        <w:spacing w:after="0" w:line="261" w:lineRule="auto"/>
        <w:rPr>
          <w:sz w:val="20"/>
          <w:szCs w:val="20"/>
          <w:color w:val="auto"/>
        </w:rPr>
      </w:pPr>
      <w:r>
        <w:rPr>
          <w:rFonts w:ascii="Times New Roman" w:cs="Times New Roman" w:eastAsia="Times New Roman" w:hAnsi="Times New Roman"/>
          <w:sz w:val="18"/>
          <w:szCs w:val="18"/>
          <w:color w:val="auto"/>
        </w:rPr>
        <w:t>The percentage set forth in Row (11) of the cover pages for the Reporting Persons are based on a total of 29,110,941 shares outstanding, which is the sum of (i) 27,055,107 common shares outstanding as reported by the Issuer in its Form 10-Q filed with the Securities and Exchange Commission (the "SEC") on August 13, 2024 and (ii) 2,055,834 shares of the Common Stock issuable upon exercise of warrants held by the reporting persons (subject to the Beneficial Ownership Cap).</w:t>
      </w:r>
    </w:p>
    <w:p>
      <w:pPr>
        <w:spacing w:after="0" w:line="72" w:lineRule="exact"/>
        <w:rPr>
          <w:sz w:val="20"/>
          <w:szCs w:val="20"/>
          <w:color w:val="auto"/>
        </w:rPr>
      </w:pPr>
    </w:p>
    <w:p>
      <w:pPr>
        <w:jc w:val="both"/>
        <w:ind w:left="800"/>
        <w:spacing w:after="0" w:line="261" w:lineRule="auto"/>
        <w:rPr>
          <w:sz w:val="20"/>
          <w:szCs w:val="20"/>
          <w:color w:val="auto"/>
        </w:rPr>
      </w:pPr>
      <w:r>
        <w:rPr>
          <w:rFonts w:ascii="Times New Roman" w:cs="Times New Roman" w:eastAsia="Times New Roman" w:hAnsi="Times New Roman"/>
          <w:sz w:val="18"/>
          <w:szCs w:val="18"/>
          <w:color w:val="auto"/>
        </w:rPr>
        <w:t>Biomedical Value Fund, L.P. (“BVF”) is the record holder of 399,238 shares of Common Stock (the “BVF Shares”). BVF is the record holder of warrants to purchase an additional 1,167,713 shares of Common Stock (the “BVF Warrants”). Each of Dr. Jeffrey R. Jay, M.D. (“Dr. Jay”), as Senior Managing Member of Great Point, and Ms. Lillian Nordahl (“Ms. Nordahl”), as Managing Director of Great Point, has voting and investment power with respect to the BVF Shares, and therefore may be deemed to be the beneficial owner of the BVF Shares.</w:t>
      </w:r>
    </w:p>
    <w:p>
      <w:pPr>
        <w:spacing w:after="0" w:line="72" w:lineRule="exact"/>
        <w:rPr>
          <w:sz w:val="20"/>
          <w:szCs w:val="20"/>
          <w:color w:val="auto"/>
        </w:rPr>
      </w:pPr>
    </w:p>
    <w:p>
      <w:pPr>
        <w:jc w:val="both"/>
        <w:ind w:left="800"/>
        <w:spacing w:after="0" w:line="261" w:lineRule="auto"/>
        <w:rPr>
          <w:sz w:val="20"/>
          <w:szCs w:val="20"/>
          <w:color w:val="auto"/>
        </w:rPr>
      </w:pPr>
      <w:r>
        <w:rPr>
          <w:rFonts w:ascii="Times New Roman" w:cs="Times New Roman" w:eastAsia="Times New Roman" w:hAnsi="Times New Roman"/>
          <w:sz w:val="18"/>
          <w:szCs w:val="18"/>
          <w:color w:val="auto"/>
        </w:rPr>
        <w:t>Biomedical Offshore Value Fund, Ltd. (“BOVF”) is the record holder of 274,837 shares of Common Stock (the “BOVF Shares”). BOVF is the record holder of warrants to purchase an additional 748,324 shares of Common Stock (the “BOVF Warrants”). Each of Dr. Jeffrey R. Jay, M.D. (“Dr. Jay”), as Senior Managing Member of Great Point, and Ms. Lillian Nordahl (“Ms. Nordahl”), as Managing Director of Great Point, has voting and investment power with respect to the BOVF Shares, and therefore may be deemed to be the beneficial owner of the BOVF Shares.</w:t>
      </w:r>
    </w:p>
    <w:p>
      <w:pPr>
        <w:spacing w:after="0" w:line="72" w:lineRule="exact"/>
        <w:rPr>
          <w:sz w:val="20"/>
          <w:szCs w:val="20"/>
          <w:color w:val="auto"/>
        </w:rPr>
      </w:pPr>
    </w:p>
    <w:p>
      <w:pPr>
        <w:jc w:val="both"/>
        <w:ind w:left="800"/>
        <w:spacing w:after="0" w:line="261" w:lineRule="auto"/>
        <w:rPr>
          <w:sz w:val="20"/>
          <w:szCs w:val="20"/>
          <w:color w:val="auto"/>
        </w:rPr>
      </w:pPr>
      <w:r>
        <w:rPr>
          <w:rFonts w:ascii="Times New Roman" w:cs="Times New Roman" w:eastAsia="Times New Roman" w:hAnsi="Times New Roman"/>
          <w:sz w:val="18"/>
          <w:szCs w:val="18"/>
          <w:color w:val="auto"/>
        </w:rPr>
        <w:t>Cheyne Global Equity Fund (an Open-Ended Fund of Cheyne Select Master Fund ICAV) (“CGEF”) is the record holder of warrants to purchase 139,797 shares of Common Stock (the “CGEF Warrants”). Each of Dr. Jeffrey R. Jay, M.D. (“Dr. Jay”), as Senior Managing Member of Great Point, and Ms. Lillian Nordahl (“Ms. Nordahl”), as Managing Director of Great Point, has voting and investment power with respect to the CGEF Shares, and therefore may be deemed to be the beneficial owner of the CGEF Shares.</w:t>
      </w:r>
    </w:p>
    <w:p>
      <w:pPr>
        <w:spacing w:after="0" w:line="72" w:lineRule="exact"/>
        <w:rPr>
          <w:sz w:val="20"/>
          <w:szCs w:val="20"/>
          <w:color w:val="auto"/>
        </w:rPr>
      </w:pPr>
    </w:p>
    <w:p>
      <w:pPr>
        <w:jc w:val="both"/>
        <w:ind w:left="800"/>
        <w:spacing w:after="0" w:line="282" w:lineRule="auto"/>
        <w:rPr>
          <w:sz w:val="20"/>
          <w:szCs w:val="20"/>
          <w:color w:val="auto"/>
        </w:rPr>
      </w:pPr>
      <w:r>
        <w:rPr>
          <w:rFonts w:ascii="Times New Roman" w:cs="Times New Roman" w:eastAsia="Times New Roman" w:hAnsi="Times New Roman"/>
          <w:sz w:val="18"/>
          <w:szCs w:val="18"/>
          <w:color w:val="auto"/>
        </w:rPr>
        <w:t>Notwithstanding the above, Great Point, Dr. Jay and Ms. Nordahl disclaim beneficial ownership of the BVF Shares, the BOVF Shares, and the CGEF Shares, except to the extent of their respective pecuniary interests.</w:t>
      </w:r>
    </w:p>
    <w:p>
      <w:pPr>
        <w:spacing w:after="0" w:line="5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13" w:lineRule="exact"/>
        <w:rPr>
          <w:sz w:val="20"/>
          <w:szCs w:val="20"/>
          <w:color w:val="auto"/>
        </w:rPr>
      </w:pPr>
    </w:p>
    <w:p>
      <w:pPr>
        <w:ind w:left="980" w:hanging="180"/>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Great Point Partners, LLC</w:t>
      </w:r>
    </w:p>
    <w:p>
      <w:pPr>
        <w:spacing w:after="0" w:line="121" w:lineRule="exact"/>
        <w:rPr>
          <w:sz w:val="20"/>
          <w:szCs w:val="20"/>
          <w:color w:val="auto"/>
        </w:rPr>
      </w:pPr>
    </w:p>
    <w:p>
      <w:pPr>
        <w:ind w:left="1040" w:hanging="240"/>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2,729,909</w:t>
      </w:r>
    </w:p>
    <w:p>
      <w:pPr>
        <w:spacing w:after="0" w:line="120"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9.38%</w:t>
      </w:r>
      <w:r>
        <w:rPr>
          <w:rFonts w:ascii="Times New Roman" w:cs="Times New Roman" w:eastAsia="Times New Roman" w:hAnsi="Times New Roman"/>
          <w:sz w:val="29"/>
          <w:szCs w:val="29"/>
          <w:color w:val="auto"/>
          <w:vertAlign w:val="superscript"/>
        </w:rPr>
        <w:t>1</w:t>
      </w:r>
    </w:p>
    <w:p>
      <w:pPr>
        <w:spacing w:after="0" w:line="47" w:lineRule="exact"/>
        <w:rPr>
          <w:rFonts w:ascii="Times New Roman" w:cs="Times New Roman" w:eastAsia="Times New Roman" w:hAnsi="Times New Roman"/>
          <w:sz w:val="18"/>
          <w:szCs w:val="18"/>
          <w:color w:val="auto"/>
        </w:rPr>
      </w:pPr>
    </w:p>
    <w:p>
      <w:pPr>
        <w:ind w:left="1040" w:hanging="240"/>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97" w:lineRule="exact"/>
        <w:rPr>
          <w:rFonts w:ascii="Times New Roman" w:cs="Times New Roman" w:eastAsia="Times New Roman" w:hAnsi="Times New Roman"/>
          <w:sz w:val="18"/>
          <w:szCs w:val="18"/>
          <w:color w:val="auto"/>
        </w:rPr>
      </w:pPr>
    </w:p>
    <w:p>
      <w:pPr>
        <w:ind w:left="1380" w:hanging="220"/>
        <w:spacing w:after="0"/>
        <w:tabs>
          <w:tab w:leader="none" w:pos="13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117" w:lineRule="exact"/>
        <w:rPr>
          <w:rFonts w:ascii="Times New Roman" w:cs="Times New Roman" w:eastAsia="Times New Roman" w:hAnsi="Times New Roman"/>
          <w:sz w:val="18"/>
          <w:szCs w:val="18"/>
          <w:color w:val="auto"/>
        </w:rPr>
      </w:pPr>
    </w:p>
    <w:p>
      <w:pPr>
        <w:ind w:left="1420" w:hanging="260"/>
        <w:spacing w:after="0"/>
        <w:tabs>
          <w:tab w:leader="none" w:pos="14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2,729,909</w:t>
      </w:r>
    </w:p>
    <w:p>
      <w:pPr>
        <w:spacing w:after="0" w:line="117" w:lineRule="exact"/>
        <w:rPr>
          <w:rFonts w:ascii="Times New Roman" w:cs="Times New Roman" w:eastAsia="Times New Roman" w:hAnsi="Times New Roman"/>
          <w:sz w:val="18"/>
          <w:szCs w:val="18"/>
          <w:color w:val="auto"/>
        </w:rPr>
      </w:pPr>
    </w:p>
    <w:p>
      <w:pPr>
        <w:ind w:left="1480" w:hanging="320"/>
        <w:spacing w:after="0"/>
        <w:tabs>
          <w:tab w:leader="none" w:pos="14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117" w:lineRule="exact"/>
        <w:rPr>
          <w:rFonts w:ascii="Times New Roman" w:cs="Times New Roman" w:eastAsia="Times New Roman" w:hAnsi="Times New Roman"/>
          <w:sz w:val="18"/>
          <w:szCs w:val="18"/>
          <w:color w:val="auto"/>
        </w:rPr>
      </w:pPr>
    </w:p>
    <w:p>
      <w:pPr>
        <w:ind w:left="1460" w:hanging="300"/>
        <w:spacing w:after="0"/>
        <w:tabs>
          <w:tab w:leader="none" w:pos="14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2,729,909</w:t>
      </w:r>
    </w:p>
    <w:p>
      <w:pPr>
        <w:spacing w:after="0" w:line="200" w:lineRule="exact"/>
        <w:rPr>
          <w:sz w:val="20"/>
          <w:szCs w:val="20"/>
          <w:color w:val="auto"/>
        </w:rPr>
      </w:pPr>
    </w:p>
    <w:p>
      <w:pPr>
        <w:spacing w:after="0" w:line="237" w:lineRule="exact"/>
        <w:rPr>
          <w:sz w:val="20"/>
          <w:szCs w:val="20"/>
          <w:color w:val="auto"/>
        </w:rPr>
      </w:pPr>
    </w:p>
    <w:p>
      <w:pPr>
        <w:ind w:left="980" w:hanging="180"/>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Dr. Jeffrey R. Jay, M.D.</w:t>
      </w:r>
    </w:p>
    <w:p>
      <w:pPr>
        <w:spacing w:after="0" w:line="121" w:lineRule="exact"/>
        <w:rPr>
          <w:sz w:val="20"/>
          <w:szCs w:val="20"/>
          <w:color w:val="auto"/>
        </w:rPr>
      </w:pPr>
    </w:p>
    <w:p>
      <w:pPr>
        <w:ind w:left="1040" w:hanging="240"/>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2,729,909</w:t>
      </w:r>
    </w:p>
    <w:p>
      <w:pPr>
        <w:spacing w:after="0" w:line="120"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9.38%</w:t>
      </w:r>
      <w:r>
        <w:rPr>
          <w:rFonts w:ascii="Times New Roman" w:cs="Times New Roman" w:eastAsia="Times New Roman" w:hAnsi="Times New Roman"/>
          <w:sz w:val="29"/>
          <w:szCs w:val="29"/>
          <w:color w:val="auto"/>
          <w:vertAlign w:val="superscript"/>
        </w:rPr>
        <w:t>1</w:t>
      </w:r>
    </w:p>
    <w:p>
      <w:pPr>
        <w:spacing w:after="0" w:line="47" w:lineRule="exact"/>
        <w:rPr>
          <w:rFonts w:ascii="Times New Roman" w:cs="Times New Roman" w:eastAsia="Times New Roman" w:hAnsi="Times New Roman"/>
          <w:sz w:val="18"/>
          <w:szCs w:val="18"/>
          <w:color w:val="auto"/>
        </w:rPr>
      </w:pPr>
    </w:p>
    <w:p>
      <w:pPr>
        <w:ind w:left="1040" w:hanging="240"/>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97" w:lineRule="exact"/>
        <w:rPr>
          <w:rFonts w:ascii="Times New Roman" w:cs="Times New Roman" w:eastAsia="Times New Roman" w:hAnsi="Times New Roman"/>
          <w:sz w:val="18"/>
          <w:szCs w:val="18"/>
          <w:color w:val="auto"/>
        </w:rPr>
      </w:pPr>
    </w:p>
    <w:p>
      <w:pPr>
        <w:ind w:left="1380" w:hanging="220"/>
        <w:spacing w:after="0"/>
        <w:tabs>
          <w:tab w:leader="none" w:pos="13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117" w:lineRule="exact"/>
        <w:rPr>
          <w:rFonts w:ascii="Times New Roman" w:cs="Times New Roman" w:eastAsia="Times New Roman" w:hAnsi="Times New Roman"/>
          <w:sz w:val="18"/>
          <w:szCs w:val="18"/>
          <w:color w:val="auto"/>
        </w:rPr>
      </w:pPr>
    </w:p>
    <w:p>
      <w:pPr>
        <w:ind w:left="1420" w:hanging="260"/>
        <w:spacing w:after="0"/>
        <w:tabs>
          <w:tab w:leader="none" w:pos="14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2,729,909</w:t>
      </w:r>
    </w:p>
    <w:p>
      <w:pPr>
        <w:spacing w:after="0" w:line="117" w:lineRule="exact"/>
        <w:rPr>
          <w:rFonts w:ascii="Times New Roman" w:cs="Times New Roman" w:eastAsia="Times New Roman" w:hAnsi="Times New Roman"/>
          <w:sz w:val="18"/>
          <w:szCs w:val="18"/>
          <w:color w:val="auto"/>
        </w:rPr>
      </w:pPr>
    </w:p>
    <w:p>
      <w:pPr>
        <w:ind w:left="1480" w:hanging="320"/>
        <w:spacing w:after="0"/>
        <w:tabs>
          <w:tab w:leader="none" w:pos="14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117" w:lineRule="exact"/>
        <w:rPr>
          <w:rFonts w:ascii="Times New Roman" w:cs="Times New Roman" w:eastAsia="Times New Roman" w:hAnsi="Times New Roman"/>
          <w:sz w:val="18"/>
          <w:szCs w:val="18"/>
          <w:color w:val="auto"/>
        </w:rPr>
      </w:pPr>
    </w:p>
    <w:p>
      <w:pPr>
        <w:ind w:left="1460" w:hanging="300"/>
        <w:spacing w:after="0"/>
        <w:tabs>
          <w:tab w:leader="none" w:pos="14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2,729,909</w:t>
      </w:r>
    </w:p>
    <w:p>
      <w:pPr>
        <w:spacing w:after="0" w:line="200" w:lineRule="exact"/>
        <w:rPr>
          <w:sz w:val="20"/>
          <w:szCs w:val="20"/>
          <w:color w:val="auto"/>
        </w:rPr>
      </w:pPr>
    </w:p>
    <w:p>
      <w:pPr>
        <w:spacing w:after="0" w:line="237" w:lineRule="exact"/>
        <w:rPr>
          <w:sz w:val="20"/>
          <w:szCs w:val="20"/>
          <w:color w:val="auto"/>
        </w:rPr>
      </w:pPr>
    </w:p>
    <w:p>
      <w:pPr>
        <w:ind w:left="980" w:hanging="180"/>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Ms. Lillian Nordahl</w:t>
      </w:r>
    </w:p>
    <w:p>
      <w:pPr>
        <w:spacing w:after="0" w:line="121" w:lineRule="exact"/>
        <w:rPr>
          <w:sz w:val="20"/>
          <w:szCs w:val="20"/>
          <w:color w:val="auto"/>
        </w:rPr>
      </w:pPr>
    </w:p>
    <w:p>
      <w:pPr>
        <w:ind w:left="1040" w:hanging="240"/>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2,729,909</w:t>
      </w:r>
    </w:p>
    <w:p>
      <w:pPr>
        <w:spacing w:after="0" w:line="120"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9.38%</w:t>
      </w:r>
      <w:r>
        <w:rPr>
          <w:rFonts w:ascii="Times New Roman" w:cs="Times New Roman" w:eastAsia="Times New Roman" w:hAnsi="Times New Roman"/>
          <w:sz w:val="29"/>
          <w:szCs w:val="29"/>
          <w:color w:val="auto"/>
          <w:vertAlign w:val="superscript"/>
        </w:rPr>
        <w:t>1</w:t>
      </w:r>
    </w:p>
    <w:p>
      <w:pPr>
        <w:spacing w:after="0" w:line="47" w:lineRule="exact"/>
        <w:rPr>
          <w:rFonts w:ascii="Times New Roman" w:cs="Times New Roman" w:eastAsia="Times New Roman" w:hAnsi="Times New Roman"/>
          <w:sz w:val="18"/>
          <w:szCs w:val="18"/>
          <w:color w:val="auto"/>
        </w:rPr>
      </w:pPr>
    </w:p>
    <w:p>
      <w:pPr>
        <w:ind w:left="1040" w:hanging="240"/>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97" w:lineRule="exact"/>
        <w:rPr>
          <w:rFonts w:ascii="Times New Roman" w:cs="Times New Roman" w:eastAsia="Times New Roman" w:hAnsi="Times New Roman"/>
          <w:sz w:val="18"/>
          <w:szCs w:val="18"/>
          <w:color w:val="auto"/>
        </w:rPr>
      </w:pPr>
    </w:p>
    <w:p>
      <w:pPr>
        <w:ind w:left="1380" w:hanging="220"/>
        <w:spacing w:after="0"/>
        <w:tabs>
          <w:tab w:leader="none" w:pos="13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117" w:lineRule="exact"/>
        <w:rPr>
          <w:rFonts w:ascii="Times New Roman" w:cs="Times New Roman" w:eastAsia="Times New Roman" w:hAnsi="Times New Roman"/>
          <w:sz w:val="18"/>
          <w:szCs w:val="18"/>
          <w:color w:val="auto"/>
        </w:rPr>
      </w:pPr>
    </w:p>
    <w:p>
      <w:pPr>
        <w:ind w:left="1420" w:hanging="260"/>
        <w:spacing w:after="0"/>
        <w:tabs>
          <w:tab w:leader="none" w:pos="14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2,729,909</w:t>
      </w:r>
    </w:p>
    <w:p>
      <w:pPr>
        <w:spacing w:after="0" w:line="117" w:lineRule="exact"/>
        <w:rPr>
          <w:rFonts w:ascii="Times New Roman" w:cs="Times New Roman" w:eastAsia="Times New Roman" w:hAnsi="Times New Roman"/>
          <w:sz w:val="18"/>
          <w:szCs w:val="18"/>
          <w:color w:val="auto"/>
        </w:rPr>
      </w:pPr>
    </w:p>
    <w:p>
      <w:pPr>
        <w:ind w:left="1480" w:hanging="320"/>
        <w:spacing w:after="0"/>
        <w:tabs>
          <w:tab w:leader="none" w:pos="1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117" w:lineRule="exact"/>
        <w:rPr>
          <w:rFonts w:ascii="Times New Roman" w:cs="Times New Roman" w:eastAsia="Times New Roman" w:hAnsi="Times New Roman"/>
          <w:sz w:val="18"/>
          <w:szCs w:val="18"/>
          <w:color w:val="auto"/>
        </w:rPr>
      </w:pPr>
    </w:p>
    <w:p>
      <w:pPr>
        <w:ind w:left="1460" w:hanging="300"/>
        <w:spacing w:after="0"/>
        <w:tabs>
          <w:tab w:leader="none" w:pos="14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2,729,909</w:t>
      </w:r>
    </w:p>
    <w:p>
      <w:pPr>
        <w:spacing w:after="0" w:line="200" w:lineRule="exact"/>
        <w:rPr>
          <w:sz w:val="20"/>
          <w:szCs w:val="20"/>
          <w:color w:val="auto"/>
        </w:rPr>
      </w:pPr>
    </w:p>
    <w:p>
      <w:pPr>
        <w:spacing w:after="0" w:line="282" w:lineRule="exact"/>
        <w:rPr>
          <w:sz w:val="20"/>
          <w:szCs w:val="20"/>
          <w:color w:val="auto"/>
        </w:rPr>
      </w:pPr>
    </w:p>
    <w:p>
      <w:pPr>
        <w:jc w:val="both"/>
        <w:ind w:firstLine="8"/>
        <w:spacing w:after="0" w:line="210" w:lineRule="auto"/>
        <w:tabs>
          <w:tab w:leader="none" w:pos="112"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on a total of 29,110,941 shares outstanding, which is the sum of (i) 27,055,107 common shares outstanding as reported by the Issuer in its Form 10-Q filed with the Securities and Exchange Commission (the "SEC") on August 13, 2024 and (ii) 2,055,834 shares of the Common Stock issuable upon exercise of warrants held by the reporting persons (subject to the Beneficial Ownership Cap).</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31" w:lineRule="exact"/>
        <w:rPr>
          <w:sz w:val="20"/>
          <w:szCs w:val="20"/>
          <w:color w:val="auto"/>
        </w:rPr>
      </w:pPr>
    </w:p>
    <w:p>
      <w:pPr>
        <w:ind w:left="400" w:firstLine="396"/>
        <w:spacing w:after="0" w:line="260"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See Item 4.</w:t>
      </w:r>
    </w:p>
    <w:p>
      <w:pPr>
        <w:sectPr>
          <w:pgSz w:w="11900" w:h="16838" w:orient="portrait"/>
          <w:cols w:equalWidth="0" w:num="1">
            <w:col w:w="11240"/>
          </w:cols>
          <w:pgMar w:left="320" w:top="121" w:right="339" w:bottom="0" w:gutter="0" w:footer="0" w:header="0"/>
        </w:sectPr>
      </w:pPr>
    </w:p>
    <w:bookmarkStart w:id="6" w:name="page7"/>
    <w:bookmarkEnd w:id="6"/>
    <w:p>
      <w:pPr>
        <w:ind w:left="1300" w:hanging="1295"/>
        <w:spacing w:after="0" w:line="263"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121" w:lineRule="exact"/>
        <w:rPr>
          <w:sz w:val="20"/>
          <w:szCs w:val="20"/>
          <w:color w:val="auto"/>
        </w:rPr>
      </w:pPr>
    </w:p>
    <w:p>
      <w:pPr>
        <w:jc w:val="both"/>
        <w:ind w:left="80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117" w:right="3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92840H400</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8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14, 2024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Great Point Partners, LLC</w:t>
      </w:r>
    </w:p>
    <w:p>
      <w:pPr>
        <w:spacing w:after="0" w:line="229"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Dr. Jeffrey R. Jay,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Dr. Jeffrey R. Jay, M.D., as Senior</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Dr. Jeffrey R. Jay, M.D.</w:t>
      </w:r>
    </w:p>
    <w:p>
      <w:pPr>
        <w:spacing w:after="0" w:line="229"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Dr. Jeffrey R. Jay,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Dr. Jeffrey R. Jay, M.D.</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Ms. Lillian Nordahl</w:t>
      </w:r>
    </w:p>
    <w:p>
      <w:pPr>
        <w:spacing w:after="0" w:line="229" w:lineRule="exact"/>
        <w:rPr>
          <w:sz w:val="20"/>
          <w:szCs w:val="20"/>
          <w:color w:val="auto"/>
        </w:rPr>
      </w:pPr>
    </w:p>
    <w:p>
      <w:pPr>
        <w:ind w:left="562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Ms. Lillian Nordahl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32829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Ms. Lillian Nordahl</w:t>
      </w:r>
    </w:p>
    <w:p>
      <w:pPr>
        <w:sectPr>
          <w:pgSz w:w="11900" w:h="16838" w:orient="portrait"/>
          <w:cols w:equalWidth="0" w:num="1">
            <w:col w:w="11240"/>
          </w:cols>
          <w:pgMar w:left="320" w:top="730" w:right="339" w:bottom="1440" w:gutter="0" w:footer="0" w:header="0"/>
        </w:sectPr>
      </w:pPr>
    </w:p>
    <w:bookmarkStart w:id="8" w:name="page9"/>
    <w:bookmarkEnd w:id="8"/>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92840H400</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9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13d-1(k)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hereby agree as follows:</w:t>
      </w:r>
    </w:p>
    <w:p>
      <w:pPr>
        <w:spacing w:after="0" w:line="225" w:lineRule="exact"/>
        <w:rPr>
          <w:sz w:val="20"/>
          <w:szCs w:val="20"/>
          <w:color w:val="auto"/>
        </w:rPr>
      </w:pPr>
    </w:p>
    <w:p>
      <w:pPr>
        <w:ind w:firstLine="8"/>
        <w:spacing w:after="0" w:line="282" w:lineRule="auto"/>
        <w:tabs>
          <w:tab w:leader="none" w:pos="20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them is individually eligible to use the SCHEDULE 13G/A to which this Exhibit is attached, and such SCHEDULE 13G/A is filed on behalf of each of them;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them is responsible for the timely filing of such SCHEDULE 13G/A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14,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Great Point Partners, LLC</w:t>
      </w:r>
    </w:p>
    <w:p>
      <w:pPr>
        <w:spacing w:after="0" w:line="229"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Dr. Jeffrey R. Jay,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Dr. Jeffrey R. Jay, M.D., as Senior</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Dr. Jeffrey R. Jay, M.D.</w:t>
      </w:r>
    </w:p>
    <w:p>
      <w:pPr>
        <w:spacing w:after="0" w:line="229"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Dr. Jeffrey R. Jay,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Dr. Jeffrey R. Jay, M.D.</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Ms. Lillian Nordahl</w:t>
      </w:r>
    </w:p>
    <w:p>
      <w:pPr>
        <w:spacing w:after="0" w:line="229" w:lineRule="exact"/>
        <w:rPr>
          <w:sz w:val="20"/>
          <w:szCs w:val="20"/>
          <w:color w:val="auto"/>
        </w:rPr>
      </w:pPr>
    </w:p>
    <w:p>
      <w:pPr>
        <w:ind w:left="562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Ms. Lillian Nordahl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32829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Ms. Lillian Nordahl</w:t>
      </w:r>
    </w:p>
    <w:sectPr>
      <w:pgSz w:w="11900" w:h="16838" w:orient="portrait"/>
      <w:cols w:equalWidth="0" w:num="1">
        <w:col w:w="11240"/>
      </w:cols>
      <w:pgMar w:left="320" w:top="7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bullet"/>
      <w:start w:val="1"/>
    </w:lvl>
  </w:abstractNum>
  <w:abstractNum w:abstractNumId="2">
    <w:nsid w:val="7545E146"/>
    <w:multiLevelType w:val="hybridMultilevel"/>
    <w:lvl w:ilvl="0">
      <w:lvlJc w:val="left"/>
      <w:lvlText w:val="1"/>
      <w:numFmt w:val="bullet"/>
      <w:start w:val="1"/>
    </w:lvl>
  </w:abstractNum>
  <w:abstractNum w:abstractNumId="3">
    <w:nsid w:val="515F007C"/>
    <w:multiLevelType w:val="hybridMultilevel"/>
    <w:lvl w:ilvl="0">
      <w:lvlJc w:val="left"/>
      <w:lvlText w:val="1"/>
      <w:numFmt w:val="bullet"/>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lowerLetter"/>
      <w:start w:val="1"/>
    </w:lvl>
    <w:lvl w:ilvl="1">
      <w:lvlJc w:val="left"/>
      <w:lvlText w:val="(%2)"/>
      <w:numFmt w:val="lowerRoman"/>
      <w:start w:val="1"/>
    </w:lvl>
  </w:abstractNum>
  <w:abstractNum w:abstractNumId="7">
    <w:nsid w:val="216231B"/>
    <w:multiLevelType w:val="hybridMultilevel"/>
    <w:lvl w:ilvl="0">
      <w:lvlJc w:val="left"/>
      <w:lvlText w:val="%1."/>
      <w:numFmt w:val="decimal"/>
      <w:start w:val="2"/>
    </w:lvl>
  </w:abstractNum>
  <w:abstractNum w:abstractNumId="8">
    <w:nsid w:val="1F16E9E8"/>
    <w:multiLevelType w:val="hybridMultilevel"/>
    <w:lvl w:ilvl="0">
      <w:lvlJc w:val="left"/>
      <w:lvlText w:val="(%1)"/>
      <w:numFmt w:val="lowerLetter"/>
      <w:start w:val="1"/>
    </w:lvl>
    <w:lvl w:ilvl="1">
      <w:lvlJc w:val="left"/>
      <w:lvlText w:val="(%2)"/>
      <w:numFmt w:val="lowerRoman"/>
      <w:start w:val="1"/>
    </w:lvl>
  </w:abstractNum>
  <w:abstractNum w:abstractNumId="9">
    <w:nsid w:val="1190CDE7"/>
    <w:multiLevelType w:val="hybridMultilevel"/>
    <w:lvl w:ilvl="0">
      <w:lvlJc w:val="left"/>
      <w:lvlText w:val="%1."/>
      <w:numFmt w:val="decimal"/>
      <w:start w:val="3"/>
    </w:lvl>
  </w:abstractNum>
  <w:abstractNum w:abstractNumId="10">
    <w:nsid w:val="66EF438D"/>
    <w:multiLevelType w:val="hybridMultilevel"/>
    <w:lvl w:ilvl="0">
      <w:lvlJc w:val="left"/>
      <w:lvlText w:val="(%1)"/>
      <w:numFmt w:val="lowerLetter"/>
      <w:start w:val="1"/>
    </w:lvl>
    <w:lvl w:ilvl="1">
      <w:lvlJc w:val="left"/>
      <w:lvlText w:val="(%2)"/>
      <w:numFmt w:val="lowerRoman"/>
      <w:start w:val="1"/>
    </w:lvl>
  </w:abstractNum>
  <w:abstractNum w:abstractNumId="11">
    <w:nsid w:val="140E0F76"/>
    <w:multiLevelType w:val="hybridMultilevel"/>
    <w:lvl w:ilvl="0">
      <w:lvlJc w:val="left"/>
      <w:lvlText w:val="1"/>
      <w:numFmt w:val="bullet"/>
      <w:start w:val="1"/>
    </w:lvl>
  </w:abstractNum>
  <w:abstractNum w:abstractNumId="12">
    <w:nsid w:val="335225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2024-11-14T16:34:06Z</dcterms:created>
  <dcterms:modified xsi:type="dcterms:W3CDTF">2024-11-14T16:34:06Z</dcterms:modified>
</cp:coreProperties>
</file>