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May 10, 2016</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300"/>
          </w:cols>
          <w:pgMar w:left="240" w:top="310" w:right="359" w:bottom="1440" w:gutter="0" w:footer="0" w:header="0"/>
        </w:sectPr>
      </w:pPr>
    </w:p>
    <w:p>
      <w:pPr>
        <w:spacing w:after="0" w:line="232"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4000" w:space="720"/>
            <w:col w:w="3240" w:space="720"/>
            <w:col w:w="2620"/>
          </w:cols>
          <w:pgMar w:left="240" w:top="310" w:right="359" w:bottom="1440" w:gutter="0" w:footer="0" w:header="0"/>
          <w:type w:val="continuous"/>
        </w:sectPr>
      </w:pPr>
    </w:p>
    <w:p>
      <w:pPr>
        <w:spacing w:after="0" w:line="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0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300"/>
          </w:cols>
          <w:pgMar w:left="240" w:top="310" w:right="35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1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ind w:firstLine="594"/>
        <w:spacing w:after="0" w:line="253" w:lineRule="auto"/>
        <w:rPr>
          <w:sz w:val="20"/>
          <w:szCs w:val="20"/>
          <w:color w:val="auto"/>
        </w:rPr>
      </w:pPr>
      <w:r>
        <w:rPr>
          <w:rFonts w:ascii="Arial" w:cs="Arial" w:eastAsia="Arial" w:hAnsi="Arial"/>
          <w:sz w:val="18"/>
          <w:szCs w:val="18"/>
          <w:color w:val="auto"/>
        </w:rPr>
        <w:t>On May 10, 2016,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i w:val="1"/>
          <w:iCs w:val="1"/>
          <w:color w:val="auto"/>
        </w:rPr>
        <w:t>Underwriting Agreement</w:t>
      </w:r>
      <w:r>
        <w:rPr>
          <w:rFonts w:ascii="Arial" w:cs="Arial" w:eastAsia="Arial" w:hAnsi="Arial"/>
          <w:sz w:val="18"/>
          <w:szCs w:val="18"/>
          <w:color w:val="auto"/>
        </w:rPr>
        <w:t>”) with Chardan Capital Markets, LLC and WallachBeth Capital, LLC, as representatives of the several underwriters identified therein (the “</w:t>
      </w:r>
      <w:r>
        <w:rPr>
          <w:rFonts w:ascii="Arial" w:cs="Arial" w:eastAsia="Arial" w:hAnsi="Arial"/>
          <w:sz w:val="18"/>
          <w:szCs w:val="18"/>
          <w:i w:val="1"/>
          <w:iCs w:val="1"/>
          <w:color w:val="auto"/>
        </w:rPr>
        <w:t>Representatives</w:t>
      </w:r>
      <w:r>
        <w:rPr>
          <w:rFonts w:ascii="Arial" w:cs="Arial" w:eastAsia="Arial" w:hAnsi="Arial"/>
          <w:sz w:val="18"/>
          <w:szCs w:val="18"/>
          <w:color w:val="auto"/>
        </w:rPr>
        <w:t>”), relating to the Company’s public offering (the “</w:t>
      </w:r>
      <w:r>
        <w:rPr>
          <w:rFonts w:ascii="Arial" w:cs="Arial" w:eastAsia="Arial" w:hAnsi="Arial"/>
          <w:sz w:val="18"/>
          <w:szCs w:val="18"/>
          <w:i w:val="1"/>
          <w:iCs w:val="1"/>
          <w:color w:val="auto"/>
        </w:rPr>
        <w:t>Offering</w:t>
      </w:r>
      <w:r>
        <w:rPr>
          <w:rFonts w:ascii="Arial" w:cs="Arial" w:eastAsia="Arial" w:hAnsi="Arial"/>
          <w:sz w:val="18"/>
          <w:szCs w:val="18"/>
          <w:color w:val="auto"/>
        </w:rPr>
        <w:t>”) of 2,352,942 shares of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at the public offering price of $4.24 per share (the “</w:t>
      </w:r>
      <w:r>
        <w:rPr>
          <w:rFonts w:ascii="Arial" w:cs="Arial" w:eastAsia="Arial" w:hAnsi="Arial"/>
          <w:sz w:val="18"/>
          <w:szCs w:val="18"/>
          <w:i w:val="1"/>
          <w:iCs w:val="1"/>
          <w:color w:val="auto"/>
        </w:rPr>
        <w:t>Shares</w:t>
      </w:r>
      <w:r>
        <w:rPr>
          <w:rFonts w:ascii="Arial" w:cs="Arial" w:eastAsia="Arial" w:hAnsi="Arial"/>
          <w:sz w:val="18"/>
          <w:szCs w:val="18"/>
          <w:color w:val="auto"/>
        </w:rPr>
        <w:t>”), and five-year warrants to purchase up to 2,352,942 shares of Common Stock, with an exercise price of $5.30 per share, at the public offering price of $0.01 per warrant (the “</w:t>
      </w:r>
      <w:r>
        <w:rPr>
          <w:rFonts w:ascii="Arial" w:cs="Arial" w:eastAsia="Arial" w:hAnsi="Arial"/>
          <w:sz w:val="18"/>
          <w:szCs w:val="18"/>
          <w:i w:val="1"/>
          <w:iCs w:val="1"/>
          <w:color w:val="auto"/>
        </w:rPr>
        <w:t>Warrants</w:t>
      </w:r>
      <w:r>
        <w:rPr>
          <w:rFonts w:ascii="Arial" w:cs="Arial" w:eastAsia="Arial" w:hAnsi="Arial"/>
          <w:sz w:val="18"/>
          <w:szCs w:val="18"/>
          <w:color w:val="auto"/>
        </w:rPr>
        <w:t>”). Pursuant to the Underwriting Agreement, the Company also granted the Representatives a 45-day option (the “</w:t>
      </w:r>
      <w:r>
        <w:rPr>
          <w:rFonts w:ascii="Arial" w:cs="Arial" w:eastAsia="Arial" w:hAnsi="Arial"/>
          <w:sz w:val="18"/>
          <w:szCs w:val="18"/>
          <w:i w:val="1"/>
          <w:iCs w:val="1"/>
          <w:color w:val="auto"/>
        </w:rPr>
        <w:t>Option</w:t>
      </w:r>
      <w:r>
        <w:rPr>
          <w:rFonts w:ascii="Arial" w:cs="Arial" w:eastAsia="Arial" w:hAnsi="Arial"/>
          <w:sz w:val="18"/>
          <w:szCs w:val="18"/>
          <w:color w:val="auto"/>
        </w:rPr>
        <w:t>”) to purchase up to 352,942 additional shares of Common Stock and/or 352,942 warrants, on substantially similar terms to the Warrants (the “</w:t>
      </w:r>
      <w:r>
        <w:rPr>
          <w:rFonts w:ascii="Arial" w:cs="Arial" w:eastAsia="Arial" w:hAnsi="Arial"/>
          <w:sz w:val="18"/>
          <w:szCs w:val="18"/>
          <w:i w:val="1"/>
          <w:iCs w:val="1"/>
          <w:color w:val="auto"/>
        </w:rPr>
        <w:t>Option Warrants</w:t>
      </w:r>
      <w:r>
        <w:rPr>
          <w:rFonts w:ascii="Arial" w:cs="Arial" w:eastAsia="Arial" w:hAnsi="Arial"/>
          <w:sz w:val="18"/>
          <w:szCs w:val="18"/>
          <w:color w:val="auto"/>
        </w:rPr>
        <w:t>” and, collectively, the “</w:t>
      </w:r>
      <w:r>
        <w:rPr>
          <w:rFonts w:ascii="Arial" w:cs="Arial" w:eastAsia="Arial" w:hAnsi="Arial"/>
          <w:sz w:val="18"/>
          <w:szCs w:val="18"/>
          <w:i w:val="1"/>
          <w:iCs w:val="1"/>
          <w:color w:val="auto"/>
        </w:rPr>
        <w:t>Option Securities</w:t>
      </w:r>
      <w:r>
        <w:rPr>
          <w:rFonts w:ascii="Arial" w:cs="Arial" w:eastAsia="Arial" w:hAnsi="Arial"/>
          <w:sz w:val="18"/>
          <w:szCs w:val="18"/>
          <w:color w:val="auto"/>
        </w:rPr>
        <w:t>”) at the public offering price, less underwriting discounts and commissions, to cover over-allotments. The Representatives agreed to purchase the Shares and Warrants from the Company, with the option to purchase the Option Securities, in accordance with the terms and conditions of the Underwriting Agreement, at a purchase price of $3.84568 per Share and $0.00907 per Warrant.</w:t>
      </w:r>
    </w:p>
    <w:p>
      <w:pPr>
        <w:spacing w:after="0" w:line="195"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7"/>
          <w:szCs w:val="17"/>
          <w:color w:val="auto"/>
        </w:rPr>
        <w:t>On May 11, 2016, the Representatives exercised the Option with respect to the Option Warrants, and on May 16, 2016, the Company completed the Offering, resulting in total gross proceeds of approximately $10.0 million. The Warrants and Option Warrants were issued pursuant to a Warrant Agency Agreement, dated as of May 16, 2016 (the “</w:t>
      </w:r>
      <w:r>
        <w:rPr>
          <w:rFonts w:ascii="Arial" w:cs="Arial" w:eastAsia="Arial" w:hAnsi="Arial"/>
          <w:sz w:val="17"/>
          <w:szCs w:val="17"/>
          <w:i w:val="1"/>
          <w:iCs w:val="1"/>
          <w:color w:val="auto"/>
        </w:rPr>
        <w:t>Warrant Agreement</w:t>
      </w:r>
      <w:r>
        <w:rPr>
          <w:rFonts w:ascii="Arial" w:cs="Arial" w:eastAsia="Arial" w:hAnsi="Arial"/>
          <w:sz w:val="17"/>
          <w:szCs w:val="17"/>
          <w:color w:val="auto"/>
        </w:rPr>
        <w:t>”), between the Company and Computershare Inc., as Warrant Agent.</w:t>
      </w:r>
    </w:p>
    <w:p>
      <w:pPr>
        <w:spacing w:after="0" w:line="193"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Shares, Warrants and Option Warrants were offered, issued and sold under a prospectus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pursuant to an effective registration statement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filed with the SEC on Form S-1 (File No. 333-210152) pursuant to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Registration Statement was first filed with the SEC on March 14, 2016, and was declared effective on May 10, 2016.</w:t>
      </w:r>
    </w:p>
    <w:p>
      <w:pPr>
        <w:spacing w:after="0" w:line="214"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Underwriting Agreement contained customary representations, warranties and agreements by the Company, customary conditions to closing, indemnification obligations of the Company and the Representatives,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were subject to limitations agreed upon by the contracting parties.</w:t>
      </w:r>
    </w:p>
    <w:p>
      <w:pPr>
        <w:spacing w:after="0" w:line="215"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foregoing description of the Underwriting Agreement, Warrant and Warrant Agreement do not purport to be complete, and are qualified in their entirety by reference to the full text of the Underwriting Agreement, form of Warrant and Warrant Agreement, attached hereto as Exhibits 1.1, 4.1 and 4.2, respectively, and are each incorporated by reference herein. Additionally, a copy of the press release announcing the Offering, issued by the Company on May 10, 2016, is attached hereto as Exhibit 99.1, and a copy of the press release announcing the completion of the Offering, issued on May 16, 2016, is attached hereto as Exhibit 99.2, and are each incorporated by reference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Uplisting</w:t>
      </w:r>
    </w:p>
    <w:p>
      <w:pPr>
        <w:spacing w:after="0" w:line="252"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In connection with the Offering, the Company’s Common Stock was approved for listing on The NASDAQ Capital Market, and began trading under the symbol “VTGN” on May 11,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Automatic Conversion of Series B 10% Convertible Preferred Stock</w:t>
      </w:r>
    </w:p>
    <w:p>
      <w:pPr>
        <w:spacing w:after="0" w:line="252"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In accordance with the Certificate of Designation of the Relative Rights and Preference (the “</w:t>
      </w:r>
      <w:r>
        <w:rPr>
          <w:rFonts w:ascii="Arial" w:cs="Arial" w:eastAsia="Arial" w:hAnsi="Arial"/>
          <w:sz w:val="17"/>
          <w:szCs w:val="17"/>
          <w:i w:val="1"/>
          <w:iCs w:val="1"/>
          <w:color w:val="auto"/>
        </w:rPr>
        <w:t>Certificate of Designation</w:t>
      </w:r>
      <w:r>
        <w:rPr>
          <w:rFonts w:ascii="Arial" w:cs="Arial" w:eastAsia="Arial" w:hAnsi="Arial"/>
          <w:sz w:val="17"/>
          <w:szCs w:val="17"/>
          <w:color w:val="auto"/>
        </w:rPr>
        <w:t>”) of the Company’s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all outstanding shares of Series B Preferred not otherwise subject to ownership blockers will automatically convert into the same number of shares of the Company’s Common Stock (the “</w:t>
      </w:r>
      <w:r>
        <w:rPr>
          <w:rFonts w:ascii="Arial" w:cs="Arial" w:eastAsia="Arial" w:hAnsi="Arial"/>
          <w:sz w:val="17"/>
          <w:szCs w:val="17"/>
          <w:i w:val="1"/>
          <w:iCs w:val="1"/>
          <w:color w:val="auto"/>
        </w:rPr>
        <w:t>Conversion Shares</w:t>
      </w:r>
      <w:r>
        <w:rPr>
          <w:rFonts w:ascii="Arial" w:cs="Arial" w:eastAsia="Arial" w:hAnsi="Arial"/>
          <w:sz w:val="17"/>
          <w:szCs w:val="17"/>
          <w:color w:val="auto"/>
        </w:rPr>
        <w:t>”) on the third trading day after completion of the offering, or May 19, 2016. The Company expects to issue approximately 2,546,622 Conversion Shares, and approximately 289,035 shares of Common Stock as payment of accrued but unpaid dividends on converted shares of Series B Preferred.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left="80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40" w:firstLine="7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3"/>
          </w:tcPr>
          <w:p>
            <w:pPr>
              <w:ind w:left="2000"/>
              <w:spacing w:after="0"/>
              <w:rPr>
                <w:sz w:val="20"/>
                <w:szCs w:val="20"/>
                <w:color w:val="auto"/>
              </w:rPr>
            </w:pPr>
            <w:r>
              <w:rPr>
                <w:rFonts w:ascii="Arial" w:cs="Arial" w:eastAsia="Arial" w:hAnsi="Arial"/>
                <w:sz w:val="18"/>
                <w:szCs w:val="18"/>
                <w:color w:val="auto"/>
              </w:rPr>
              <w:t>VistaGen Therapeutics, Inc.</w:t>
            </w:r>
          </w:p>
        </w:tc>
      </w:tr>
      <w:tr>
        <w:trPr>
          <w:trHeight w:val="392"/>
        </w:trPr>
        <w:tc>
          <w:tcPr>
            <w:tcW w:w="3500" w:type="dxa"/>
            <w:vAlign w:val="bottom"/>
          </w:tcPr>
          <w:p>
            <w:pPr>
              <w:ind w:left="60"/>
              <w:spacing w:after="0"/>
              <w:rPr>
                <w:sz w:val="20"/>
                <w:szCs w:val="20"/>
                <w:color w:val="auto"/>
              </w:rPr>
            </w:pPr>
            <w:r>
              <w:rPr>
                <w:rFonts w:ascii="Arial" w:cs="Arial" w:eastAsia="Arial" w:hAnsi="Arial"/>
                <w:sz w:val="18"/>
                <w:szCs w:val="18"/>
                <w:color w:val="auto"/>
              </w:rPr>
              <w:t>Date: May 16, 2016</w:t>
            </w:r>
          </w:p>
        </w:tc>
        <w:tc>
          <w:tcPr>
            <w:tcW w:w="7920" w:type="dxa"/>
            <w:vAlign w:val="bottom"/>
            <w:gridSpan w:val="3"/>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222"/>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402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145"/>
        </w:trPr>
        <w:tc>
          <w:tcPr>
            <w:tcW w:w="35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gridSpan w:val="2"/>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7"/>
                <w:szCs w:val="17"/>
                <w:color w:val="auto"/>
              </w:rPr>
            </w:pPr>
          </w:p>
        </w:tc>
        <w:tc>
          <w:tcPr>
            <w:tcW w:w="94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Underwriting Agreement, by and between Capital Markets, LLC and WallachBeth Capital, LLC, as representatives of the several</w:t>
            </w: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underwriters, and VistaGen Therapeutics, Inc., dated May 10, 2016.</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4.1</w:t>
            </w:r>
          </w:p>
        </w:tc>
        <w:tc>
          <w:tcPr>
            <w:tcW w:w="9800" w:type="dxa"/>
            <w:vAlign w:val="bottom"/>
            <w:gridSpan w:val="2"/>
          </w:tcPr>
          <w:p>
            <w:pPr>
              <w:ind w:left="380"/>
              <w:spacing w:after="0"/>
              <w:rPr>
                <w:sz w:val="20"/>
                <w:szCs w:val="20"/>
                <w:color w:val="auto"/>
              </w:rPr>
            </w:pPr>
            <w:r>
              <w:rPr>
                <w:rFonts w:ascii="Arial" w:cs="Arial" w:eastAsia="Arial" w:hAnsi="Arial"/>
                <w:sz w:val="18"/>
                <w:szCs w:val="18"/>
                <w:color w:val="auto"/>
                <w:w w:val="97"/>
              </w:rPr>
              <w:t>Warrant Agency Agreement, by and between Computershare, Inc. and VistaGen Therapeutics, Inc., dated May 16, 2016.</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9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Form of Warrant</w:t>
            </w: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gridSpan w:val="2"/>
          </w:tcPr>
          <w:p>
            <w:pPr>
              <w:ind w:left="380"/>
              <w:spacing w:after="0"/>
              <w:rPr>
                <w:sz w:val="20"/>
                <w:szCs w:val="20"/>
                <w:color w:val="auto"/>
              </w:rPr>
            </w:pPr>
            <w:r>
              <w:rPr>
                <w:rFonts w:ascii="Arial" w:cs="Arial" w:eastAsia="Arial" w:hAnsi="Arial"/>
                <w:sz w:val="18"/>
                <w:szCs w:val="18"/>
                <w:color w:val="auto"/>
              </w:rPr>
              <w:t>Press release, dated May 10, 2016</w:t>
            </w: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99.2</w:t>
            </w:r>
          </w:p>
        </w:tc>
        <w:tc>
          <w:tcPr>
            <w:tcW w:w="9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Press release, dated May 16, 2016</w:t>
            </w:r>
          </w:p>
        </w:tc>
      </w:tr>
    </w:tbl>
    <w:p>
      <w:pPr>
        <w:sectPr>
          <w:pgSz w:w="11900" w:h="16838" w:orient="portrait"/>
          <w:cols w:equalWidth="0" w:num="1">
            <w:col w:w="11420"/>
          </w:cols>
          <w:pgMar w:left="240" w:top="729" w:right="239" w:bottom="1440" w:gutter="0" w:footer="0" w:header="0"/>
        </w:sectPr>
      </w:pPr>
    </w:p>
    <w:bookmarkStart w:id="4" w:name="page5"/>
    <w:bookmarkEnd w:id="4"/>
    <w:p>
      <w:pPr>
        <w:ind w:left="10420"/>
        <w:spacing w:after="0"/>
        <w:rPr>
          <w:sz w:val="20"/>
          <w:szCs w:val="20"/>
          <w:color w:val="auto"/>
        </w:rPr>
      </w:pPr>
      <w:r>
        <w:rPr>
          <w:rFonts w:ascii="Arial" w:cs="Arial" w:eastAsia="Arial" w:hAnsi="Arial"/>
          <w:sz w:val="19"/>
          <w:szCs w:val="19"/>
          <w:b w:val="1"/>
          <w:bCs w:val="1"/>
          <w:color w:val="auto"/>
        </w:rPr>
        <w:t>Exhibit 1.1</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2,352,942 shares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up to 2,352,942 shares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WallachBeth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 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WallachBeth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Wall Street, Suite 6600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VistaGen Therapeutics, Inc., a Nevada corporation (collectively with its direct and indirect subsidiaries and affiliates, including, without limitation, all entities disclosed or described in the Registration Statement (as hereinafter defined) as being subsidiaries or affiliates (each, a “</w:t>
      </w:r>
      <w:r>
        <w:rPr>
          <w:rFonts w:ascii="Arial" w:cs="Arial" w:eastAsia="Arial" w:hAnsi="Arial"/>
          <w:sz w:val="16"/>
          <w:szCs w:val="16"/>
          <w:u w:val="single" w:color="auto"/>
          <w:color w:val="auto"/>
        </w:rPr>
        <w:t>Subsidiary</w:t>
      </w:r>
      <w:r>
        <w:rPr>
          <w:rFonts w:ascii="Arial" w:cs="Arial" w:eastAsia="Arial" w:hAnsi="Arial"/>
          <w:sz w:val="16"/>
          <w:szCs w:val="16"/>
          <w:color w:val="auto"/>
        </w:rPr>
        <w:t>”) of VistaGen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subject to the terms and conditions stated herein, to issue and sell to the several 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or,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for whom you are acting as representatives (each, a “</w:t>
      </w:r>
      <w:r>
        <w:rPr>
          <w:rFonts w:ascii="Arial" w:cs="Arial" w:eastAsia="Arial" w:hAnsi="Arial"/>
          <w:sz w:val="16"/>
          <w:szCs w:val="16"/>
          <w:u w:val="single" w:color="auto"/>
          <w:color w:val="auto"/>
        </w:rPr>
        <w:t>Representative</w:t>
      </w:r>
      <w:r>
        <w:rPr>
          <w:rFonts w:ascii="Arial" w:cs="Arial" w:eastAsia="Arial" w:hAnsi="Arial"/>
          <w:sz w:val="16"/>
          <w:szCs w:val="16"/>
          <w:color w:val="auto"/>
        </w:rPr>
        <w:t>” and together,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an aggregate of 2,352,942 shares of common stock, $0.001 par value per share (the “</w:t>
      </w:r>
      <w:r>
        <w:rPr>
          <w:rFonts w:ascii="Arial" w:cs="Arial" w:eastAsia="Arial" w:hAnsi="Arial"/>
          <w:sz w:val="16"/>
          <w:szCs w:val="16"/>
          <w:u w:val="single" w:color="auto"/>
          <w:color w:val="auto"/>
        </w:rPr>
        <w:t>Common Shares</w:t>
      </w:r>
      <w:r>
        <w:rPr>
          <w:rFonts w:ascii="Arial" w:cs="Arial" w:eastAsia="Arial" w:hAnsi="Arial"/>
          <w:sz w:val="16"/>
          <w:szCs w:val="16"/>
          <w:color w:val="auto"/>
        </w:rPr>
        <w:t>”) of the Company (the “</w:t>
      </w:r>
      <w:r>
        <w:rPr>
          <w:rFonts w:ascii="Arial" w:cs="Arial" w:eastAsia="Arial" w:hAnsi="Arial"/>
          <w:sz w:val="16"/>
          <w:szCs w:val="16"/>
          <w:u w:val="single" w:color="auto"/>
          <w:color w:val="auto"/>
        </w:rPr>
        <w:t>Firm</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warrants to purchase up to an aggregate of 2,352,942 Common Shares (the “</w:t>
      </w:r>
      <w:r>
        <w:rPr>
          <w:rFonts w:ascii="Arial" w:cs="Arial" w:eastAsia="Arial" w:hAnsi="Arial"/>
          <w:sz w:val="16"/>
          <w:szCs w:val="16"/>
          <w:u w:val="single" w:color="auto"/>
          <w:color w:val="auto"/>
        </w:rPr>
        <w:t>Firm Warrants</w:t>
      </w:r>
      <w:r>
        <w:rPr>
          <w:rFonts w:ascii="Arial" w:cs="Arial" w:eastAsia="Arial" w:hAnsi="Arial"/>
          <w:sz w:val="16"/>
          <w:szCs w:val="16"/>
          <w:color w:val="auto"/>
        </w:rPr>
        <w:t xml:space="preserve">”). The respective amounts of the Firm Shares and Firm Warrants to be so purchased by the several Underwriters are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w:t>
      </w:r>
    </w:p>
    <w:p>
      <w:pPr>
        <w:spacing w:after="0" w:line="194" w:lineRule="exact"/>
        <w:rPr>
          <w:sz w:val="20"/>
          <w:szCs w:val="20"/>
          <w:color w:val="auto"/>
        </w:rPr>
      </w:pPr>
    </w:p>
    <w:p>
      <w:pPr>
        <w:jc w:val="both"/>
        <w:ind w:firstLine="792"/>
        <w:spacing w:after="0" w:line="312" w:lineRule="auto"/>
        <w:rPr>
          <w:sz w:val="20"/>
          <w:szCs w:val="20"/>
          <w:color w:val="auto"/>
        </w:rPr>
      </w:pPr>
      <w:r>
        <w:rPr>
          <w:rFonts w:ascii="Arial" w:cs="Arial" w:eastAsia="Arial" w:hAnsi="Arial"/>
          <w:sz w:val="16"/>
          <w:szCs w:val="16"/>
          <w:color w:val="auto"/>
        </w:rPr>
        <w:t>The Company has also granted the Underwriters the option to purchase an aggregate of up to 352,942 additional Common Shares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and, together with the Firm Shares, the “</w:t>
      </w:r>
      <w:r>
        <w:rPr>
          <w:rFonts w:ascii="Arial" w:cs="Arial" w:eastAsia="Arial" w:hAnsi="Arial"/>
          <w:sz w:val="16"/>
          <w:szCs w:val="16"/>
          <w:u w:val="single" w:color="auto"/>
          <w:color w:val="auto"/>
        </w:rPr>
        <w:t>Shares</w:t>
      </w:r>
      <w:r>
        <w:rPr>
          <w:rFonts w:ascii="Arial" w:cs="Arial" w:eastAsia="Arial" w:hAnsi="Arial"/>
          <w:sz w:val="16"/>
          <w:szCs w:val="16"/>
          <w:color w:val="auto"/>
        </w:rPr>
        <w:t>”) and/or additional warrants to purchase an aggregate of up to 352,942 Common Shares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Warrants</w:t>
      </w:r>
      <w:r>
        <w:rPr>
          <w:rFonts w:ascii="Arial" w:cs="Arial" w:eastAsia="Arial" w:hAnsi="Arial"/>
          <w:sz w:val="16"/>
          <w:szCs w:val="16"/>
          <w:color w:val="auto"/>
        </w:rPr>
        <w:t>” and together with the Firm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as may be necessary to cover over-allotments in connection with this offering.</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and the Underwriters hereby confirm their agreement as follows:</w:t>
      </w:r>
    </w:p>
    <w:p>
      <w:pPr>
        <w:spacing w:after="0" w:line="25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SALE AND DELIVERY OF OFFERED SECURITIES.</w:t>
      </w:r>
    </w:p>
    <w:p>
      <w:pPr>
        <w:spacing w:after="0" w:line="252" w:lineRule="exact"/>
        <w:rPr>
          <w:rFonts w:ascii="Arial" w:cs="Arial" w:eastAsia="Arial" w:hAnsi="Arial"/>
          <w:sz w:val="18"/>
          <w:szCs w:val="18"/>
          <w:color w:val="auto"/>
        </w:rPr>
      </w:pPr>
    </w:p>
    <w:p>
      <w:pPr>
        <w:jc w:val="both"/>
        <w:ind w:firstLine="800"/>
        <w:spacing w:after="0" w:line="278" w:lineRule="auto"/>
        <w:tabs>
          <w:tab w:leader="none" w:pos="1535" w:val="left"/>
        </w:tabs>
        <w:numPr>
          <w:ilvl w:val="1"/>
          <w:numId w:val="2"/>
        </w:numPr>
        <w:rPr>
          <w:rFonts w:ascii="Arial" w:cs="Arial" w:eastAsia="Arial" w:hAnsi="Arial"/>
          <w:sz w:val="16"/>
          <w:szCs w:val="16"/>
          <w:color w:val="auto"/>
        </w:rPr>
      </w:pPr>
      <w:r>
        <w:rPr>
          <w:rFonts w:ascii="Arial" w:cs="Arial" w:eastAsia="Arial" w:hAnsi="Arial"/>
          <w:sz w:val="16"/>
          <w:szCs w:val="16"/>
          <w:color w:val="auto"/>
        </w:rPr>
        <w:t>On the basis of the representations, warranties and agreements herein contained, but subject to the terms and conditions herein set forth, the Company agrees to sell to the Underwriters, and the Underwriters agree, severally and not jointly, to purchase from the Company, at a price of $3.84568 per share and $0.00907 per warrant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the respective numbers of Firm Shares and Firm Warrants set forth opposite the names of the Underwriters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Company will deliver the Firm Shares and Firm Warrants to the Representative for the respective accounts of the several Underwriters, through the facilities of The Depository Trust Company, or, at the election of the Representative, in the form of definitive certificates and/or warrants, as applicable, in each such case, issued in such names and in such denominations as the Representative may direct by notice in writing to the Company given at or prior to 12:00 Noon, New York time, on the second (2</w:t>
      </w:r>
      <w:r>
        <w:rPr>
          <w:rFonts w:ascii="Arial" w:cs="Arial" w:eastAsia="Arial" w:hAnsi="Arial"/>
          <w:sz w:val="22"/>
          <w:szCs w:val="22"/>
          <w:color w:val="auto"/>
          <w:vertAlign w:val="superscript"/>
        </w:rPr>
        <w:t>nd</w:t>
      </w:r>
      <w:r>
        <w:rPr>
          <w:rFonts w:ascii="Arial" w:cs="Arial" w:eastAsia="Arial" w:hAnsi="Arial"/>
          <w:sz w:val="16"/>
          <w:szCs w:val="16"/>
          <w:color w:val="auto"/>
        </w:rPr>
        <w:t>) full business day preceding the Closing Date against payment of the aggregate Purchase Price therefor by wire transfer in federal (same day) funds to an account at a bank acceptable to the Representatives payable to the order of the Company for the Firm Shares and Firm Warrants sold by them. Time shall be of the essence, and delivery at the time and place specified pursuant to this Agreement is a further condition of the obligations of each Underwriter hereunder. The time and date of the delivery and closing shall be at 10 A.M., New York time, on May 16, 2016, in accordance with Rule 15c6-1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time and date of such payment and delivery are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Date and the location of delivery of, and the form of payment for, the Firm Shares and Firm Warrants may be varied by agreement by and between the Company and the Representatives.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firstLine="800"/>
        <w:spacing w:after="0" w:line="280" w:lineRule="auto"/>
        <w:tabs>
          <w:tab w:leader="none" w:pos="1598"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 the purpose of covering any over-allotments in connection with the distribution and sale of the Firm Shares and Firm Warrants as contemplated by the Prospectus, the Underwriters may purchase all or less than all of the Option Shares and/or all or less than all of the Option Warrants. The price per share to be paid for the Option Shares shall be the Purchase Price per Firm Share and the price per warrant to be paid for the Option Warrants shall be the Purchase Price per Firm Warrant. The Company agrees to sell to the Underwriters the number of Option Shares and/or Option Warrants specified in the written notice delivered by the Representatives to the Company described below and the Underwriters agree, severally and not jointly, to purchase such Option Shares and/or Option Warrants. The option granted hereby may be exercised as to all or any part of the Option Shares and/or Option Warrants at any time, and from time to time, not more than forty-five (45) days subsequent to the date of this Agreement. No Option Shares and/or Option Warrants shall be sold and delivered unless the Firm Shares and Firm Warrants previously have been, or simultaneously are, sold and delivered. The right to purchase the Option Shares and/or Option Warrants or any portion thereof may be surrendered and terminated at any time upon notice by the Representatives to the Company. The option granted hereby may be exercised by written notice being given to the Company by the Representatives setting forth the number of Option Shares and/or Option Warrants to be purchased by the Underwriters and the date and time for delivery of and payment for the Option Shares and/or Option Warrants. Each date and time for delivery of and payment for the Option Shares and/or Option Warrants (which may be the Closing Date, but not earlier) is herein called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and shall in no event be earlier than two (2) business days nor later than five (5) business days after written notice is given. The Option Closing Date and the Closing Date are herein called the “</w:t>
      </w:r>
      <w:r>
        <w:rPr>
          <w:rFonts w:ascii="Arial" w:cs="Arial" w:eastAsia="Arial" w:hAnsi="Arial"/>
          <w:sz w:val="16"/>
          <w:szCs w:val="16"/>
          <w:u w:val="single" w:color="auto"/>
          <w:color w:val="auto"/>
        </w:rPr>
        <w:t>Closing Dates</w:t>
      </w:r>
      <w:r>
        <w:rPr>
          <w:rFonts w:ascii="Arial" w:cs="Arial" w:eastAsia="Arial" w:hAnsi="Arial"/>
          <w:sz w:val="16"/>
          <w:szCs w:val="16"/>
          <w:color w:val="auto"/>
        </w:rPr>
        <w:t>.” The Company will deliver the Option Shares and/or Option Warrants to the Representatives for the respective accounts of the several Underwriters through the facilities of The Depository Trust Company or, at the election of the Representatives, in the form of definitive certificates and/or warrants, as applicable, issued in such names and in such denominations as the Representatives may direct by notice in writing to the Company given at or prior to 12:00 Noon, New York time, on the second (2</w:t>
      </w:r>
      <w:r>
        <w:rPr>
          <w:rFonts w:ascii="Arial" w:cs="Arial" w:eastAsia="Arial" w:hAnsi="Arial"/>
          <w:sz w:val="22"/>
          <w:szCs w:val="22"/>
          <w:color w:val="auto"/>
          <w:vertAlign w:val="superscript"/>
        </w:rPr>
        <w:t>nd</w:t>
      </w:r>
      <w:r>
        <w:rPr>
          <w:rFonts w:ascii="Arial" w:cs="Arial" w:eastAsia="Arial" w:hAnsi="Arial"/>
          <w:sz w:val="16"/>
          <w:szCs w:val="16"/>
          <w:color w:val="auto"/>
        </w:rPr>
        <w:t>) full business day preceding the Option Closing Date against payment of the aggregate Purchase Price therefor by wire transfer in federal (same day) funds to an account at a bank acceptable to the Representatives payable to the order of the Company for the Option Shares and/or Option Warrants. Time shall be of the essence, and delivery at the time and place specified pursuant to this Agreement is a further condition of the obligations of each Underwriter hereunder. The Company, in the event the Representatives elect to have the Underwriters take delivery of definitive certificates and/or warrants instead of delivery from the Company of the certificates and/or warrants through the facilities of The Depository Trust Company, shall make the certificates for the Option Shares and the warrants for the Option Warrants available to the Representatives for examination on behalf of the Underwriters in New York, New York not later than 10:00 A.M., New York Time, at least one (1) full business day prior to the Option Closing Date. The Option Closing Date and the location of delivery of, and the form of payment for, the Option Shares and Option Warrants may be varied by agreement by the Company and the Representatives.</w:t>
      </w:r>
    </w:p>
    <w:p>
      <w:pPr>
        <w:spacing w:after="0" w:line="198" w:lineRule="exact"/>
        <w:rPr>
          <w:rFonts w:ascii="Arial" w:cs="Arial" w:eastAsia="Arial" w:hAnsi="Arial"/>
          <w:sz w:val="16"/>
          <w:szCs w:val="16"/>
          <w:color w:val="auto"/>
        </w:rPr>
      </w:pPr>
    </w:p>
    <w:p>
      <w:pPr>
        <w:ind w:firstLine="8"/>
        <w:spacing w:after="0" w:line="277" w:lineRule="auto"/>
        <w:tabs>
          <w:tab w:leader="none" w:pos="66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REPRESENTATIONS AND WARRANTIES. The Company represents and warrants to the several Underwriters, as of the date hereof and as of the Closing Dates, and agrees with the several Underwriters that:</w:t>
      </w:r>
    </w:p>
    <w:p>
      <w:pPr>
        <w:spacing w:after="0" w:line="197" w:lineRule="exact"/>
        <w:rPr>
          <w:rFonts w:ascii="Arial" w:cs="Arial" w:eastAsia="Arial" w:hAnsi="Arial"/>
          <w:sz w:val="18"/>
          <w:szCs w:val="18"/>
          <w:color w:val="auto"/>
        </w:rPr>
      </w:pPr>
    </w:p>
    <w:p>
      <w:pPr>
        <w:jc w:val="both"/>
        <w:ind w:firstLine="800"/>
        <w:spacing w:after="0" w:line="268" w:lineRule="auto"/>
        <w:tabs>
          <w:tab w:leader="none" w:pos="1574"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Company has filed with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registration statement (including all pre-effective amendments thereto) on Form S-1 (File No. 333-210152), including any related prospectus or prospectuses, for the registration of the Shares, the Warrants and the Warrant Shares (as hereinafter defined)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registration statement (including all pre-effective amendments thereto) have been prepared by the Company in all material respects in conformity with the requirements of the Securities Act and the rules and regulations of the Commission under the Securities Act (the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and contains or will contain all material statements that are required to be stated therein in accordance with the Securities Act and the Rules and Regulations. Except as the context may otherwise require, such registration statement (as amended) on file with the Commission at the date and time the registration statement is declared effective (including the Preliminary Prospectus (defined below) included in the registration statement, financial statements, schedules, exhibits and all other documents filed as a part thereof or incorporated therein and all information deemed to be a part thereof, as of the date and time the Registration Statement is declared effective, pursuant to paragraph (b) of Rule 430A of the Securities Act Regulations (the “</w:t>
      </w:r>
      <w:r>
        <w:rPr>
          <w:rFonts w:ascii="Arial" w:cs="Arial" w:eastAsia="Arial" w:hAnsi="Arial"/>
          <w:sz w:val="17"/>
          <w:szCs w:val="17"/>
          <w:u w:val="single" w:color="auto"/>
          <w:color w:val="auto"/>
        </w:rPr>
        <w:t>Rule 430A Information</w:t>
      </w:r>
      <w:r>
        <w:rPr>
          <w:rFonts w:ascii="Arial" w:cs="Arial" w:eastAsia="Arial" w:hAnsi="Arial"/>
          <w:sz w:val="17"/>
          <w:szCs w:val="17"/>
          <w:color w:val="auto"/>
        </w:rPr>
        <w:t>”)), is referred to herein as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If the Company files any registration statement pursuant to Rule 462(b) of the Rules and Regulations (a “</w:t>
      </w:r>
      <w:r>
        <w:rPr>
          <w:rFonts w:ascii="Arial" w:cs="Arial" w:eastAsia="Arial" w:hAnsi="Arial"/>
          <w:sz w:val="17"/>
          <w:szCs w:val="17"/>
          <w:u w:val="single" w:color="auto"/>
          <w:color w:val="auto"/>
        </w:rPr>
        <w:t>Rule 462(b) Registration Statement</w:t>
      </w:r>
      <w:r>
        <w:rPr>
          <w:rFonts w:ascii="Arial" w:cs="Arial" w:eastAsia="Arial" w:hAnsi="Arial"/>
          <w:sz w:val="17"/>
          <w:szCs w:val="17"/>
          <w:color w:val="auto"/>
        </w:rPr>
        <w:t>”), then after such filing, the term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include such Rule 462(b) Registration Statement. The Registration Statement has been declared effective by the Commission on the date hereof.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ind w:firstLine="792"/>
        <w:spacing w:after="0" w:line="257" w:lineRule="auto"/>
        <w:rPr>
          <w:sz w:val="20"/>
          <w:szCs w:val="20"/>
          <w:color w:val="auto"/>
        </w:rPr>
      </w:pPr>
      <w:r>
        <w:rPr>
          <w:rFonts w:ascii="Arial" w:cs="Arial" w:eastAsia="Arial" w:hAnsi="Arial"/>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The Preliminary Prospectus, subject to completion, dated May 9, 2016, that was included in the Registration Statement immediately prior to the Applicable Time is hereinafter called the “</w:t>
      </w:r>
      <w:r>
        <w:rPr>
          <w:rFonts w:ascii="Arial" w:cs="Arial" w:eastAsia="Arial" w:hAnsi="Arial"/>
          <w:sz w:val="18"/>
          <w:szCs w:val="18"/>
          <w:u w:val="single" w:color="auto"/>
          <w:color w:val="auto"/>
        </w:rPr>
        <w:t>Pricing Prospectus</w:t>
      </w:r>
      <w:r>
        <w:rPr>
          <w:rFonts w:ascii="Arial" w:cs="Arial" w:eastAsia="Arial" w:hAnsi="Arial"/>
          <w:sz w:val="18"/>
          <w:szCs w:val="18"/>
          <w:color w:val="auto"/>
        </w:rPr>
        <w:t>.” The final prospectus in the form first furnished to the Underwriters for use in this offering is hereinafter called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215" w:lineRule="exact"/>
        <w:rPr>
          <w:sz w:val="20"/>
          <w:szCs w:val="20"/>
          <w:color w:val="auto"/>
        </w:rPr>
      </w:pPr>
    </w:p>
    <w:p>
      <w:pPr>
        <w:jc w:val="both"/>
        <w:ind w:firstLine="7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5:00 P.M., New York time, on the date of this Agreement or such other time as agreed to by the Company and the Representative.</w:t>
      </w:r>
    </w:p>
    <w:p>
      <w:pPr>
        <w:spacing w:after="0" w:line="197" w:lineRule="exact"/>
        <w:rPr>
          <w:sz w:val="20"/>
          <w:szCs w:val="20"/>
          <w:color w:val="auto"/>
        </w:rPr>
      </w:pPr>
    </w:p>
    <w:p>
      <w:pPr>
        <w:jc w:val="both"/>
        <w:ind w:firstLine="7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of the Rules and Regulations relating to the Shares and the Warrants in the form filed or required to be filed with the Commission or, if not required to be filed, in the form retained in the Company’s records pursuant to Rule 433(g) of the Rules and Regulations.</w:t>
      </w:r>
    </w:p>
    <w:p>
      <w:pPr>
        <w:spacing w:after="0" w:line="208" w:lineRule="exact"/>
        <w:rPr>
          <w:sz w:val="20"/>
          <w:szCs w:val="20"/>
          <w:color w:val="auto"/>
        </w:rPr>
      </w:pPr>
    </w:p>
    <w:p>
      <w:pPr>
        <w:jc w:val="both"/>
        <w:ind w:firstLine="7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xml:space="preserve">” means any General Use Free Writing Prospectus (defined below) issued at or prior to the Applicable Time, the Pricing Prospectus and the information included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all considered together.</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Use Free Writing Prospectus</w:t>
      </w:r>
      <w:r>
        <w:rPr>
          <w:rFonts w:ascii="Arial" w:cs="Arial" w:eastAsia="Arial" w:hAnsi="Arial"/>
          <w:sz w:val="18"/>
          <w:szCs w:val="18"/>
          <w:color w:val="auto"/>
        </w:rPr>
        <w:t xml:space="preserve">” means any Issuer Free Writing Prospectus that is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registration statement on Form 8-A (File No. 001-37761) in respect of the registration of the Common Shares under the Exchange Act was filed with the Commission on May 3, 2016, and was declared effective by the Commission; no other document with respect to such registration statement has theretofore been filed with the Commission (the “</w:t>
      </w:r>
      <w:r>
        <w:rPr>
          <w:rFonts w:ascii="Arial" w:cs="Arial" w:eastAsia="Arial" w:hAnsi="Arial"/>
          <w:sz w:val="18"/>
          <w:szCs w:val="18"/>
          <w:u w:val="single" w:color="auto"/>
          <w:color w:val="auto"/>
        </w:rPr>
        <w:t>Form 8-A Registration Statement</w:t>
      </w:r>
      <w:r>
        <w:rPr>
          <w:rFonts w:ascii="Arial" w:cs="Arial" w:eastAsia="Arial" w:hAnsi="Arial"/>
          <w:sz w:val="18"/>
          <w:szCs w:val="18"/>
          <w:color w:val="auto"/>
        </w:rPr>
        <w: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this Agreement, all references to the Registration Statement, the Rule 462(b) Registration Statement, the Prospectus, the Form 8-A Registration Statement, or any amendment or supplement to any of the foregoing shall be deemed to include the copy filed with the Commission pursuant to its Electronic Data Gathering, Analysis and Retrieval System or any successor system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208" w:lineRule="exact"/>
        <w:rPr>
          <w:sz w:val="20"/>
          <w:szCs w:val="20"/>
          <w:color w:val="auto"/>
        </w:rPr>
      </w:pPr>
    </w:p>
    <w:p>
      <w:pPr>
        <w:jc w:val="both"/>
        <w:ind w:firstLine="847"/>
        <w:spacing w:after="0" w:line="259" w:lineRule="auto"/>
        <w:tabs>
          <w:tab w:leader="none" w:pos="1564" w:val="left"/>
        </w:tabs>
        <w:numPr>
          <w:ilvl w:val="1"/>
          <w:numId w:val="5"/>
        </w:numPr>
        <w:rPr>
          <w:rFonts w:ascii="Arial" w:cs="Arial" w:eastAsia="Arial" w:hAnsi="Arial"/>
          <w:sz w:val="18"/>
          <w:szCs w:val="18"/>
          <w:color w:val="auto"/>
        </w:rPr>
      </w:pPr>
      <w:r>
        <w:rPr>
          <w:rFonts w:ascii="Arial" w:cs="Arial" w:eastAsia="Arial" w:hAnsi="Arial"/>
          <w:sz w:val="18"/>
          <w:szCs w:val="18"/>
          <w:color w:val="auto"/>
        </w:rPr>
        <w:t>Neither the Commission nor, to the Company’s knowledge, any state regulatory authority has issued any order preventing or suspending the use of the Registration Statement, any Preliminary Prospectus, any Issuer Free Writing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213" w:lineRule="exact"/>
        <w:rPr>
          <w:rFonts w:ascii="Arial" w:cs="Arial" w:eastAsia="Arial" w:hAnsi="Arial"/>
          <w:sz w:val="18"/>
          <w:szCs w:val="18"/>
          <w:color w:val="auto"/>
        </w:rPr>
      </w:pPr>
    </w:p>
    <w:p>
      <w:pPr>
        <w:jc w:val="both"/>
        <w:ind w:firstLine="800"/>
        <w:spacing w:after="0" w:line="279" w:lineRule="auto"/>
        <w:tabs>
          <w:tab w:leader="none" w:pos="1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the Registration Statement and any post-effective amendment thereto, at the time it became effective, complied in all material respects with the requirements of the Securities Act and the Rules and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Rules and Regulations.</w:t>
      </w:r>
    </w:p>
    <w:p>
      <w:pPr>
        <w:spacing w:after="0" w:line="198" w:lineRule="exact"/>
        <w:rPr>
          <w:rFonts w:ascii="Arial" w:cs="Arial" w:eastAsia="Arial" w:hAnsi="Arial"/>
          <w:sz w:val="17"/>
          <w:szCs w:val="17"/>
          <w:color w:val="auto"/>
        </w:rPr>
      </w:pPr>
    </w:p>
    <w:p>
      <w:pPr>
        <w:jc w:val="both"/>
        <w:ind w:firstLine="800"/>
        <w:spacing w:after="0" w:line="264" w:lineRule="auto"/>
        <w:tabs>
          <w:tab w:leader="none" w:pos="1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Registration Statement nor any amendment thereto, at its effective time, as of the Applicable Time, at the Closing Dates, contained, contains or will contain an untrue statement of a material fact or omitted, omits or will omit to state a material fact required to be stated therein or necessary to make the statements therein not misleading.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firstLine="800"/>
        <w:spacing w:after="0" w:line="289" w:lineRule="auto"/>
        <w:tabs>
          <w:tab w:leader="none" w:pos="1518"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General Disclosure Package, as of the Applicable Time and as of the Closing Dates,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the Pricing Prospectus, in reliance upon,</w:t>
      </w:r>
      <w:r>
        <w:rPr>
          <w:rFonts w:ascii="Arial" w:cs="Arial" w:eastAsia="Arial" w:hAnsi="Arial"/>
          <w:sz w:val="16"/>
          <w:szCs w:val="16"/>
          <w:i w:val="1"/>
          <w:iCs w:val="1"/>
          <w:color w:val="auto"/>
        </w:rPr>
        <w:t xml:space="preserve"> </w:t>
      </w:r>
      <w:r>
        <w:rPr>
          <w:rFonts w:ascii="Arial" w:cs="Arial" w:eastAsia="Arial" w:hAnsi="Arial"/>
          <w:sz w:val="16"/>
          <w:szCs w:val="16"/>
          <w:color w:val="auto"/>
        </w:rPr>
        <w:t>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193" w:lineRule="exact"/>
        <w:rPr>
          <w:rFonts w:ascii="Arial" w:cs="Arial" w:eastAsia="Arial" w:hAnsi="Arial"/>
          <w:sz w:val="16"/>
          <w:szCs w:val="16"/>
          <w:color w:val="auto"/>
        </w:rPr>
      </w:pPr>
    </w:p>
    <w:p>
      <w:pPr>
        <w:jc w:val="both"/>
        <w:ind w:firstLine="800"/>
        <w:spacing w:after="0" w:line="293" w:lineRule="auto"/>
        <w:tabs>
          <w:tab w:leader="none" w:pos="152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Neither the Prospectus nor any amendment or supplement thereto (including any prospectus wrapper), as of its issue date, at the time of any filing with the Commission pursuant to Rule 424(b) or at the Closing Dates,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makes no representations or warranties as to information contained in or omitted from the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192" w:lineRule="exact"/>
        <w:rPr>
          <w:sz w:val="20"/>
          <w:szCs w:val="20"/>
          <w:color w:val="auto"/>
        </w:rPr>
      </w:pPr>
    </w:p>
    <w:p>
      <w:pPr>
        <w:jc w:val="both"/>
        <w:ind w:firstLine="848"/>
        <w:spacing w:after="0" w:line="259" w:lineRule="auto"/>
        <w:tabs>
          <w:tab w:leader="none" w:pos="157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has not, directly or indirectly, distributed and will not distribute any offering material in connection with the offering and sale of the Shares and the Warrants other than any Preliminary Prospectus, the Prospectus and other materials, if any, permitted under the Securities Act. The Company will file with the Commission all Issuer Free Writing Prospectuses in the time and manner required under Rules 163(b)(2) and 433(d) of the Rules and Regulations.</w:t>
      </w:r>
    </w:p>
    <w:p>
      <w:pPr>
        <w:spacing w:after="0" w:line="213" w:lineRule="exact"/>
        <w:rPr>
          <w:rFonts w:ascii="Arial" w:cs="Arial" w:eastAsia="Arial" w:hAnsi="Arial"/>
          <w:sz w:val="18"/>
          <w:szCs w:val="18"/>
          <w:color w:val="auto"/>
        </w:rPr>
      </w:pPr>
    </w:p>
    <w:p>
      <w:pPr>
        <w:jc w:val="both"/>
        <w:ind w:firstLine="800"/>
        <w:spacing w:after="0" w:line="312" w:lineRule="auto"/>
        <w:tabs>
          <w:tab w:leader="none" w:pos="158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 of the Company’s filings with the Commission contained any untrue statement of a material fact or omitted to state any material fact necessary in order to make the statements therein, in the light of the circumstances under which they were made, not misleading; and the Company has made all filings with the Commission required under the Exchange Act and the rules and regulations of the Commission promulgated thereunder.</w:t>
      </w:r>
    </w:p>
    <w:p>
      <w:pPr>
        <w:spacing w:after="0" w:line="173" w:lineRule="exact"/>
        <w:rPr>
          <w:rFonts w:ascii="Arial" w:cs="Arial" w:eastAsia="Arial" w:hAnsi="Arial"/>
          <w:sz w:val="16"/>
          <w:szCs w:val="16"/>
          <w:color w:val="auto"/>
        </w:rPr>
      </w:pPr>
    </w:p>
    <w:p>
      <w:pPr>
        <w:ind w:left="1460" w:hanging="660"/>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left="1520" w:hanging="720"/>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time of filing of the Registration Statement, the Company was a “smaller reporting company,” as defined in Rule 12b-2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Exchange Act.</w:t>
      </w:r>
    </w:p>
    <w:p>
      <w:pPr>
        <w:spacing w:after="0" w:line="237" w:lineRule="exact"/>
        <w:rPr>
          <w:rFonts w:ascii="Arial" w:cs="Arial" w:eastAsia="Arial" w:hAnsi="Arial"/>
          <w:sz w:val="16"/>
          <w:szCs w:val="16"/>
          <w:color w:val="auto"/>
        </w:rPr>
      </w:pPr>
    </w:p>
    <w:p>
      <w:pPr>
        <w:ind w:firstLine="800"/>
        <w:spacing w:after="0" w:line="342" w:lineRule="auto"/>
        <w:tabs>
          <w:tab w:leader="none" w:pos="1518"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 time of filing the Registration Statement, any Rule 462(b) Registration Statement and any post-effective amendments thereto, and at the date hereof, the Company was not, and the Company currently is not, an “ineligible issuer,” as defined in Rule 405 of the Rules and Regulations.</w:t>
      </w:r>
    </w:p>
    <w:p>
      <w:pPr>
        <w:spacing w:after="0" w:line="150" w:lineRule="exact"/>
        <w:rPr>
          <w:rFonts w:ascii="Arial" w:cs="Arial" w:eastAsia="Arial" w:hAnsi="Arial"/>
          <w:sz w:val="16"/>
          <w:szCs w:val="16"/>
          <w:color w:val="auto"/>
        </w:rPr>
      </w:pPr>
    </w:p>
    <w:p>
      <w:pPr>
        <w:jc w:val="both"/>
        <w:ind w:firstLine="800"/>
        <w:spacing w:after="0" w:line="254" w:lineRule="auto"/>
        <w:tabs>
          <w:tab w:leader="none" w:pos="14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corporation under the laws of the State of Nevada, with requisite power and authority to own or lease its properties and conduct its business as described in the Registration Statement, the General Disclosure Package and the Prospectus. The Company is duly qualified to transact business in all jurisdictions in which the conduct of its business requires such qualification except where the failure to be so qualified would not (i) have, individually or in the aggregate, a material adverse effect on the earnings, business, management, properties, assets, rights, operations, condition (financial or otherwise) or prospects of the Company or (ii) prevent the consummation of the transactions contemplated hereby (the occurrence of any such effect or any such prevention described in the foregoing clauses (i) and (ii) being referred to as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Adverse Effect</w:t>
      </w:r>
      <w:r>
        <w:rPr>
          <w:rFonts w:ascii="Arial" w:cs="Arial" w:eastAsia="Arial" w:hAnsi="Arial"/>
          <w:sz w:val="18"/>
          <w:szCs w:val="18"/>
          <w:color w:val="auto"/>
        </w:rPr>
        <w:t>”). The certificate of incorporation and bylaws of the company, as amended to date (the “</w:t>
      </w:r>
      <w:r>
        <w:rPr>
          <w:rFonts w:ascii="Arial" w:cs="Arial" w:eastAsia="Arial" w:hAnsi="Arial"/>
          <w:sz w:val="18"/>
          <w:szCs w:val="18"/>
          <w:u w:val="single" w:color="auto"/>
          <w:color w:val="auto"/>
        </w:rPr>
        <w:t>Charter</w:t>
      </w:r>
      <w:r>
        <w:rPr>
          <w:rFonts w:ascii="Arial" w:cs="Arial" w:eastAsia="Arial" w:hAnsi="Arial"/>
          <w:sz w:val="18"/>
          <w:szCs w:val="18"/>
          <w:color w:val="auto"/>
        </w:rPr>
        <w:t>”), comply with Nevada law and are in full force and effect.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firstLine="800"/>
        <w:spacing w:after="0" w:line="255" w:lineRule="auto"/>
        <w:tabs>
          <w:tab w:leader="none" w:pos="15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and the Warrant Agreement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220" w:lineRule="exact"/>
        <w:rPr>
          <w:rFonts w:ascii="Arial" w:cs="Arial" w:eastAsia="Arial" w:hAnsi="Arial"/>
          <w:sz w:val="18"/>
          <w:szCs w:val="18"/>
          <w:color w:val="auto"/>
        </w:rPr>
      </w:pPr>
    </w:p>
    <w:p>
      <w:pPr>
        <w:jc w:val="both"/>
        <w:ind w:firstLine="800"/>
        <w:spacing w:after="0" w:line="269" w:lineRule="auto"/>
        <w:tabs>
          <w:tab w:leader="none" w:pos="15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Warrant Agreement by the Company, and the consummation of the transactions contemplated hereby and thereby will not (with or without notice or lapse of time or both) conflict with or result in a breach or violation of any of the terms or provisions of, constitute a default or a Debt Repayment Triggering Event (as defined below) under, give rise to any right of termination or other right or the cancellation or acceleration of any right or obligation or loss of a benefit under, or give rise to the creation or imposition of any lien, encumbrance, security interest, claim or charge upon any property or assets of the Company pursuant to, any indenture, mortgage, deed of trust, loan agreement or other agreement or instrument to which the Company is a party or by which the Company is bound or to which any of the property or assets of the Company is subject, nor will such actions result in any violation of the provisions of the Charter of the Company or any law, statute, rule, regulation, judgment, order or decree of any court or governmental agency or body, domestic or foreign, having jurisdiction over the Company or any of its properties or assets. A “</w:t>
      </w:r>
      <w:r>
        <w:rPr>
          <w:rFonts w:ascii="Arial" w:cs="Arial" w:eastAsia="Arial" w:hAnsi="Arial"/>
          <w:sz w:val="17"/>
          <w:szCs w:val="17"/>
          <w:u w:val="single" w:color="auto"/>
          <w:color w:val="auto"/>
        </w:rPr>
        <w:t>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Repayment Triggering Event</w:t>
      </w:r>
      <w:r>
        <w:rPr>
          <w:rFonts w:ascii="Arial" w:cs="Arial" w:eastAsia="Arial" w:hAnsi="Arial"/>
          <w:sz w:val="17"/>
          <w:szCs w:val="17"/>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209" w:lineRule="exact"/>
        <w:rPr>
          <w:rFonts w:ascii="Arial" w:cs="Arial" w:eastAsia="Arial" w:hAnsi="Arial"/>
          <w:sz w:val="17"/>
          <w:szCs w:val="17"/>
          <w:color w:val="auto"/>
        </w:rPr>
      </w:pPr>
    </w:p>
    <w:p>
      <w:pPr>
        <w:jc w:val="both"/>
        <w:ind w:firstLine="800"/>
        <w:spacing w:after="0" w:line="269" w:lineRule="auto"/>
        <w:tabs>
          <w:tab w:leader="none" w:pos="15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Shares and the Warrants have been duly authorized for issuance and sale and, when issued and paid for, will be validly issued, fully paid and non-assessable; the holders thereof are not and will not be subject to personal liability by reason of being such holders; the Shares and the Warrants are not and will not be subject to the preemptive rights of any holders of any security of the Company or similar contractual rights granted by the Company; and all corporate action required to be taken for the authorization, issuance and sale of the Shares and the Warrants has been duly and validly taken. The Shares and the Warrants conform in all material respects to all statements with respect thereto contained in the Registration Statement, the General Disclosure Package and the Prospectus. All corporate action required to be taken for the authorization, issuance and sale of the Warrants has been duly and validly taken; the Common Shares issuable upon exercise of the Warrants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have been duly authorized and reserved for issuance by all necessary corporate action on the part of the Company and when paid for and issued in accordance with the Warrants and the Warrant Agreement, the Warrant Shares will be validly issued, fully paid and non-assessable; the holders thereof are not and will not be subject to personal liability by reason of being such holders; and the Warrant Shares are not and will not be subject to the preemptive rights of any holders of any security of the Company or similar contractual rights granted by the Company.</w:t>
      </w:r>
    </w:p>
    <w:p>
      <w:pPr>
        <w:spacing w:after="0" w:line="209" w:lineRule="exact"/>
        <w:rPr>
          <w:rFonts w:ascii="Arial" w:cs="Arial" w:eastAsia="Arial" w:hAnsi="Arial"/>
          <w:sz w:val="17"/>
          <w:szCs w:val="17"/>
          <w:color w:val="auto"/>
        </w:rPr>
      </w:pPr>
    </w:p>
    <w:p>
      <w:pPr>
        <w:jc w:val="both"/>
        <w:ind w:firstLine="800"/>
        <w:spacing w:after="0" w:line="286" w:lineRule="auto"/>
        <w:tabs>
          <w:tab w:leader="none" w:pos="16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under the heading “Capitalization” in the Pricing Prospectus, and all of the issued shares of capital stock of the Company have been duly and validly authorized and issued, are fully paid and non-assessable, have been issued in compliance with federal, state and local securities laws, and conform to the description thereof contained in the Registration Statement, General Disclosure Package and the Prospectus. As of May 10, 2016 there were 2,525,276 Common Shares issued and outstanding and 6,513,303 preferred shares, par value $0.001, of the Company issued and outstanding, and 8,996,393 Common Shares were issuable upon the exercise of all options, warrants and convertible securities outstanding as of such date. Since such date, the Company has not issued any securities other than Common Shares of the Company issued pursuant to the exercise of stock options previously outstanding under the Company’s stock option plans. All of the Company’s options, warrants and other rights to purchase or exchange any securities for shares of the Company’s capital stock have been duly authorized and validly issued and were issued in compliance with federal, state and local securities laws. None of the outstanding Common Shares was issued in violation of any preemptive rights, rights of first refusal or other similar rights to subscribe for or purchase securities of the Company. There are no authorized or outstanding shares of capital stock, options, warrants, preemptive rights, rights of first refusal or other rights to purchase, or equity or debt securities convertible into or exchangeable or exercisable for, any capital stock of the Company other than those described above or accurately described in the Registration Statement, General Disclosure Package and the Prospectus. The description of the Company’s stock option, stock bonus and other stock plans or arrangements, and the options or other rights granted thereunder, as described in the Registration Statement, the General Disclosure Package and the Prospectus, accurately and fairly present the information required to be shown with respect to such plans, arrangements, options and rights.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1660" w:hanging="860"/>
        <w:spacing w:after="0"/>
        <w:tabs>
          <w:tab w:leader="none" w:pos="1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no shareholders’ agreement, voting agreement, investor rights agreement or similar agreement with respect to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current in effect.</w:t>
      </w:r>
    </w:p>
    <w:p>
      <w:pPr>
        <w:spacing w:after="0" w:line="237" w:lineRule="exact"/>
        <w:rPr>
          <w:rFonts w:ascii="Arial" w:cs="Arial" w:eastAsia="Arial" w:hAnsi="Arial"/>
          <w:sz w:val="16"/>
          <w:szCs w:val="16"/>
          <w:color w:val="auto"/>
        </w:rPr>
      </w:pPr>
    </w:p>
    <w:p>
      <w:pPr>
        <w:ind w:firstLine="800"/>
        <w:spacing w:after="0" w:line="277" w:lineRule="auto"/>
        <w:tabs>
          <w:tab w:leader="none" w:pos="15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does not own or control, directly or indirectly, any interest in any corporation, partnership, limited liability partnership, limited liability corporation, association or other entity except for the Subsidiaries.</w:t>
      </w:r>
    </w:p>
    <w:p>
      <w:pPr>
        <w:spacing w:after="0" w:line="197" w:lineRule="exact"/>
        <w:rPr>
          <w:rFonts w:ascii="Arial" w:cs="Arial" w:eastAsia="Arial" w:hAnsi="Arial"/>
          <w:sz w:val="18"/>
          <w:szCs w:val="18"/>
          <w:color w:val="auto"/>
        </w:rPr>
      </w:pPr>
    </w:p>
    <w:p>
      <w:pPr>
        <w:jc w:val="both"/>
        <w:ind w:firstLine="800"/>
        <w:spacing w:after="0" w:line="259" w:lineRule="auto"/>
        <w:tabs>
          <w:tab w:leader="none" w:pos="1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OUM &amp; Co. LLP (the “</w:t>
      </w:r>
      <w:r>
        <w:rPr>
          <w:rFonts w:ascii="Arial" w:cs="Arial" w:eastAsia="Arial" w:hAnsi="Arial"/>
          <w:sz w:val="18"/>
          <w:szCs w:val="18"/>
          <w:u w:val="single" w:color="auto"/>
          <w:color w:val="auto"/>
        </w:rPr>
        <w:t>Auditors</w:t>
      </w:r>
      <w:r>
        <w:rPr>
          <w:rFonts w:ascii="Arial" w:cs="Arial" w:eastAsia="Arial" w:hAnsi="Arial"/>
          <w:sz w:val="18"/>
          <w:szCs w:val="18"/>
          <w:color w:val="auto"/>
        </w:rPr>
        <w:t>”), who have certified certain of the financial statements, together with related notes, filed with the Commission as part of the Registration Statement, the General Disclosure Package and the Prospectus, is an independent registered public accounting firm with respect to the Company within the meaning of the Securities Act and the applicable Rules and Regulations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 as required by the Securities Act.</w:t>
      </w:r>
    </w:p>
    <w:p>
      <w:pPr>
        <w:spacing w:after="0" w:line="213" w:lineRule="exact"/>
        <w:rPr>
          <w:rFonts w:ascii="Arial" w:cs="Arial" w:eastAsia="Arial" w:hAnsi="Arial"/>
          <w:sz w:val="18"/>
          <w:szCs w:val="18"/>
          <w:color w:val="auto"/>
        </w:rPr>
      </w:pPr>
    </w:p>
    <w:p>
      <w:pPr>
        <w:jc w:val="both"/>
        <w:ind w:firstLine="800"/>
        <w:spacing w:after="0" w:line="287" w:lineRule="auto"/>
        <w:tabs>
          <w:tab w:leader="none" w:pos="15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financial statements of the Company, together with related notes as set forth in the Registration Statement, the General Disclosure Package and the Prospectus, comply in all material respects with the applicable requirements of the Securities Act and present fairly the financial position and the results of operations and cash flows of the Company, at the indicated dates and for the indicated periods. Such financial statements and related schedules have been prepared in accordance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consistently applied throughout the periods involved, except as disclosed therein, and all adjustments necessary for a fair presentation of results for such periods have been made. The summary and selected financial and statistical data included in the Registration Statement, the General Disclosure Package and the Prospectus present fairly the information shown therein and such data has been compiled on a basis consistent with the financial statements presented therein and the books and records of the Company. All disclosures contained in the Registration Statement, the General Disclosure Package and the Prospectus regarding “non-GAAP financial measures” comply with Regulation G of the Exchange Act and Item 10 of Regulation S-K under the Securities Act, to the extent applicable. The Company does not have any material liabilities or obligations, direct or contingent (including any off-balance sheet obligations,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195" w:lineRule="exact"/>
        <w:rPr>
          <w:rFonts w:ascii="Arial" w:cs="Arial" w:eastAsia="Arial" w:hAnsi="Arial"/>
          <w:sz w:val="16"/>
          <w:szCs w:val="16"/>
          <w:color w:val="auto"/>
        </w:rPr>
      </w:pPr>
    </w:p>
    <w:p>
      <w:pPr>
        <w:jc w:val="both"/>
        <w:ind w:firstLine="800"/>
        <w:spacing w:after="0" w:line="289" w:lineRule="auto"/>
        <w:tabs>
          <w:tab w:leader="none" w:pos="1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Registration Statement, the General Disclosure Package and the Prospectus, (i) there has not been any material adverse change or any development involving a prospective material adverse change in or affecting the earnings, business, management, properties, assets, rights, operations, condition (financial or otherwise), or prospects of the Company, whether or not occurring in the ordinary course of business, (ii) there has not been any material transaction entered into or any material transaction that is probable of being entered into by the Company, other than transactions in the ordinary course of business and changes and transactions described in the Registration Statement, the General Disclosure Package and the Prospectus, as each may be amended or supplemented,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General Disclosure Package and the Prospectus.</w:t>
      </w:r>
    </w:p>
    <w:p>
      <w:pPr>
        <w:spacing w:after="0" w:line="193" w:lineRule="exact"/>
        <w:rPr>
          <w:rFonts w:ascii="Arial" w:cs="Arial" w:eastAsia="Arial" w:hAnsi="Arial"/>
          <w:sz w:val="16"/>
          <w:szCs w:val="16"/>
          <w:color w:val="auto"/>
        </w:rPr>
      </w:pPr>
    </w:p>
    <w:p>
      <w:pPr>
        <w:jc w:val="both"/>
        <w:ind w:firstLine="800"/>
        <w:spacing w:after="0" w:line="289" w:lineRule="auto"/>
        <w:tabs>
          <w:tab w:leader="none" w:pos="15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General Disclosure Package and the Prospectus, as applicable, the Company (i) is and at all times has been in compliance with all statutes, rules and regulations applicable to the ownership, testing, development, manufacture, packaging, processing, use, distribution, marketing, advertising, labeling, promotion, sale, offer for sale, storage, import, export or disposal of any product currently manufactured or distributed by the Company, including, without limitation, the Federal Food, Drug and Cosmetic Act (21 U.S.C. § 301 et seq.), the federal Anti-kickback Statute (42 U.S.C. § 1320a-7b(b)), the civil False Claims Act (31 U.S.C. §§ 3729 et seq.), the administrative False Claims Law (42 U.S.C. § 1320a-7b(a)), the Anti-Inducement Law (42 U.S.C. § 1320a-7a(a)(5)), the exclusion laws and the statutes of applicable government funded or sponsored healthcare programs, applicable laws pertaining to data privacy, and the Patient Protection and Affordable Care Act, as amended by the Health Care and Education Reconciliation Act of 2010, the regulations promulgated pursuant to such laws, including, without limitation, where applicable, regulations relating to Good Clinical Practices and Good Laboratory Practices and all other comparable local, state, federal, national,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color w:val="auto"/>
        </w:rPr>
        <w:t>supranational and foreign laws relating to the regulation of the Company (collectively, the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for such non-compliance as would not, individually or in the aggregate, have a Material Adverse Effect; (ii) has not received any written notice from any court or arbitrator or governmental or regulatory authority or third party alleging or asserting non-compliance with any Applicable Laws or any licenses, exemptions, certificates, approvals, clearances, qualifications, authorizations, permits, registrations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 except for such non-compliance as would not, individually or in the aggregate, have a Material Adverse Effect; (iii) possesses all Authorizations necessary for the operation of its business as currently conducted as described in the Registration Statement, the General Disclosure Package and the Prospectus and such Authorizations are valid and in full force and effect and the Company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to the Company’s knowledge, is any such claim, action, suit, proceeding, hearing, enforcement, investigation, arbitration or other action threatened in writing, except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as would not, individually or in the aggregate, have a Material Adverse Effect; (vi) has filed,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in all material respects (or were corrected or supplemented by a subsequent submission); and (vii) is not a party to any material corporate integrity agreements, monitoring agreements, consent decrees, settlement orders, or similar agreements with or imposed by any governmental or regulatory authority.</w:t>
      </w:r>
    </w:p>
    <w:p>
      <w:pPr>
        <w:spacing w:after="0" w:line="198" w:lineRule="exact"/>
        <w:rPr>
          <w:sz w:val="20"/>
          <w:szCs w:val="20"/>
          <w:color w:val="auto"/>
        </w:rPr>
      </w:pPr>
    </w:p>
    <w:p>
      <w:pPr>
        <w:jc w:val="both"/>
        <w:ind w:firstLine="800"/>
        <w:spacing w:after="0" w:line="268" w:lineRule="auto"/>
        <w:tabs>
          <w:tab w:leader="none" w:pos="16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None of the Company’s product candidates has received marketing approval from the United States Food and Drug Administration or any comparable drug regulatory agency outside of the United States to which it is subject (collectively, the “</w:t>
      </w:r>
      <w:r>
        <w:rPr>
          <w:rFonts w:ascii="Arial" w:cs="Arial" w:eastAsia="Arial" w:hAnsi="Arial"/>
          <w:sz w:val="17"/>
          <w:szCs w:val="17"/>
          <w:u w:val="single" w:color="auto"/>
          <w:color w:val="auto"/>
        </w:rPr>
        <w:t>Regulatory Authorities</w:t>
      </w:r>
      <w:r>
        <w:rPr>
          <w:rFonts w:ascii="Arial" w:cs="Arial" w:eastAsia="Arial" w:hAnsi="Arial"/>
          <w:sz w:val="17"/>
          <w:szCs w:val="17"/>
          <w:color w:val="auto"/>
        </w:rPr>
        <w:t>”). To the Company’s knowledge, all nonclinical studies and clinical trials conducted by or on behalf of or sponsored by the Company, with respect to the Company’s product candidates, including any such studies and trials that are described in the Registration Statement, General Disclosure Package and the Prospectus, or the results of which are referred to in the Registration Statement, the General Disclosure Package and the Prospectus, as applicable (collectively,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Trials</w:t>
      </w:r>
      <w:r>
        <w:rPr>
          <w:rFonts w:ascii="Arial" w:cs="Arial" w:eastAsia="Arial" w:hAnsi="Arial"/>
          <w:sz w:val="17"/>
          <w:szCs w:val="17"/>
          <w:color w:val="auto"/>
        </w:rPr>
        <w:t>”), were, and if still pending are, being conducted in all material respects in accordance with all Applicable Laws; the descriptions in the Registration Statement, the General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the General Disclosure Package and the Prospectus, the results of which are materially inconsistent with or call into question the results described or referred to in the Registration Statement, the General Disclosure Package and the Prospectus; the Company is currently in compliance in all material respects with all Applicable Laws; the Company has not received, nor does it have knowledge that any of its collaboration partners has received, any written notices, correspondence or other written communications from the Regulatory Authorities or any other governmental agency requiring or threatening the termination, material modification or suspension of Company Trials, other than ordinary course communications with respect to modifications in connection with the design and implementation of such studies or trials. The Company has obtained (or caused to be obtained) the informed consent of each human subject who participated in a Company Trial. To the Company’s knowledge, none of the Company Trials involved any investigator who has been disqualified as a clinical investigator.</w:t>
      </w:r>
    </w:p>
    <w:p>
      <w:pPr>
        <w:spacing w:after="0" w:line="207" w:lineRule="exact"/>
        <w:rPr>
          <w:rFonts w:ascii="Arial" w:cs="Arial" w:eastAsia="Arial" w:hAnsi="Arial"/>
          <w:sz w:val="17"/>
          <w:szCs w:val="17"/>
          <w:color w:val="auto"/>
        </w:rPr>
      </w:pPr>
    </w:p>
    <w:p>
      <w:pPr>
        <w:jc w:val="both"/>
        <w:ind w:firstLine="800"/>
        <w:spacing w:after="0" w:line="270" w:lineRule="auto"/>
        <w:tabs>
          <w:tab w:leader="none" w:pos="17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approval, consent, order, authorization, designation, declaration or filing by or with any regulatory, administrative or other governmental body necessary for, or in connection with, the execution and delivery by the Company of this Agreement and the Warrant Agreement and the consummation of the transactions herein contemplated (including, without limitation, the issuance of the Shares, Warrants and Warrant Shares) has been obtained or made and is in full force and effect, except such additional steps as may be required by the Commission,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or such additional steps as may be necessary to qualify the Shares and Warrants for public offering by the Underwriters under state securities or Blue Sky laws.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company approvals (including those of shareholders) necessary for the Company to consummate the transactions contemplated by this Agreement and the Warrant Agreement have been obtained and are in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800"/>
        <w:spacing w:after="0" w:line="269" w:lineRule="auto"/>
        <w:tabs>
          <w:tab w:leader="none" w:pos="15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is not nor with the giving of notice or lapse of time or both, will be, (i) in violation of its Charter, (ii) in violation of or in default under any agreement, lease, contract, indenture or other instrument or obligation to which it is a party or by which it, or any of its properties, is bound or (iii) in violation of any law, order, rule or regulation judgment, order, writ or decree applicable to the Company of any court or of any government, regulatory body or administrative agency or other governmental body having jurisdiction over the Company, or any of its properties or assets, except in the case of clauses (ii) and (iii), for such violations or defaults as would not, individually or in the aggregate, have a Material Adverse Effect. The execution and delivery of this Agreement, the Warrant Agreement and all ancillary documents, and the consummation of the transactions herein and therein contemplated ,and the fulfillment of the terms hereof and thereof do not and will not conflict with or result in a breach of any of the terms or provisions of, or constitute a default under, (i) any indenture, mortgage, deed of trust or other agreement or instrument to which the Company is a party or by which the Company or any of its properties is bound, (ii) the Charter of the Company, or (iii) any law, order, rule or regulation judgment, order, writ or decree applicable to the Company of any court or of any government, regulatory body or administrative agency or other governmental body having jurisdiction over the Company, or any of its properties or assets, except in the case of clauses (i) and (iii), for such conflict, breach or default as would not, individually or in the aggregate, have a Material Adverse Effect.</w:t>
      </w:r>
    </w:p>
    <w:p>
      <w:pPr>
        <w:spacing w:after="0" w:line="206" w:lineRule="exact"/>
        <w:rPr>
          <w:rFonts w:ascii="Arial" w:cs="Arial" w:eastAsia="Arial" w:hAnsi="Arial"/>
          <w:sz w:val="17"/>
          <w:szCs w:val="17"/>
          <w:color w:val="auto"/>
        </w:rPr>
      </w:pPr>
    </w:p>
    <w:p>
      <w:pPr>
        <w:ind w:left="1500" w:hanging="700"/>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sz w:val="20"/>
          <w:szCs w:val="20"/>
          <w:color w:val="auto"/>
        </w:rPr>
      </w:pPr>
    </w:p>
    <w:p>
      <w:pPr>
        <w:jc w:val="both"/>
        <w:ind w:firstLine="800"/>
        <w:spacing w:after="0" w:line="272" w:lineRule="auto"/>
        <w:tabs>
          <w:tab w:leader="none" w:pos="15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The Company’s ownership and control of each Subsidiary is as described in the Registration Statement, the General Disclosure Package and the Prospectus. No Subsidiary of the Company is prohibited or restricted, directly or indirectly, from paying any dividends to the Company, from making any other distributions on such Subsidiary’s capital stock, from repaying to the Company any loans or advances to such Subsidiary from the Company or from transferring any of such Subsidiary’s property or assets to the Company or any other Subsidiary of the Company.</w:t>
      </w:r>
    </w:p>
    <w:p>
      <w:pPr>
        <w:spacing w:after="0" w:line="204" w:lineRule="exact"/>
        <w:rPr>
          <w:rFonts w:ascii="Arial" w:cs="Arial" w:eastAsia="Arial" w:hAnsi="Arial"/>
          <w:sz w:val="17"/>
          <w:szCs w:val="17"/>
          <w:color w:val="auto"/>
        </w:rPr>
      </w:pPr>
    </w:p>
    <w:p>
      <w:pPr>
        <w:jc w:val="both"/>
        <w:ind w:firstLine="800"/>
        <w:spacing w:after="0" w:line="255" w:lineRule="auto"/>
        <w:tabs>
          <w:tab w:leader="none" w:pos="1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Material Adverse Effect, the Company (i) holds all licenses, registrations, certificates and permits from governmental authorities (collectively, “</w:t>
      </w:r>
      <w:r>
        <w:rPr>
          <w:rFonts w:ascii="Arial" w:cs="Arial" w:eastAsia="Arial" w:hAnsi="Arial"/>
          <w:sz w:val="18"/>
          <w:szCs w:val="18"/>
          <w:u w:val="single" w:color="auto"/>
          <w:color w:val="auto"/>
        </w:rPr>
        <w:t>Governmental Licenses</w:t>
      </w:r>
      <w:r>
        <w:rPr>
          <w:rFonts w:ascii="Arial" w:cs="Arial" w:eastAsia="Arial" w:hAnsi="Arial"/>
          <w:sz w:val="18"/>
          <w:szCs w:val="18"/>
          <w:color w:val="auto"/>
        </w:rPr>
        <w:t>”) which are necessary to the conduct of its business, (ii) is in compliance with the terms and conditions of all Governmental Licenses, and all Governmental Licenses are valid and in full force and effect, and (iii) has not received any written or other notice of proceedings relating to the revocation or modification of any Governmental License. All of the Governmental Licenses of the Company are valid and in full force and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216" w:lineRule="exact"/>
        <w:rPr>
          <w:rFonts w:ascii="Arial" w:cs="Arial" w:eastAsia="Arial" w:hAnsi="Arial"/>
          <w:sz w:val="18"/>
          <w:szCs w:val="18"/>
          <w:color w:val="auto"/>
        </w:rPr>
      </w:pPr>
    </w:p>
    <w:p>
      <w:pPr>
        <w:jc w:val="both"/>
        <w:ind w:firstLine="860"/>
        <w:spacing w:after="0" w:line="259" w:lineRule="auto"/>
        <w:tabs>
          <w:tab w:leader="none" w:pos="1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of the Shares and Warrants and the application of the proceeds thereof (including the issuance of the Warrant Shares) as described in the Registration Statement, the General Disclosure Package and the Prospectus, will not become an “investment company” within the meaning of the Investment Company Act of 1940, as amended, and the rules and regulations of the Commission thereunder.</w:t>
      </w:r>
    </w:p>
    <w:p>
      <w:pPr>
        <w:spacing w:after="0" w:line="214" w:lineRule="exact"/>
        <w:rPr>
          <w:sz w:val="20"/>
          <w:szCs w:val="20"/>
          <w:color w:val="auto"/>
        </w:rPr>
      </w:pPr>
    </w:p>
    <w:p>
      <w:pPr>
        <w:jc w:val="both"/>
        <w:ind w:right="20" w:firstLine="800"/>
        <w:spacing w:after="0" w:line="264" w:lineRule="auto"/>
        <w:tabs>
          <w:tab w:leader="none" w:pos="1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800"/>
        <w:spacing w:after="0" w:line="284" w:lineRule="auto"/>
        <w:tabs>
          <w:tab w:leader="none" w:pos="16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owns or possesses the valid right to use all (i) valid and enforceable patents, patent applications, trademarks, trademark registrations, service marks, service mark registrations, Internet domain name registrations, copyrights, copyright registrations, licenses, trade secret rights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and (ii) inventions, software, works of authorships, trade marks, service marks, trade names, databases, formulae, know how, Internet domain names and other intellectual property (including trade secrets and other unpatented and/or unpatentable proprietary confidential information, systems, or procedures) (collectively, “</w:t>
      </w:r>
      <w:r>
        <w:rPr>
          <w:rFonts w:ascii="Arial" w:cs="Arial" w:eastAsia="Arial" w:hAnsi="Arial"/>
          <w:sz w:val="16"/>
          <w:szCs w:val="16"/>
          <w:u w:val="single" w:color="auto"/>
          <w:color w:val="auto"/>
        </w:rPr>
        <w:t>Intellectual Property Assets</w:t>
      </w:r>
      <w:r>
        <w:rPr>
          <w:rFonts w:ascii="Arial" w:cs="Arial" w:eastAsia="Arial" w:hAnsi="Arial"/>
          <w:sz w:val="16"/>
          <w:szCs w:val="16"/>
          <w:color w:val="auto"/>
        </w:rPr>
        <w:t>”) necessary to conduct their respective businesses as currently conducted, and as proposed to be conducted and described in the Registration Statement, the General Disclosure Package and the Prospectus. The Company has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their knowledge still pending, by any other person to the rights of the Company with respect to any Intellectual Property Rights or Intellectual Property Assets owned or used by the Company. To the knowledge of the Company,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Registration Statement, the General Disclosure Package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Except as described in the Registration Statement, the General Disclosure Package and the Prospectus,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obtain ownership of all works of authorship and inventions made by its employees, consultants and contractors during the time they were employed by or under contract with the Company and which relate to the Company’s business. All founders and key employees have signed confidentiality and invention assignment agreements with the Company.</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jc w:val="both"/>
        <w:ind w:firstLine="800"/>
        <w:spacing w:after="0" w:line="291" w:lineRule="auto"/>
        <w:tabs>
          <w:tab w:leader="none" w:pos="15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good and marketable title in fee simple to, or have valid rights to lease or otherwise use, all items of real or personal property which are material to the business of the Company,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Registration Statement, the General Disclosure Package and the Prospectus, are in full force and effect, and the Company has received no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94" w:lineRule="exact"/>
        <w:rPr>
          <w:rFonts w:ascii="Arial" w:cs="Arial" w:eastAsia="Arial" w:hAnsi="Arial"/>
          <w:sz w:val="16"/>
          <w:szCs w:val="16"/>
          <w:color w:val="auto"/>
        </w:rPr>
      </w:pPr>
    </w:p>
    <w:p>
      <w:pPr>
        <w:jc w:val="both"/>
        <w:ind w:firstLine="800"/>
        <w:spacing w:after="0" w:line="259" w:lineRule="auto"/>
        <w:tabs>
          <w:tab w:leader="none" w:pos="17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labor disturbance by or dispute with employees of the Company exists or, to the knowledge of the Company, is contemplated or threatened. No labor dispute with the employees of the Company exists nor, to the knowledge of the Company, is imminent. The Company is not aware of any existing or imminent labor disturbance by the employees of any of its principal suppliers, manufacturers, customers or contractors, which, in either case, would reasonably be expected to result in a Material Adverse Effect.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800"/>
        <w:spacing w:after="0" w:line="269" w:lineRule="auto"/>
        <w:tabs>
          <w:tab w:leader="none" w:pos="1618"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Company and any “employee benefit plan” (as defined under the Employee Retirement Income Security Act of 1974, as amended, and the regulations and published interpretations thereunder (collectively, “</w:t>
      </w:r>
      <w:r>
        <w:rPr>
          <w:rFonts w:ascii="Arial" w:cs="Arial" w:eastAsia="Arial" w:hAnsi="Arial"/>
          <w:sz w:val="17"/>
          <w:szCs w:val="17"/>
          <w:u w:val="single" w:color="auto"/>
          <w:color w:val="auto"/>
        </w:rPr>
        <w:t>ERISA</w:t>
      </w:r>
      <w:r>
        <w:rPr>
          <w:rFonts w:ascii="Arial" w:cs="Arial" w:eastAsia="Arial" w:hAnsi="Arial"/>
          <w:sz w:val="17"/>
          <w:szCs w:val="17"/>
          <w:color w:val="auto"/>
        </w:rPr>
        <w:t>”)) established or maintained by the Company or its “ERISA Affiliates” (as defined below) are in compliance in all material respects with ERISA. “ERISA Affiliate” means, with respect to the Company, any member of any group of organizations described in Sections 414(b),(c),(m) or (o) of the Internal Revenue Code of 1986, as amended, and the regulations and published interpretations thereunder (the “Code”)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w:t>
      </w:r>
    </w:p>
    <w:p>
      <w:pPr>
        <w:spacing w:after="0" w:line="206" w:lineRule="exact"/>
        <w:rPr>
          <w:rFonts w:ascii="Arial" w:cs="Arial" w:eastAsia="Arial" w:hAnsi="Arial"/>
          <w:sz w:val="17"/>
          <w:szCs w:val="17"/>
          <w:color w:val="auto"/>
        </w:rPr>
      </w:pPr>
    </w:p>
    <w:p>
      <w:pPr>
        <w:jc w:val="both"/>
        <w:ind w:firstLine="800"/>
        <w:spacing w:after="0" w:line="285" w:lineRule="auto"/>
        <w:tabs>
          <w:tab w:leader="none" w:pos="16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in each case as otherwise disclosed in the Registration Statement, the General Disclosure Package and the Prospectus: (i) the Company has complied and is in compliance, in all material respects, with all applicable federal, state, local, foreign, and international laws (including the common law), statutes, rules, regulations, orders, judgments, decrees or other legally binding requirements of any court, administrative agency or other governmental authority relating to pollution or to the protection of the environment, natural resources or human health or safety, or to the manufacture, use, generation, treatment, storage, disposal, release or threatened release of hazardous or toxic substances, pollutants, contaminants or wastes, or the arrangement for such activities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the Company has obtained and is in compliance, in all material respects, with all permits, licenses, authorizations or other approvals required of them under Environmental Laws to conduct its business and is not subject to any action to revoke, terminate, cancel, limit, amend or appeal any such permits, licenses, authorizations or approvals; (iii) the Company is not a party to any judicial or administrative proceeding (including a notice of violation) under any Environmental Laws (a) to which a governmental authority is also a party and which involves potential monetary sanctions, unless it could reasonably be expected that such proceeding will result in monetary sanctions of less than $100,000, or (b) which is otherwise material; and no such proceeding has been threatened or is known to be contemplated; (iv) the Company has not received notice nor is otherwise aware of any pending or threatened material claim or potential liability under Environmental Laws in respect of its past or present business, operations (including the disposal of hazardous substances at any off-site location), facilities or real property (whether owned, leased or operated) or on account of any predecessor or any person whose liability under any Environmental Laws it has agreed to assume; and the Company is not aware of any facts or conditions that could reasonably be expected to give rise to any such claim or liability; and (v) the Company is not aware of any matters regarding compliance with existing or reasonably anticipated Environmental Laws, or with any liabilities or other obligations under Environmental Laws (including asset retirement obligations), that could reasonably be expected to have a material effect on the capital expenditures, earnings or competitive position of the Company.</w:t>
      </w:r>
    </w:p>
    <w:p>
      <w:pPr>
        <w:spacing w:after="0" w:line="202" w:lineRule="exact"/>
        <w:rPr>
          <w:rFonts w:ascii="Arial" w:cs="Arial" w:eastAsia="Arial" w:hAnsi="Arial"/>
          <w:sz w:val="16"/>
          <w:szCs w:val="16"/>
          <w:color w:val="auto"/>
        </w:rPr>
      </w:pPr>
    </w:p>
    <w:p>
      <w:pPr>
        <w:jc w:val="both"/>
        <w:ind w:firstLine="800"/>
        <w:spacing w:after="0" w:line="285" w:lineRule="auto"/>
        <w:tabs>
          <w:tab w:leader="none" w:pos="156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(i) has timely filed all necessary federal, state, local and foreign tax returns, and all such returns were true, complete and correct, and no issues have been raised (and are currently pending ) by any taxing authority in connection with any such tax returns,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any of them, except those, in each of the cases described in clauses (i),</w:t>
      </w:r>
    </w:p>
    <w:p>
      <w:pPr>
        <w:spacing w:after="0" w:line="2" w:lineRule="exact"/>
        <w:rPr>
          <w:rFonts w:ascii="Arial" w:cs="Arial" w:eastAsia="Arial" w:hAnsi="Arial"/>
          <w:sz w:val="16"/>
          <w:szCs w:val="16"/>
          <w:color w:val="auto"/>
        </w:rPr>
      </w:pPr>
    </w:p>
    <w:p>
      <w:pPr>
        <w:jc w:val="both"/>
        <w:ind w:firstLine="8"/>
        <w:spacing w:after="0" w:line="287" w:lineRule="auto"/>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(iii) of this paragraph (jj), that would not, singularly or in the aggregate,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March 31, 2014 the Company has not incurred any liability for taxes other than in the ordinary course. The term “tax returns” means all returns, declarations, reports, statements, and other documents required to be filed in respect of all federal, state, local, foreign, and other net income, gross income, gross receipts, sales, use, ad valorem, transfer, franchise, profits, licenses, lease, service, service use, withholding, payroll, employment, excise, severance, stamp, occupation, premium, property, windfall profits, customs, duties or other taxes, fees, assessments, or charges of any kind whatsoever, with any interest and any penalties, additions to tax, or additional amounts with respect thereto.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800"/>
        <w:spacing w:after="0" w:line="270" w:lineRule="auto"/>
        <w:tabs>
          <w:tab w:leader="none" w:pos="16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carries insurance in such amounts and covering such risks as is adequate for the conduct of its business and the value of its properties and as is customary for companies engaged in similar businesses in similar industries.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All policies of insurance owned by the Company are, to the Company’s knowledge, in full force and effect and the Company is in compliance with the terms of such policies. The Company has not received any written notice from an insurer, agent of such insurer or the broker of the Company that any material capital improvements or any other material expenditures (other than premium payments) are required or necessary to be made in order to continue such insurance. The Company does not insure risk of loss through any captive insurance, risk retention group, reciprocal group or by means of any fund or pool of assets specifically set aside for contingent liabilities other than as described in the Registration Statement, the General Disclosure Package and the Prospectus.</w:t>
      </w:r>
    </w:p>
    <w:p>
      <w:pPr>
        <w:spacing w:after="0" w:line="208" w:lineRule="exact"/>
        <w:rPr>
          <w:rFonts w:ascii="Arial" w:cs="Arial" w:eastAsia="Arial" w:hAnsi="Arial"/>
          <w:sz w:val="17"/>
          <w:szCs w:val="17"/>
          <w:color w:val="auto"/>
        </w:rPr>
      </w:pPr>
    </w:p>
    <w:p>
      <w:pPr>
        <w:jc w:val="both"/>
        <w:ind w:firstLine="800"/>
        <w:spacing w:after="0" w:line="286" w:lineRule="auto"/>
        <w:tabs>
          <w:tab w:leader="none" w:pos="15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maintains systems of “internal control over financial reporting” (as defined in Rule 13a-15(f) of the Exchange Act) that comply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There are no material weaknesses in the Company’s internal control over financial reporting, and there has been no change in internal control over financial reporting that has materially affected, or is reasonably likely to materially affect, the Company’s internal control over financial reporting since the respective dates as of which information is given in the Registration Statement, the General Disclosure Package and the Prospectus.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98" w:lineRule="exact"/>
        <w:rPr>
          <w:rFonts w:ascii="Arial" w:cs="Arial" w:eastAsia="Arial" w:hAnsi="Arial"/>
          <w:sz w:val="16"/>
          <w:szCs w:val="16"/>
          <w:color w:val="auto"/>
        </w:rPr>
      </w:pPr>
    </w:p>
    <w:p>
      <w:pPr>
        <w:ind w:right="20" w:firstLine="800"/>
        <w:spacing w:after="0" w:line="277" w:lineRule="auto"/>
        <w:tabs>
          <w:tab w:leader="none" w:pos="20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made and keep books, records and accounts, which, in reasonable detail, accurately and fairly reflect the transactions and dispositions of the assets of the Company in all material respects.</w:t>
      </w:r>
    </w:p>
    <w:p>
      <w:pPr>
        <w:spacing w:after="0" w:line="197" w:lineRule="exact"/>
        <w:rPr>
          <w:rFonts w:ascii="Arial" w:cs="Arial" w:eastAsia="Arial" w:hAnsi="Arial"/>
          <w:sz w:val="18"/>
          <w:szCs w:val="18"/>
          <w:color w:val="auto"/>
        </w:rPr>
      </w:pPr>
    </w:p>
    <w:p>
      <w:pPr>
        <w:jc w:val="both"/>
        <w:ind w:firstLine="800"/>
        <w:spacing w:after="0" w:line="273" w:lineRule="auto"/>
        <w:tabs>
          <w:tab w:leader="none" w:pos="16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under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205" w:lineRule="exact"/>
        <w:rPr>
          <w:rFonts w:ascii="Arial" w:cs="Arial" w:eastAsia="Arial" w:hAnsi="Arial"/>
          <w:sz w:val="17"/>
          <w:szCs w:val="17"/>
          <w:color w:val="auto"/>
        </w:rPr>
      </w:pPr>
    </w:p>
    <w:p>
      <w:pPr>
        <w:jc w:val="both"/>
        <w:ind w:firstLine="800"/>
        <w:spacing w:after="0" w:line="279" w:lineRule="auto"/>
        <w:tabs>
          <w:tab w:leader="none" w:pos="1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minute books of the Company have been made available to the Underwriters and counsel for the Underwriters, and such books (i) contain a complete summary of all meetings and actions of the board of directors (including each board committee) and shareholders of the Company (or analogous governing bodies and interest holders, as applicable), since the time of its respective incorporation or organization through the date of the latest meeting and action, and (ii) accurately in all material respects reflect all transactions referred to in such minutes.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800"/>
        <w:spacing w:after="0" w:line="264" w:lineRule="auto"/>
        <w:tabs>
          <w:tab w:leader="none" w:pos="16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officers, stockholders (or analogous interest holders), customers or suppliers of the Company or any of its affiliates on the other hand, which is required to be described in the Registration Statement, the General Disclosure Package and the Prospectus and which is not so described.</w:t>
      </w:r>
    </w:p>
    <w:p>
      <w:pPr>
        <w:spacing w:after="0" w:line="208" w:lineRule="exact"/>
        <w:rPr>
          <w:rFonts w:ascii="Arial" w:cs="Arial" w:eastAsia="Arial" w:hAnsi="Arial"/>
          <w:sz w:val="18"/>
          <w:szCs w:val="18"/>
          <w:color w:val="auto"/>
        </w:rPr>
      </w:pPr>
    </w:p>
    <w:p>
      <w:pPr>
        <w:jc w:val="both"/>
        <w:ind w:firstLine="800"/>
        <w:spacing w:after="0" w:line="257" w:lineRule="auto"/>
        <w:tabs>
          <w:tab w:leader="none" w:pos="16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person or entity has the right to require registration of Common Shares or other securities of the Company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Registration Statement, the General Disclosure Package and the Prospectus, there are no persons with registration rights or similar rights to have any securities registered by the Company under the Securities Act.</w:t>
      </w:r>
    </w:p>
    <w:p>
      <w:pPr>
        <w:spacing w:after="0" w:line="215" w:lineRule="exact"/>
        <w:rPr>
          <w:rFonts w:ascii="Arial" w:cs="Arial" w:eastAsia="Arial" w:hAnsi="Arial"/>
          <w:sz w:val="18"/>
          <w:szCs w:val="18"/>
          <w:color w:val="auto"/>
        </w:rPr>
      </w:pPr>
    </w:p>
    <w:p>
      <w:pPr>
        <w:jc w:val="both"/>
        <w:ind w:firstLine="800"/>
        <w:spacing w:after="0" w:line="257"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own any “margin securities” as that term is defined in Regulation U of the Board of Governors of the Federal Reserve System (the “</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and none of the proceeds of the sale of the Shares and Warrants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and Warrants to be considered a “purpose credit” within the meanings of Regulation T, U or X of the Federal Reserve Board.</w:t>
      </w:r>
    </w:p>
    <w:p>
      <w:pPr>
        <w:spacing w:after="0" w:line="215" w:lineRule="exact"/>
        <w:rPr>
          <w:rFonts w:ascii="Arial" w:cs="Arial" w:eastAsia="Arial" w:hAnsi="Arial"/>
          <w:sz w:val="18"/>
          <w:szCs w:val="18"/>
          <w:color w:val="auto"/>
        </w:rPr>
      </w:pPr>
    </w:p>
    <w:p>
      <w:pPr>
        <w:jc w:val="both"/>
        <w:ind w:firstLine="800"/>
        <w:spacing w:after="0" w:line="312" w:lineRule="auto"/>
        <w:tabs>
          <w:tab w:leader="none" w:pos="15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is not a party to any contract, agreement or understanding with any person that would give rise to a valid claim against the Company or the Underwriters for a brokerage commission, finder’s fee or like payment in connection with the offering and sale of the Shares and Warrants or any transaction contemplated by this Agreement, the Warrant Agreement, the Registration Statement, the General Disclosure Package or the Prospectus.\</w:t>
      </w:r>
    </w:p>
    <w:p>
      <w:pPr>
        <w:spacing w:after="0" w:line="173" w:lineRule="exact"/>
        <w:rPr>
          <w:rFonts w:ascii="Arial" w:cs="Arial" w:eastAsia="Arial" w:hAnsi="Arial"/>
          <w:sz w:val="16"/>
          <w:szCs w:val="16"/>
          <w:color w:val="auto"/>
        </w:rPr>
      </w:pPr>
    </w:p>
    <w:p>
      <w:pPr>
        <w:jc w:val="both"/>
        <w:ind w:firstLine="800"/>
        <w:spacing w:after="0" w:line="257" w:lineRule="auto"/>
        <w:tabs>
          <w:tab w:leader="none" w:pos="1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filed in a timely manner all reports required to be filed pursuant to Sections 13(a), 13(e), 14 and 15(d) of the Exchange Act during the preceding 12 months (except to the extent that Section 15(d) requires reports to be filed pursuant to Sections 13(d) and 13(g) of the Exchange Act, which shall be governed by the next clause of this sentence); and the Company has filed in a timely manner all reports required to be filed pursuant to Sections 13(d) and 13(g) of the Exchange Act, except where the failure to timely file could not reasonably be expected, individually or in the aggregate, to have a Material Adverse Effect.</w:t>
      </w:r>
    </w:p>
    <w:p>
      <w:pPr>
        <w:spacing w:after="0" w:line="215" w:lineRule="exact"/>
        <w:rPr>
          <w:rFonts w:ascii="Arial" w:cs="Arial" w:eastAsia="Arial" w:hAnsi="Arial"/>
          <w:sz w:val="18"/>
          <w:szCs w:val="18"/>
          <w:color w:val="auto"/>
        </w:rPr>
      </w:pPr>
    </w:p>
    <w:p>
      <w:pPr>
        <w:jc w:val="both"/>
        <w:ind w:firstLine="800"/>
        <w:spacing w:after="0" w:line="257" w:lineRule="auto"/>
        <w:tabs>
          <w:tab w:leader="none" w:pos="16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of each option issued under the Company’s stock option or other employee benefit plans has been no less than the fair market value of an Common Share as determined on the date of grant of such option. All grants of options were validly issued and properly approved by the board of directors of the Company (or a duly authorized committee thereof) in material compliance with all applicable laws and regulations and recorded in the Company’s financial statements in accordance with GAAP and, to the Company’s knowledge, no such grants involved “back dating,” “forward dating” or similar practice with respect to the effective date of grant.</w:t>
      </w:r>
    </w:p>
    <w:p>
      <w:pPr>
        <w:spacing w:after="0" w:line="215" w:lineRule="exact"/>
        <w:rPr>
          <w:rFonts w:ascii="Arial" w:cs="Arial" w:eastAsia="Arial" w:hAnsi="Arial"/>
          <w:sz w:val="18"/>
          <w:szCs w:val="18"/>
          <w:color w:val="auto"/>
        </w:rPr>
      </w:pPr>
    </w:p>
    <w:p>
      <w:pPr>
        <w:jc w:val="both"/>
        <w:ind w:firstLine="800"/>
        <w:spacing w:after="0" w:line="257" w:lineRule="auto"/>
        <w:tabs>
          <w:tab w:leader="none" w:pos="1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Since the date as of which information is given in the Registration Statement, the General Disclosure Package and the Prospectus through the date hereof, and except as set forth in the Pricing Prospectus, the Company has not (i) issued or granted any securities other than options to purchase Common Shares pursuant to the Company’s stock option plan, (ii) incurred any material liability or obligation, direct or contingent, other than liabilities and obligations which were incurred in the ordinary course of business, (iii) entered into any material transaction other than in the ordinary course of business or (iv) declared or paid any dividend on its capital stock.</w:t>
      </w:r>
    </w:p>
    <w:p>
      <w:pPr>
        <w:spacing w:after="0" w:line="215" w:lineRule="exact"/>
        <w:rPr>
          <w:rFonts w:ascii="Arial" w:cs="Arial" w:eastAsia="Arial" w:hAnsi="Arial"/>
          <w:sz w:val="18"/>
          <w:szCs w:val="18"/>
          <w:color w:val="auto"/>
        </w:rPr>
      </w:pPr>
    </w:p>
    <w:p>
      <w:pPr>
        <w:ind w:left="1680" w:hanging="880"/>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firstLine="800"/>
        <w:spacing w:after="0" w:line="264" w:lineRule="auto"/>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contained in the Registration Statement, the General Disclosure Package or the Prospectus has been made or reaffirmed without a reasonable basis or has been disclosed other than in good faith.</w:t>
      </w:r>
    </w:p>
    <w:p>
      <w:pPr>
        <w:spacing w:after="0" w:line="208" w:lineRule="exact"/>
        <w:rPr>
          <w:rFonts w:ascii="Arial" w:cs="Arial" w:eastAsia="Arial" w:hAnsi="Arial"/>
          <w:sz w:val="18"/>
          <w:szCs w:val="18"/>
          <w:color w:val="auto"/>
        </w:rPr>
      </w:pPr>
    </w:p>
    <w:p>
      <w:pPr>
        <w:ind w:left="1860" w:hanging="1060"/>
        <w:spacing w:after="0"/>
        <w:tabs>
          <w:tab w:leader="none" w:pos="1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Shares and Warrant Shares have been approved for listing subject to notice of issuance on the Nasdaq Capital Market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firstLine="800"/>
        <w:spacing w:after="0" w:line="255" w:lineRule="auto"/>
        <w:tabs>
          <w:tab w:leader="none" w:pos="16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to the extent that the Sarbanes-Oxley Act of 2002, as amended, and the rules and regulations promulgated by the Commission and the Exchange thereunder (collectively,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 (including Section 402 related to loans) and is actively taking steps to ensure that it will be in compliance with other provisions of the Sarbanes-Oxley Act not currently in effect or which will become applicable to the Company. There are no outstanding personal loans made, directly or indirectly, by the Company to any director or executive officer of the Company.</w:t>
      </w:r>
    </w:p>
    <w:p>
      <w:pPr>
        <w:spacing w:after="0" w:line="216" w:lineRule="exact"/>
        <w:rPr>
          <w:sz w:val="20"/>
          <w:szCs w:val="20"/>
          <w:color w:val="auto"/>
        </w:rPr>
      </w:pPr>
    </w:p>
    <w:p>
      <w:pPr>
        <w:jc w:val="both"/>
        <w:ind w:firstLine="800"/>
        <w:spacing w:after="0" w:line="279" w:lineRule="auto"/>
        <w:tabs>
          <w:tab w:leader="none" w:pos="17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has taken all necessary actions to ensure that, upon and at all times after the Exchange shall have approved the Shares and Warrant Shares for listing it will be in compliance with all applicable corporate governance requirements set forth in the rules of the Exchange that are then in effect and is actively taking steps to ensure that it will be in compliance with other applicable corporate governance requirements set forth in the rules of the Exchange not currently in effect upon and all times after the effectiveness of such requirements.</w:t>
      </w:r>
    </w:p>
    <w:p>
      <w:pPr>
        <w:spacing w:after="0" w:line="198" w:lineRule="exact"/>
        <w:rPr>
          <w:rFonts w:ascii="Arial" w:cs="Arial" w:eastAsia="Arial" w:hAnsi="Arial"/>
          <w:sz w:val="17"/>
          <w:szCs w:val="17"/>
          <w:color w:val="auto"/>
        </w:rPr>
      </w:pPr>
    </w:p>
    <w:p>
      <w:pPr>
        <w:jc w:val="both"/>
        <w:ind w:firstLine="800"/>
        <w:spacing w:after="0" w:line="253" w:lineRule="auto"/>
        <w:tabs>
          <w:tab w:leader="none" w:pos="18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director, officer, agent, employee, affiliate or other person associated with or acting on behalf of the Company: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would result in a violation by such Persons of the OECD Convention on Bribery of Foreign Public Officials in International Business Transactions, the Foreign Corrupt Practices Act of 1977, as amended, and the rules and regulations thereunder (collectively, the “</w:t>
      </w:r>
      <w:r>
        <w:rPr>
          <w:rFonts w:ascii="Arial" w:cs="Arial" w:eastAsia="Arial" w:hAnsi="Arial"/>
          <w:sz w:val="18"/>
          <w:szCs w:val="18"/>
          <w:u w:val="single" w:color="auto"/>
          <w:color w:val="auto"/>
        </w:rPr>
        <w:t>FCPA</w:t>
      </w:r>
      <w:r>
        <w:rPr>
          <w:rFonts w:ascii="Arial" w:cs="Arial" w:eastAsia="Arial" w:hAnsi="Arial"/>
          <w:sz w:val="18"/>
          <w:szCs w:val="18"/>
          <w:color w:val="auto"/>
        </w:rPr>
        <w:t>”) or any similar law or regulation to which the Company, any director, officer, agent, employee, affiliate or other person associated with or acting on behalf of the Company is subject. The Company and its affiliates have each conducted their businesses in compliance with the FCPA and any applicable similar law or regulation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w:t>
      </w:r>
    </w:p>
    <w:p>
      <w:pPr>
        <w:spacing w:after="0" w:line="219" w:lineRule="exact"/>
        <w:rPr>
          <w:rFonts w:ascii="Arial" w:cs="Arial" w:eastAsia="Arial" w:hAnsi="Arial"/>
          <w:sz w:val="18"/>
          <w:szCs w:val="18"/>
          <w:color w:val="auto"/>
        </w:rPr>
      </w:pPr>
    </w:p>
    <w:p>
      <w:pPr>
        <w:jc w:val="both"/>
        <w:ind w:firstLine="800"/>
        <w:spacing w:after="0" w:line="257" w:lineRule="auto"/>
        <w:tabs>
          <w:tab w:leader="none" w:pos="16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transactions, arrangements or other relationships between and/or among the Company, any of its affiliates (as such term is defined in Rule 405 of the Rules and Regulations) and any unconsolidated entity, including, but not limited to, any structured finance, special purpose or limited purpose entity that could reasonably be expected to materially affect the Company’s liquidity or the availability of or requirements for its capital resources required to be described in the Registration Statement, the General Disclosure Package and the Prospectus which have not been described as required.</w:t>
      </w:r>
    </w:p>
    <w:p>
      <w:pPr>
        <w:spacing w:after="0" w:line="215" w:lineRule="exact"/>
        <w:rPr>
          <w:rFonts w:ascii="Arial" w:cs="Arial" w:eastAsia="Arial" w:hAnsi="Arial"/>
          <w:sz w:val="18"/>
          <w:szCs w:val="18"/>
          <w:color w:val="auto"/>
        </w:rPr>
      </w:pPr>
    </w:p>
    <w:p>
      <w:pPr>
        <w:jc w:val="both"/>
        <w:ind w:firstLine="800"/>
        <w:spacing w:after="0" w:line="257" w:lineRule="auto"/>
        <w:tabs>
          <w:tab w:leader="none" w:pos="18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General Disclosure Package and the Prospectus. All transactions by the Company with office holders or control persons of the Company have been duly approved by the board of directors of the Company, or duly appointed committees or officers thereof, if and to the extent required under Applicable Laws.</w:t>
      </w:r>
    </w:p>
    <w:p>
      <w:pPr>
        <w:spacing w:after="0" w:line="215" w:lineRule="exact"/>
        <w:rPr>
          <w:rFonts w:ascii="Arial" w:cs="Arial" w:eastAsia="Arial" w:hAnsi="Arial"/>
          <w:sz w:val="18"/>
          <w:szCs w:val="18"/>
          <w:color w:val="auto"/>
        </w:rPr>
      </w:pPr>
    </w:p>
    <w:p>
      <w:pPr>
        <w:ind w:right="20" w:firstLine="800"/>
        <w:spacing w:after="0" w:line="342" w:lineRule="auto"/>
        <w:tabs>
          <w:tab w:leader="none" w:pos="17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w:t>
      </w:r>
    </w:p>
    <w:p>
      <w:pPr>
        <w:spacing w:after="0" w:line="150" w:lineRule="exact"/>
        <w:rPr>
          <w:rFonts w:ascii="Arial" w:cs="Arial" w:eastAsia="Arial" w:hAnsi="Arial"/>
          <w:sz w:val="16"/>
          <w:szCs w:val="16"/>
          <w:color w:val="auto"/>
        </w:rPr>
      </w:pPr>
    </w:p>
    <w:p>
      <w:pPr>
        <w:jc w:val="both"/>
        <w:ind w:firstLine="800"/>
        <w:spacing w:after="0" w:line="254" w:lineRule="auto"/>
        <w:tabs>
          <w:tab w:leader="none" w:pos="16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operations of the Company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regulations and decrees promulgated thereunder, the applicable money laundering statutes of jurisdictions where the Company conducts business, the applicable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Company’s knowledge, threatened.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800"/>
        <w:spacing w:after="0" w:line="272" w:lineRule="auto"/>
        <w:tabs>
          <w:tab w:leader="none" w:pos="190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director, officer, agent, employee, affiliate or representative of the Company is currently subject to any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Her Majesty’s Treasury and the Foreign and Commonwealth Office of the United Kingdom (“</w:t>
      </w:r>
      <w:r>
        <w:rPr>
          <w:rFonts w:ascii="Arial" w:cs="Arial" w:eastAsia="Arial" w:hAnsi="Arial"/>
          <w:sz w:val="17"/>
          <w:szCs w:val="17"/>
          <w:u w:val="single" w:color="auto"/>
          <w:color w:val="auto"/>
        </w:rPr>
        <w:t>HMT</w:t>
      </w:r>
      <w:r>
        <w:rPr>
          <w:rFonts w:ascii="Arial" w:cs="Arial" w:eastAsia="Arial" w:hAnsi="Arial"/>
          <w:sz w:val="17"/>
          <w:szCs w:val="17"/>
          <w:color w:val="auto"/>
        </w:rPr>
        <w:t>”), or any similar sanctions imposed by any other body, governmental or other, to which the Company is subject (collectively, “</w:t>
      </w:r>
      <w:r>
        <w:rPr>
          <w:rFonts w:ascii="Arial" w:cs="Arial" w:eastAsia="Arial" w:hAnsi="Arial"/>
          <w:sz w:val="17"/>
          <w:szCs w:val="17"/>
          <w:u w:val="single" w:color="auto"/>
          <w:color w:val="auto"/>
        </w:rPr>
        <w:t>other economic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sanctions</w:t>
      </w:r>
      <w:r>
        <w:rPr>
          <w:rFonts w:ascii="Arial" w:cs="Arial" w:eastAsia="Arial" w:hAnsi="Arial"/>
          <w:sz w:val="17"/>
          <w:szCs w:val="17"/>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administered by OFAC, UNSC, the European Union, HMT or other economic sanctions.</w:t>
      </w:r>
    </w:p>
    <w:p>
      <w:pPr>
        <w:spacing w:after="0" w:line="204" w:lineRule="exact"/>
        <w:rPr>
          <w:rFonts w:ascii="Arial" w:cs="Arial" w:eastAsia="Arial" w:hAnsi="Arial"/>
          <w:sz w:val="17"/>
          <w:szCs w:val="17"/>
          <w:color w:val="auto"/>
        </w:rPr>
      </w:pPr>
    </w:p>
    <w:p>
      <w:pPr>
        <w:jc w:val="both"/>
        <w:ind w:firstLine="800"/>
        <w:spacing w:after="0" w:line="255" w:lineRule="auto"/>
        <w:tabs>
          <w:tab w:leader="none" w:pos="18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hereby to occur on the Closing Dates, the Company will not be Insolvent (as defined below). For purposes of this Section 3(hhh), “</w:t>
      </w:r>
      <w:r>
        <w:rPr>
          <w:rFonts w:ascii="Arial" w:cs="Arial" w:eastAsia="Arial" w:hAnsi="Arial"/>
          <w:sz w:val="18"/>
          <w:szCs w:val="18"/>
          <w:u w:val="single" w:color="auto"/>
          <w:color w:val="auto"/>
        </w:rPr>
        <w:t>Insolvent</w:t>
      </w:r>
      <w:r>
        <w:rPr>
          <w:rFonts w:ascii="Arial" w:cs="Arial" w:eastAsia="Arial" w:hAnsi="Arial"/>
          <w:sz w:val="18"/>
          <w:szCs w:val="18"/>
          <w:color w:val="auto"/>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spacing w:after="0" w:line="220" w:lineRule="exact"/>
        <w:rPr>
          <w:rFonts w:ascii="Arial" w:cs="Arial" w:eastAsia="Arial" w:hAnsi="Arial"/>
          <w:sz w:val="18"/>
          <w:szCs w:val="18"/>
          <w:color w:val="auto"/>
        </w:rPr>
      </w:pPr>
    </w:p>
    <w:p>
      <w:pPr>
        <w:jc w:val="both"/>
        <w:ind w:firstLine="800"/>
        <w:spacing w:after="0" w:line="259" w:lineRule="auto"/>
        <w:tabs>
          <w:tab w:leader="none" w:pos="1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no claims, payments, issuances, arrangements or understandings for services in the nature of a finder’s, consulting or origination fee with respect to the introduction of the Company to the Representatives or the sale of the Shares and Warrants hereunder or any other arrangements, agreements, understandings, payments or issuances with respect to the Company that may affect the Underwriters’ compensation, as determined by FINRA.</w:t>
      </w:r>
    </w:p>
    <w:p>
      <w:pPr>
        <w:spacing w:after="0" w:line="213" w:lineRule="exact"/>
        <w:rPr>
          <w:rFonts w:ascii="Arial" w:cs="Arial" w:eastAsia="Arial" w:hAnsi="Arial"/>
          <w:sz w:val="18"/>
          <w:szCs w:val="18"/>
          <w:color w:val="auto"/>
        </w:rPr>
      </w:pPr>
    </w:p>
    <w:p>
      <w:pPr>
        <w:jc w:val="both"/>
        <w:ind w:firstLine="800"/>
        <w:spacing w:after="0" w:line="257" w:lineRule="auto"/>
        <w:tabs>
          <w:tab w:leader="none" w:pos="16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disclosed to the Representatives in writing, the Company has not made any direct or indirect payments (in cash, securities or otherwise) to (i) any person, as a finder’s fee, investing fee or otherwise, in consideration of such person raising capital for the Company or introducing to the Company persons who provided capital to the Company, (ii) any FINRA member, or (iii) any person or entity that has any direct or indirect affiliation or association with any FINRA member within the 12-month period prior to the date on which the Registration Statement was filed with the Commission or thereafter.</w:t>
      </w:r>
    </w:p>
    <w:p>
      <w:pPr>
        <w:spacing w:after="0" w:line="215" w:lineRule="exact"/>
        <w:rPr>
          <w:rFonts w:ascii="Arial" w:cs="Arial" w:eastAsia="Arial" w:hAnsi="Arial"/>
          <w:sz w:val="18"/>
          <w:szCs w:val="18"/>
          <w:color w:val="auto"/>
        </w:rPr>
      </w:pPr>
    </w:p>
    <w:p>
      <w:pPr>
        <w:ind w:firstLine="800"/>
        <w:spacing w:after="0" w:line="277" w:lineRule="auto"/>
        <w:tabs>
          <w:tab w:leader="none" w:pos="16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the net proceeds of the offering will be paid by the Company to any participating FINRA member or any affiliate or associate of any participating FINRA member, except as specifically authorized herein.</w:t>
      </w:r>
    </w:p>
    <w:p>
      <w:pPr>
        <w:spacing w:after="0" w:line="197" w:lineRule="exact"/>
        <w:rPr>
          <w:rFonts w:ascii="Arial" w:cs="Arial" w:eastAsia="Arial" w:hAnsi="Arial"/>
          <w:sz w:val="18"/>
          <w:szCs w:val="18"/>
          <w:color w:val="auto"/>
        </w:rPr>
      </w:pPr>
    </w:p>
    <w:p>
      <w:pPr>
        <w:jc w:val="both"/>
        <w:ind w:firstLine="800"/>
        <w:spacing w:after="0" w:line="257" w:lineRule="auto"/>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Company’s knowledge, no (i) officer or director of the Company, (ii) owner of 5% or more of the Company’s unregistered securities or (iii) owner of any amount of the Company’s unregistered securities acquired within the 180-day period prior to the date on which the Registration Statement was filed with the Commission, has any direct or indirect affiliation or association with any FINRA member. The Company will advise the Representatives and their counsel if it becomes aware that any officer, director or shareholder of the Company is or becomes an affiliate or associated person of a FINRA member participating in the offering.</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FURTHER AGREEMENTS OF THE COMPANY. The Company agrees with the several Underwriters:</w:t>
      </w:r>
    </w:p>
    <w:p>
      <w:pPr>
        <w:spacing w:after="0" w:line="252" w:lineRule="exact"/>
        <w:rPr>
          <w:rFonts w:ascii="Arial" w:cs="Arial" w:eastAsia="Arial" w:hAnsi="Arial"/>
          <w:sz w:val="18"/>
          <w:szCs w:val="18"/>
          <w:color w:val="auto"/>
        </w:rPr>
      </w:pPr>
    </w:p>
    <w:p>
      <w:pPr>
        <w:jc w:val="both"/>
        <w:ind w:firstLine="800"/>
        <w:spacing w:after="0" w:line="279" w:lineRule="auto"/>
        <w:tabs>
          <w:tab w:leader="none" w:pos="16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w:t>
      </w:r>
      <w:r>
        <w:rPr>
          <w:rFonts w:ascii="Arial" w:cs="Arial" w:eastAsia="Arial" w:hAnsi="Arial"/>
          <w:sz w:val="22"/>
          <w:szCs w:val="22"/>
          <w:color w:val="auto"/>
          <w:vertAlign w:val="superscript"/>
        </w:rPr>
        <w:t>nd</w:t>
      </w:r>
      <w:r>
        <w:rPr>
          <w:rFonts w:ascii="Arial" w:cs="Arial" w:eastAsia="Arial" w:hAnsi="Arial"/>
          <w:sz w:val="16"/>
          <w:szCs w:val="16"/>
          <w:color w:val="auto"/>
        </w:rPr>
        <w:t>) day following the execution and delivery of this Agreement or, if applicable, such earlier time as may be required by Rule 430A of the Rules and Regulations; to notify the Representatives immediately of the Company’s intention to file or prepare any supplement or amendment to any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any Registration Statement has been filed or becomes effective or any supplement to the General Disclosure Package or the Prospectus or any amended Prospectus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or the Prospectus, of the suspension of the qualification of the Shares and Warrants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204" w:lineRule="exact"/>
        <w:rPr>
          <w:rFonts w:ascii="Arial" w:cs="Arial" w:eastAsia="Arial" w:hAnsi="Arial"/>
          <w:sz w:val="16"/>
          <w:szCs w:val="16"/>
          <w:color w:val="auto"/>
        </w:rPr>
      </w:pPr>
    </w:p>
    <w:p>
      <w:pPr>
        <w:jc w:val="both"/>
        <w:ind w:firstLine="800"/>
        <w:spacing w:after="0" w:line="264" w:lineRule="auto"/>
        <w:tabs>
          <w:tab w:leader="none" w:pos="16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a period of three years after the date of this Agreement, the Company shall use its best efforts to maintain the registration of the Common Shares under the Exchange Act. The Company shall not deregister the Common Shares under the Exchange Act without the prior written consent of the Representative.</w:t>
      </w:r>
    </w:p>
    <w:p>
      <w:pPr>
        <w:spacing w:after="0" w:line="208" w:lineRule="exact"/>
        <w:rPr>
          <w:rFonts w:ascii="Arial" w:cs="Arial" w:eastAsia="Arial" w:hAnsi="Arial"/>
          <w:sz w:val="18"/>
          <w:szCs w:val="18"/>
          <w:color w:val="auto"/>
        </w:rPr>
      </w:pPr>
    </w:p>
    <w:p>
      <w:pPr>
        <w:jc w:val="both"/>
        <w:ind w:firstLine="800"/>
        <w:spacing w:after="0" w:line="259" w:lineRule="auto"/>
        <w:tabs>
          <w:tab w:leader="none" w:pos="15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on behalf of itself and any successor entity, agrees that, without the prior written consent of the Representatives, it will not, for a period of 12 months after the date of this Agreement, directly or indirectly in any “at-the-market” or continuous equity transaction, offer to sell, sell, contract to sell, grant any option to sell or otherwise dispose of shares of capital stock of the Company or any securities convertible into or exercisable or exchangeable for shares of capital stock of the Company.</w:t>
      </w:r>
    </w:p>
    <w:p>
      <w:pPr>
        <w:spacing w:after="0" w:line="213" w:lineRule="exact"/>
        <w:rPr>
          <w:rFonts w:ascii="Arial" w:cs="Arial" w:eastAsia="Arial" w:hAnsi="Arial"/>
          <w:sz w:val="18"/>
          <w:szCs w:val="18"/>
          <w:color w:val="auto"/>
        </w:rPr>
      </w:pPr>
    </w:p>
    <w:p>
      <w:pPr>
        <w:jc w:val="both"/>
        <w:ind w:firstLine="800"/>
        <w:spacing w:after="0" w:line="269" w:lineRule="auto"/>
        <w:tabs>
          <w:tab w:leader="none" w:pos="15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Shares and Warrants that would constitute a “free writing prospectus” as defined in Rule 405 of the Rules and Regulations unless the prior written consent of the Representatives has been received (each,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The Company will satisfy the condition in Rule 433 of the Rules and Regulations to avoid a requirement to file with the Commission any electronic road show.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800"/>
        <w:spacing w:after="0" w:line="268" w:lineRule="auto"/>
        <w:tabs>
          <w:tab w:leader="none" w:pos="15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at any time prior to the expiration of nine months after the later of (i) the latest effective date of the Registration Statement or (ii) the date of the Prospectus, when a prospectus relating to the Shares and Warrants is required to be delivered (or in lieu thereof, the notice referred to in Rule 173(a) of the Rules and Regulations)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any Registration Statement or the Prospectus to comply with the Securities Act, that the Company will promptly notify the Representatives thereof and upon its request will prepare an appropriate amendment or supplement in form and substance satisfactory to the Representatives which will correct such statement or omission or effect such compliance and will use its best efforts to have any amendment to any Registration Statement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Shares and Warrants nine (9) months or more after the later of (i) the latest effective date of the Registration Statement or (ii) the date of the Prospectus,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request of such amended or supplemented Prospectus complying with Section 10(a)(3) of the Securities Act.</w:t>
      </w:r>
    </w:p>
    <w:p>
      <w:pPr>
        <w:spacing w:after="0" w:line="210" w:lineRule="exact"/>
        <w:rPr>
          <w:rFonts w:ascii="Arial" w:cs="Arial" w:eastAsia="Arial" w:hAnsi="Arial"/>
          <w:sz w:val="17"/>
          <w:szCs w:val="17"/>
          <w:color w:val="auto"/>
        </w:rPr>
      </w:pPr>
    </w:p>
    <w:p>
      <w:pPr>
        <w:jc w:val="both"/>
        <w:ind w:firstLine="800"/>
        <w:spacing w:after="0" w:line="255" w:lineRule="auto"/>
        <w:tabs>
          <w:tab w:leader="none" w:pos="15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General Disclosure Package is being used to solicit offers to buy the Shares and Warrants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w:t>
      </w:r>
    </w:p>
    <w:p>
      <w:pPr>
        <w:spacing w:after="0" w:line="216" w:lineRule="exact"/>
        <w:rPr>
          <w:rFonts w:ascii="Arial" w:cs="Arial" w:eastAsia="Arial" w:hAnsi="Arial"/>
          <w:sz w:val="18"/>
          <w:szCs w:val="18"/>
          <w:color w:val="auto"/>
        </w:rPr>
      </w:pPr>
    </w:p>
    <w:p>
      <w:pPr>
        <w:jc w:val="both"/>
        <w:ind w:firstLine="800"/>
        <w:spacing w:after="0" w:line="253" w:lineRule="auto"/>
        <w:tabs>
          <w:tab w:leader="none" w:pos="15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w:t>
      </w:r>
    </w:p>
    <w:p>
      <w:pPr>
        <w:spacing w:after="0" w:line="221" w:lineRule="exact"/>
        <w:rPr>
          <w:rFonts w:ascii="Arial" w:cs="Arial" w:eastAsia="Arial" w:hAnsi="Arial"/>
          <w:sz w:val="18"/>
          <w:szCs w:val="18"/>
          <w:color w:val="auto"/>
        </w:rPr>
      </w:pPr>
    </w:p>
    <w:p>
      <w:pPr>
        <w:ind w:firstLine="800"/>
        <w:spacing w:after="0" w:line="342" w:lineRule="auto"/>
        <w:tabs>
          <w:tab w:leader="none" w:pos="15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furnish promptly to the Representatives and to counsel for the Underwriters a signed copy of each of the Registration Statement as originally filed with the Commission, and of each amendment thereto filed with the Commission, including all consents and exhibits filed therewith.</w:t>
      </w:r>
    </w:p>
    <w:p>
      <w:pPr>
        <w:spacing w:after="0" w:line="150" w:lineRule="exact"/>
        <w:rPr>
          <w:rFonts w:ascii="Arial" w:cs="Arial" w:eastAsia="Arial" w:hAnsi="Arial"/>
          <w:sz w:val="16"/>
          <w:szCs w:val="16"/>
          <w:color w:val="auto"/>
        </w:rPr>
      </w:pPr>
    </w:p>
    <w:p>
      <w:pPr>
        <w:jc w:val="both"/>
        <w:ind w:firstLine="800"/>
        <w:spacing w:after="0" w:line="272" w:lineRule="auto"/>
        <w:tabs>
          <w:tab w:leader="none" w:pos="16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deliver promptly to the Representatives in New York City such number of the following documents as the Representatives shall reasonably request: (i) conformed copies of the Registration Statement as originally filed with the Commission (in each case excluding exhibits), (ii) each Preliminary Prospectus, (iii) any Issuer Free Writing Prospectus, (iv) the Prospectus (the delivery of the documents referred to in clauses (i), (ii), (iii) and (iv) of this paragraph (i) to be made not later than 10:00 A.M., New York time, on the business day following the execution and delivery of this Agreement), (v) conformed copies of any amendment to the Registration Statement (excluding exhibits), and (vi) any amendment or supplement to the General Disclosure Package or the Prospectus (the delivery of the documents referred to in clauses (v) and (vi) of this paragraph (i) to be made not later than 10:00 A.M., New York City time, on the business day following the date of such amendment or supplement).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800"/>
        <w:spacing w:after="0" w:line="289" w:lineRule="auto"/>
        <w:tabs>
          <w:tab w:leader="none" w:pos="15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make generally available to its shareholders as soon as practicable, but in any event not later than sixteen months after the effective date of each Registration Statement (as defined in Rule 158(c) of the Rules and Regulations), an earnings statement of the Company (which need not be audited) complying with Section 11(a) of the Securities Act and the Rules and Regulations (including, at the option of the Company, Rule 158); and to furnish to its shareholders as soon as practicable after the end of each fiscal year an annual report (including a balance sheet and statements of income, shareholders’ equity and cash flows of the Company and any consolidated Subsidiaries certified by independent public accountants) and as soon as possible after each of the first three fiscal quarters of each fiscal year (beginning with the first fiscal quarter after the effective date of such Registration Statement), consolidated summary financial information of the Company and its Subsidiaries for such quarter in reasonable detail. However, so long as the Company is subject to the reporting requirements of either Section 13 or Section 15(d) of the Exchange Act and is timely filing reports with the Commission on EDGAR, compliance with such reporting requirements shall deemed to constitute compliance with the requirements set forth in this Section 3(j).</w:t>
      </w:r>
    </w:p>
    <w:p>
      <w:pPr>
        <w:spacing w:after="0" w:line="193" w:lineRule="exact"/>
        <w:rPr>
          <w:rFonts w:ascii="Arial" w:cs="Arial" w:eastAsia="Arial" w:hAnsi="Arial"/>
          <w:sz w:val="16"/>
          <w:szCs w:val="16"/>
          <w:color w:val="auto"/>
        </w:rPr>
      </w:pPr>
    </w:p>
    <w:p>
      <w:pPr>
        <w:jc w:val="both"/>
        <w:ind w:firstLine="800"/>
        <w:spacing w:after="0" w:line="257" w:lineRule="auto"/>
        <w:tabs>
          <w:tab w:leader="none" w:pos="15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take promptly from time to time such actions as the Representatives may reasonably request to qualify the Shares and Warrants for offering and sale under the securities or Blue Sky laws of such jurisdictions (domestic or foreign) as the Representatives may designate and to continue such qualifications in effect, and to comply with such laws, for so long as required to permit the offer and sale of Shares and Warrants in such jurisdictions;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shall not be obligated to qualify as foreign corporations in any jurisdiction in which they are not so qualified or to file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to service of process in any jurisdiction.</w:t>
      </w:r>
    </w:p>
    <w:p>
      <w:pPr>
        <w:spacing w:after="0" w:line="215" w:lineRule="exact"/>
        <w:rPr>
          <w:rFonts w:ascii="Arial" w:cs="Arial" w:eastAsia="Arial" w:hAnsi="Arial"/>
          <w:sz w:val="18"/>
          <w:szCs w:val="18"/>
          <w:color w:val="auto"/>
        </w:rPr>
      </w:pPr>
    </w:p>
    <w:p>
      <w:pPr>
        <w:jc w:val="both"/>
        <w:ind w:firstLine="800"/>
        <w:spacing w:after="0" w:line="276" w:lineRule="auto"/>
        <w:tabs>
          <w:tab w:leader="none" w:pos="1461"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request, during the period of five years from the date hereof, to deliver to each of the Underwriters, (i) as soon as they are available, copies of all reports or other communications furnished to shareholders, and (ii) as soon as they are available, copies of any reports and financial statements furnished or filed with the Commission or any national securities exchange on which the Shares and Warrants (if so listed) are listed. However, so long as the Company is subject to the reporting requirements of either Section 13 or Section 15(d) of the Exchange Act and is timely filing reports with the Commission on EDGAR, it is not required to furnish such reports or statements to the Underwriters.</w:t>
      </w:r>
    </w:p>
    <w:p>
      <w:pPr>
        <w:spacing w:after="0" w:line="199" w:lineRule="exact"/>
        <w:rPr>
          <w:rFonts w:ascii="Arial" w:cs="Arial" w:eastAsia="Arial" w:hAnsi="Arial"/>
          <w:sz w:val="17"/>
          <w:szCs w:val="17"/>
          <w:color w:val="auto"/>
        </w:rPr>
      </w:pPr>
    </w:p>
    <w:p>
      <w:pPr>
        <w:jc w:val="both"/>
        <w:ind w:firstLine="800"/>
        <w:spacing w:after="0" w:line="286" w:lineRule="auto"/>
        <w:tabs>
          <w:tab w:leader="none" w:pos="20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That the Company will not, for a period of ninety days from the date of this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xml:space="preserve">”), without the prior written consent of the Representatives, directly or indirectly offer, sell, assign, transfer, pledge, contract to sell, or otherwise dispose of, any Common Shares or any securities convertible into or exercisable or exchangeable for Common Shares, other than the Company’s sale of the Shares and Warrants hereunder and the issuance of options to acquire Common Shares pursuant to the Company’s employee benefit plans, qualified stock option plans or other employee compensation plans as such plans are in existence on the date hereof and described in the Prospectus and the issuance of Common Shares pursuant to the valid exercises of options, warrants or rights outstanding on the date hereof. The Company will cause each officer, director and shareholder listed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to furnish to the Representatives, prior to the date hereof, a letter, substantially in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hereto, pursuant to which each such person shall agree, among other things, not to directly or indirectly offer, sell, assign, transfer, pledge, contract to sell, or otherwise dispose of, or announce the intention to otherwise dispose of, any Common Shares or any securities convertible into or exercisable or exchangeable for Common Shares, not to engage in any swap, hedge or similar agreement or arrangement that transfers, in whole or in part, directly or indirectly, the economic risk of ownership of Common Shares or any such securities during the Lock-Up Period, without the prior written consent of the Representatives. The Company also agrees that during such period, other than for the sale of the Shares and Warrants hereunder, the Company will not file any registration statement, preliminary prospectus or prospectus, or any amendment or supplement thereto, under the Securities Act for any such transaction or which registers, or offers for sale, Common Shares or any securities convertible into or exercisable or exchangeable for Common Shares, except for a registration statement on Form S-8 relating to employee benefit plans.</w:t>
      </w:r>
    </w:p>
    <w:p>
      <w:pPr>
        <w:spacing w:after="0" w:line="198" w:lineRule="exact"/>
        <w:rPr>
          <w:rFonts w:ascii="Arial" w:cs="Arial" w:eastAsia="Arial" w:hAnsi="Arial"/>
          <w:sz w:val="16"/>
          <w:szCs w:val="16"/>
          <w:color w:val="auto"/>
        </w:rPr>
      </w:pPr>
    </w:p>
    <w:p>
      <w:pPr>
        <w:jc w:val="both"/>
        <w:ind w:firstLine="800"/>
        <w:spacing w:after="0" w:line="279" w:lineRule="auto"/>
        <w:tabs>
          <w:tab w:leader="none" w:pos="1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If the Representatives, in their sole discretion, agree to release or waive the restrictions set forth in a lock-up letter described in Section 3(m)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7"/>
          <w:szCs w:val="17"/>
          <w:u w:val="single" w:color="auto"/>
          <w:color w:val="auto"/>
        </w:rPr>
        <w:t>Exhibit II</w:t>
      </w:r>
      <w:r>
        <w:rPr>
          <w:rFonts w:ascii="Arial" w:cs="Arial" w:eastAsia="Arial" w:hAnsi="Arial"/>
          <w:sz w:val="17"/>
          <w:szCs w:val="17"/>
          <w:color w:val="auto"/>
        </w:rPr>
        <w:t xml:space="preserve"> hereto through a major news service at least two business days before the effective date of the release or waiver.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800"/>
        <w:spacing w:after="0" w:line="264" w:lineRule="auto"/>
        <w:tabs>
          <w:tab w:leader="none" w:pos="16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supply the Representatives with copies of all correspondence to and from, and all documents issued to and by, the Commission in connection with the registration of the Shares and Warrants under the Securities Act or any of the Registration Statement, any Preliminary Prospectus or the Prospectus, or any amendment or supplement thereto or document incorporated by reference therein.</w:t>
      </w:r>
    </w:p>
    <w:p>
      <w:pPr>
        <w:spacing w:after="0" w:line="208" w:lineRule="exact"/>
        <w:rPr>
          <w:rFonts w:ascii="Arial" w:cs="Arial" w:eastAsia="Arial" w:hAnsi="Arial"/>
          <w:sz w:val="18"/>
          <w:szCs w:val="18"/>
          <w:color w:val="auto"/>
        </w:rPr>
      </w:pPr>
    </w:p>
    <w:p>
      <w:pPr>
        <w:jc w:val="both"/>
        <w:ind w:firstLine="800"/>
        <w:spacing w:after="0" w:line="255" w:lineRule="auto"/>
        <w:tabs>
          <w:tab w:leader="none" w:pos="16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a period of forty days, commencing on the date of this Agreement, the Company agrees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are notified), without the prior written consent of the Representatives (which consent will not be unreasonably withheld, conditioned or delayed), unless in the judgment of the Company and its counsel, and after notification to the Representatives, such press release or communication is required by law.</w:t>
      </w:r>
    </w:p>
    <w:p>
      <w:pPr>
        <w:spacing w:after="0" w:line="220" w:lineRule="exact"/>
        <w:rPr>
          <w:rFonts w:ascii="Arial" w:cs="Arial" w:eastAsia="Arial" w:hAnsi="Arial"/>
          <w:sz w:val="18"/>
          <w:szCs w:val="18"/>
          <w:color w:val="auto"/>
        </w:rPr>
      </w:pPr>
    </w:p>
    <w:p>
      <w:pPr>
        <w:jc w:val="both"/>
        <w:ind w:firstLine="800"/>
        <w:spacing w:after="0" w:line="257" w:lineRule="auto"/>
        <w:tabs>
          <w:tab w:leader="none" w:pos="15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Until the Representatives shall have notified the Company of the completion of the resale of the Shares and Warrants, that the Company will not, and will cause its affiliated purchasers (as defined in Regulation M under the Exchange Act) not to, either alone or with one or more other persons, bid for or purchase, for any account in which it or any of its affiliated purchasers has a beneficial interest, any Shares or Warrants, or attempt to induce any person to purchase any Shares or Warrants; and not to, and to cause its affiliated purchasers not to, make bids or purchase for the purpose of creating actual, or apparent, active trading in or of raising the price of the Shares or Warrants.</w:t>
      </w:r>
    </w:p>
    <w:p>
      <w:pPr>
        <w:spacing w:after="0" w:line="215" w:lineRule="exact"/>
        <w:rPr>
          <w:rFonts w:ascii="Arial" w:cs="Arial" w:eastAsia="Arial" w:hAnsi="Arial"/>
          <w:sz w:val="18"/>
          <w:szCs w:val="18"/>
          <w:color w:val="auto"/>
        </w:rPr>
      </w:pPr>
    </w:p>
    <w:p>
      <w:pPr>
        <w:ind w:left="1480" w:hanging="680"/>
        <w:spacing w:after="0"/>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 to take any action prior to latest of the Closing Dates which would require the Prospectus to be amended or supplemented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3(e).</w:t>
      </w:r>
    </w:p>
    <w:p>
      <w:pPr>
        <w:spacing w:after="0" w:line="237" w:lineRule="exact"/>
        <w:rPr>
          <w:rFonts w:ascii="Arial" w:cs="Arial" w:eastAsia="Arial" w:hAnsi="Arial"/>
          <w:sz w:val="16"/>
          <w:szCs w:val="16"/>
          <w:color w:val="auto"/>
        </w:rPr>
      </w:pPr>
    </w:p>
    <w:p>
      <w:pPr>
        <w:ind w:left="1480" w:hanging="680"/>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at all times comply with all applicable provisions of the Sarbanes-Oxley Act in effect from time to time.</w:t>
      </w:r>
    </w:p>
    <w:p>
      <w:pPr>
        <w:spacing w:after="0" w:line="252" w:lineRule="exact"/>
        <w:rPr>
          <w:rFonts w:ascii="Arial" w:cs="Arial" w:eastAsia="Arial" w:hAnsi="Arial"/>
          <w:sz w:val="18"/>
          <w:szCs w:val="18"/>
          <w:color w:val="auto"/>
        </w:rPr>
      </w:pPr>
    </w:p>
    <w:p>
      <w:pPr>
        <w:jc w:val="both"/>
        <w:ind w:firstLine="800"/>
        <w:spacing w:after="0" w:line="257" w:lineRule="auto"/>
        <w:tabs>
          <w:tab w:leader="none" w:pos="15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maintain, at its expense, a registrar and transfer agent for the Shares and Warrants acceptable to the Representatives (the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and to furnish to the Representatives at the Company’s sole cost and expense such transfer sheets of the Company’s securities as the Representatives may reasonably request, including the daily and monthly consolidated transfer sheets of the Transfer Agent and The Depository Trust Company. The Representatives acknowledge that Computershare Trust Company, N.A. is acceptable to the Representatives to act as Transfer Agent for the Shares and Warrants.</w:t>
      </w:r>
    </w:p>
    <w:p>
      <w:pPr>
        <w:spacing w:after="0" w:line="215" w:lineRule="exact"/>
        <w:rPr>
          <w:rFonts w:ascii="Arial" w:cs="Arial" w:eastAsia="Arial" w:hAnsi="Arial"/>
          <w:sz w:val="18"/>
          <w:szCs w:val="18"/>
          <w:color w:val="auto"/>
        </w:rPr>
      </w:pPr>
    </w:p>
    <w:p>
      <w:pPr>
        <w:jc w:val="both"/>
        <w:ind w:firstLine="800"/>
        <w:spacing w:after="0" w:line="291" w:lineRule="auto"/>
        <w:tabs>
          <w:tab w:leader="none" w:pos="14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As of the date of this Agreement, the Company shall retain an independent registered public accounting firm reasonably acceptable to the Representatives, and the Company shall continue to retain a nationally recognized independent registered public accounting firm for a period of at least three</w:t>
      </w: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years after the date of this Agreement. The Representatives acknowledge that the Auditors are acceptable to the Representatives.</w:t>
      </w:r>
    </w:p>
    <w:p>
      <w:pPr>
        <w:spacing w:after="0" w:line="237" w:lineRule="exact"/>
        <w:rPr>
          <w:rFonts w:ascii="Arial" w:cs="Arial" w:eastAsia="Arial" w:hAnsi="Arial"/>
          <w:sz w:val="18"/>
          <w:szCs w:val="18"/>
          <w:color w:val="auto"/>
        </w:rPr>
      </w:pPr>
    </w:p>
    <w:p>
      <w:pPr>
        <w:jc w:val="both"/>
        <w:ind w:firstLine="800"/>
        <w:spacing w:after="0" w:line="259" w:lineRule="auto"/>
        <w:tabs>
          <w:tab w:leader="none" w:pos="17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of the date of this Agreement, the Company shall have retained a financial public relations firm reasonably acceptable to the Representatives and the Company, which shall initially be Jenene Thomas Communications, LLC, which firm shall be experienced in assisting issuers in initial public offerings of securities and in their relations with their security holders, and shall retain such firm or another firm reasonably acceptable to the Representatives for a period of not less than two (2) years after the Effective Date.</w:t>
      </w:r>
    </w:p>
    <w:p>
      <w:pPr>
        <w:spacing w:after="0" w:line="213" w:lineRule="exact"/>
        <w:rPr>
          <w:rFonts w:ascii="Arial" w:cs="Arial" w:eastAsia="Arial" w:hAnsi="Arial"/>
          <w:sz w:val="18"/>
          <w:szCs w:val="18"/>
          <w:color w:val="auto"/>
        </w:rPr>
      </w:pPr>
    </w:p>
    <w:p>
      <w:pPr>
        <w:jc w:val="both"/>
        <w:ind w:firstLine="800"/>
        <w:spacing w:after="0" w:line="297" w:lineRule="auto"/>
        <w:tabs>
          <w:tab w:leader="none" w:pos="2235"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apply the net proceeds from the sale of the Shares and Warrants and the exercise of any Warrant Shares as set forth in the Registration Statement, the General Disclosure Package and the Prospectus under the heading “Use of Proceeds,” and except as disclosed in the General Disclosure Package, the Company does not intend to use any of the proceeds from the sale of the Shares and Warrants and the exercise of any Warrant Shares hereunder to repay any outstanding debt owed to any affiliate of any Underwriter. The Company shall manage its affairs and investments in such a manner as not to be or become an “investment company” within the meaning of the Investment Company Act and the rules and regulations thereunder.</w:t>
      </w:r>
    </w:p>
    <w:p>
      <w:pPr>
        <w:spacing w:after="0" w:line="185" w:lineRule="exact"/>
        <w:rPr>
          <w:rFonts w:ascii="Arial" w:cs="Arial" w:eastAsia="Arial" w:hAnsi="Arial"/>
          <w:sz w:val="16"/>
          <w:szCs w:val="16"/>
          <w:color w:val="auto"/>
        </w:rPr>
      </w:pPr>
    </w:p>
    <w:p>
      <w:pPr>
        <w:ind w:left="1500" w:hanging="700"/>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list, subject to notice of issuance, and to maintain the listing of the Shares and Warrant Shares on the Exchange.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ind w:firstLine="800"/>
        <w:spacing w:after="0" w:line="277" w:lineRule="auto"/>
        <w:tabs>
          <w:tab w:leader="none" w:pos="15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use its best efforts to do and perform all things required to be done or performed under this Agreement by the Company prior to each of the Closing Dates and to satisfy all conditions precedent to the delivery of the Shares and Warrants.</w:t>
      </w:r>
    </w:p>
    <w:p>
      <w:pPr>
        <w:spacing w:after="0" w:line="197" w:lineRule="exact"/>
        <w:rPr>
          <w:rFonts w:ascii="Arial" w:cs="Arial" w:eastAsia="Arial" w:hAnsi="Arial"/>
          <w:sz w:val="18"/>
          <w:szCs w:val="18"/>
          <w:color w:val="auto"/>
        </w:rPr>
      </w:pPr>
    </w:p>
    <w:p>
      <w:pPr>
        <w:jc w:val="both"/>
        <w:ind w:firstLine="800"/>
        <w:spacing w:after="0" w:line="259" w:lineRule="auto"/>
        <w:tabs>
          <w:tab w:leader="none" w:pos="16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and Warrants (the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License shall be used solely for the purpose described above, is granted without any fee and may not be assigned or transferred.</w:t>
      </w:r>
    </w:p>
    <w:p>
      <w:pPr>
        <w:spacing w:after="0" w:line="214" w:lineRule="exact"/>
        <w:rPr>
          <w:sz w:val="20"/>
          <w:szCs w:val="20"/>
          <w:color w:val="auto"/>
        </w:rPr>
      </w:pPr>
    </w:p>
    <w:p>
      <w:pPr>
        <w:jc w:val="both"/>
        <w:ind w:firstLine="800"/>
        <w:spacing w:after="0" w:line="285" w:lineRule="auto"/>
        <w:tabs>
          <w:tab w:leader="none" w:pos="2192" w:val="left"/>
        </w:tabs>
        <w:numPr>
          <w:ilvl w:val="1"/>
          <w:numId w:val="30"/>
        </w:numPr>
        <w:rPr>
          <w:rFonts w:ascii="Arial" w:cs="Arial" w:eastAsia="Arial" w:hAnsi="Arial"/>
          <w:sz w:val="16"/>
          <w:szCs w:val="16"/>
          <w:color w:val="auto"/>
        </w:rPr>
      </w:pPr>
      <w:r>
        <w:rPr>
          <w:rFonts w:ascii="Arial" w:cs="Arial" w:eastAsia="Arial" w:hAnsi="Arial"/>
          <w:sz w:val="16"/>
          <w:szCs w:val="16"/>
          <w:color w:val="auto"/>
        </w:rPr>
        <w:t>Provided that the Firm Shares and Firm Warrants are sold in accordance with the terms of this Agreement, the Representatives shall have an irrevocable right of first refusal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for a period of twelve months from the date of effectiveness of this offering, to act as co-lead underwriters or co-lead book-running managers or co-lead placement agents (or if only one Representative exercises such right, lead underwriter, lead book-running manager or lead placement agent) or in any other similar capacity, on the Representatives’ customary terms and conditions, in the event the Company or any Subsidiary retains or otherwise uses (or seeks to retain or use) the services of an investment bank or similar financial advisor to pursue a registered, underwritten public offering of securities (in addition to the offering contemplated by this Agreement), a private placement of securities, a merger, acquisition of another company or business, change of control, sale of substantially all assets or other similar transaction (regardless of whether the Company would be considered an acquiring party, a selling party or neither in such transaction) (each, a “</w:t>
      </w:r>
      <w:r>
        <w:rPr>
          <w:rFonts w:ascii="Arial" w:cs="Arial" w:eastAsia="Arial" w:hAnsi="Arial"/>
          <w:sz w:val="16"/>
          <w:szCs w:val="16"/>
          <w:u w:val="single" w:color="auto"/>
          <w:color w:val="auto"/>
        </w:rPr>
        <w:t>Subject Transaction</w:t>
      </w:r>
      <w:r>
        <w:rPr>
          <w:rFonts w:ascii="Arial" w:cs="Arial" w:eastAsia="Arial" w:hAnsi="Arial"/>
          <w:sz w:val="16"/>
          <w:szCs w:val="16"/>
          <w:color w:val="auto"/>
        </w:rPr>
        <w:t>”). The Company shall notify the Representatives of its intention to pursue a Subject Transaction, including the material terms thereof, by providing written notice thereof by registered mail or overnight courier service addressed to each Representative. If a Representative fails to exercise its Right of First Refusal with respect to any Subject Transaction within ten (10) Business Days after the mailing of such written notice, then such Representative shall have no further claim or right with respect to the Subject Transaction. A Representative may elect, in its sole and absolute discretion, not to exercise its Right of First Refusal with respect to any Subject Transaction; provided that any such election by a Representative shall not adversely affect such Representative’s Right of First Refusal with respect to any other Subject Transaction or the rights of the other Representative. The terms and conditions of any such engagements shall be set forth in separate agreements and may be subject to, among other things, satisfactory completion of due diligence by the Representatives, market conditions, the absence of a material adverse change to the Company’s business, financial condition and prospects, approval of each Representative’s internal committee and any other conditions that the Representatives may deem appropriate for transactions of such nature.</w:t>
      </w:r>
    </w:p>
    <w:p>
      <w:pPr>
        <w:spacing w:after="0" w:line="202" w:lineRule="exact"/>
        <w:rPr>
          <w:rFonts w:ascii="Arial" w:cs="Arial" w:eastAsia="Arial" w:hAnsi="Arial"/>
          <w:sz w:val="16"/>
          <w:szCs w:val="16"/>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EXPENSES.</w:t>
      </w:r>
    </w:p>
    <w:p>
      <w:pPr>
        <w:spacing w:after="0" w:line="252" w:lineRule="exact"/>
        <w:rPr>
          <w:rFonts w:ascii="Arial" w:cs="Arial" w:eastAsia="Arial" w:hAnsi="Arial"/>
          <w:sz w:val="18"/>
          <w:szCs w:val="18"/>
          <w:color w:val="auto"/>
        </w:rPr>
      </w:pPr>
    </w:p>
    <w:p>
      <w:pPr>
        <w:jc w:val="both"/>
        <w:ind w:firstLine="800"/>
        <w:spacing w:after="0" w:line="288" w:lineRule="auto"/>
        <w:tabs>
          <w:tab w:leader="none" w:pos="17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agrees to pay, or reimburse if paid by any Underwriter, whether or not the transactions contemplated hereby are consummated or this Agreement is terminated: (a) the costs incident to the authorization, issuance, sale, preparation and delivery of the Shares and Warrants and any taxes payable in that connection; (b) the costs incident to the registration of the Shares and Warrants under the Securities Act and the Exchange Act;</w:t>
      </w: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(c) the costs incident to the preparation, printing and distribution of the Registration Statement, any Preliminary Prospectus, any Issuer Free Writing Prospectus, the General Disclosure Package, the Prospectus, any amendments, supplements and exhibits thereto, and the costs of printing, reproducing and distributing the “Agreement Among Underwriters” between the Representatives and the Underwriters, the Master Selected Dealers’ Agreement, the Underwriters’ Questionnaire, this Agreement, any blue sky surveys and any closing documents by mail, facsimile or other means of communications; (d) the fees and expenses (including related fees and expenses of counsel for the Underwriters) incurred in connection with securing any required review by FINRA of the terms of the sale of the Shares and Warrants and any filings made with FINRA; (e) any applicable listing or other fees of the Exchange; (f) all fees, expenses and disbursements relating to the registration or qualification of the Shares and Warrants under the “blue sky” securities laws of such states and other jurisdictions as the Representative may reasonably designate (including, without limitation, all filing and registration fees, and the reasonable fees and disbursements of “blue sky” counsel); (g) all fees, expenses and disbursements relating to the registration, qualification or exemption of the Shares under the securities laws of such foreign jurisdictions as the Representatives may reasonably designate; (h) the cost of preparing, printing and delivering stock certificates and warrants; (i) all fees and expenses of the registrar and transfer agent of the Shares and the Warrants; (j) all fees and expenses of the public relations firm referred to in Section 3(w); (k) the costs and expenses of the Company relating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85" w:lineRule="auto"/>
        <w:rPr>
          <w:sz w:val="20"/>
          <w:szCs w:val="20"/>
          <w:color w:val="auto"/>
        </w:rPr>
      </w:pPr>
      <w:r>
        <w:rPr>
          <w:rFonts w:ascii="Arial" w:cs="Arial" w:eastAsia="Arial" w:hAnsi="Arial"/>
          <w:sz w:val="16"/>
          <w:szCs w:val="16"/>
          <w:color w:val="auto"/>
        </w:rPr>
        <w:t xml:space="preserve">to investor presentations on any “road show” undertaken in connection with the marketing of the offering of the Shares and Warrants,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including the cost of any aircraft chartered in connection with the road show, (l) all reasonable fees, expenses and disbursements relating to background checks of the Company’s officers and directors in an amount not to exceed $5,000 per individual and $20,000 in the aggregate, (m) up to $29,500 for the Representative’s use of i-Deal’s book-building, prospectus tracking and compliance software for the offering; (n) the Underwriters’ actual costs and expenses incurred in connection with the road show; (o) the fees and expenses of counsel to the Representatives; (p) the costs associated with post-Closing advertising the offering in the national editions of the Wall Street Journal and New York Times; (q) the costs associated with bound volumes of the public offering materials as well as commemorative mementos and lucite tombstones, each of which the Company or its designee shall provide within a reasonable time after the Closing Date in such quantities as the Representatives may reasonably request (provided, that, such amounts shall not exceed $5,000 without the Company's prior written consent); and (r) all other costs and expenses incident to the offering of the Shares or the performance of the obligations of the Company under this Agreement (including, without limitation, the fees and expenses of the Company’s counsel, the Company’s independent accountants and the Company’s other agents and representatives). The Company shall promptly reimburse the Underwriters, upon request, their reasonable out-of-pocket costs and accountable expenses incurred in connection with their rendering services under this Agreement (including fees and expenses relating to due diligence, fees and expenses of the Representatives’ legal counsel, and the fees and expenses of any other independent experts retained by the Representatives);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aggregate reimbursement amount pursuant to this Section 4(a) shall not exceed $150,000. It is specifically agreed that this $150,000 cap shall cover all out-of-pocket expenses reimbursable to the Underwriters under this Section 4(a). The Representatives may deduct from the net proceeds of the offering payable to the Company on the Closing Date, or the Option Closing Date, if any, the expenses set forth herein to be paid by the Company to the Underwriters.</w:t>
      </w:r>
    </w:p>
    <w:p>
      <w:pPr>
        <w:spacing w:after="0" w:line="198" w:lineRule="exact"/>
        <w:rPr>
          <w:sz w:val="20"/>
          <w:szCs w:val="20"/>
          <w:color w:val="auto"/>
        </w:rPr>
      </w:pPr>
    </w:p>
    <w:p>
      <w:pPr>
        <w:jc w:val="both"/>
        <w:ind w:firstLine="8"/>
        <w:spacing w:after="0" w:line="259" w:lineRule="auto"/>
        <w:tabs>
          <w:tab w:leader="none" w:pos="8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OF UNDERWRITERS’ OBLIGATIONS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respective obligations of the several Underwriters hereunder are subject to the accuracy, when made and as of the Applicable Time and on such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213" w:lineRule="exact"/>
        <w:rPr>
          <w:rFonts w:ascii="Arial" w:cs="Arial" w:eastAsia="Arial" w:hAnsi="Arial"/>
          <w:sz w:val="18"/>
          <w:szCs w:val="18"/>
          <w:color w:val="auto"/>
        </w:rPr>
      </w:pPr>
    </w:p>
    <w:p>
      <w:pPr>
        <w:jc w:val="both"/>
        <w:ind w:firstLine="800"/>
        <w:spacing w:after="0" w:line="269" w:lineRule="auto"/>
        <w:tabs>
          <w:tab w:leader="none" w:pos="1735"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Registration Statement has become effective under the Securities Act, and no stop order suspending the effectiveness of any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threatened by the Commission, and no injunction, restraining order or order of any nature by a federal or state court of competent jurisdiction shall have been issued as of the Closing Date which would prevent the issuance of the Shares or the Warrants,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3(a),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209" w:lineRule="exact"/>
        <w:rPr>
          <w:rFonts w:ascii="Arial" w:cs="Arial" w:eastAsia="Arial" w:hAnsi="Arial"/>
          <w:sz w:val="17"/>
          <w:szCs w:val="17"/>
          <w:color w:val="auto"/>
        </w:rPr>
      </w:pPr>
    </w:p>
    <w:p>
      <w:pPr>
        <w:jc w:val="both"/>
        <w:ind w:firstLine="800"/>
        <w:spacing w:after="0" w:line="293" w:lineRule="auto"/>
        <w:tabs>
          <w:tab w:leader="none" w:pos="16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None of the Underwriters shall have discovered and disclosed to the Company on or prior to such Closing Date that any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800"/>
        <w:spacing w:after="0" w:line="257" w:lineRule="auto"/>
        <w:tabs>
          <w:tab w:leader="none" w:pos="15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each of this Agreement, the Shares, the Warrants, the Warrant Shares, the Warrant Agreement, the Registration Statement, the General Disclosure Package, each Issuer Free Writing Prospectus and the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215" w:lineRule="exact"/>
        <w:rPr>
          <w:rFonts w:ascii="Arial" w:cs="Arial" w:eastAsia="Arial" w:hAnsi="Arial"/>
          <w:sz w:val="18"/>
          <w:szCs w:val="18"/>
          <w:color w:val="auto"/>
        </w:rPr>
      </w:pPr>
    </w:p>
    <w:p>
      <w:pPr>
        <w:jc w:val="both"/>
        <w:ind w:firstLine="800"/>
        <w:spacing w:after="0" w:line="264" w:lineRule="auto"/>
        <w:tabs>
          <w:tab w:leader="none" w:pos="14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and 10b-5 statement from Disclosure Law Group, a professional corporation, counsel for the Company, dated the Closing Date or the Option Closing Date, as the case may be, in form and substance reasonably satisfactory to the Representatives and previously agreed upon with counsel for the Underwriters.</w:t>
      </w:r>
    </w:p>
    <w:p>
      <w:pPr>
        <w:spacing w:after="0" w:line="208" w:lineRule="exact"/>
        <w:rPr>
          <w:rFonts w:ascii="Arial" w:cs="Arial" w:eastAsia="Arial" w:hAnsi="Arial"/>
          <w:sz w:val="18"/>
          <w:szCs w:val="18"/>
          <w:color w:val="auto"/>
        </w:rPr>
      </w:pPr>
    </w:p>
    <w:p>
      <w:pPr>
        <w:ind w:left="1500" w:hanging="700"/>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firstLine="800"/>
        <w:spacing w:after="0" w:line="264" w:lineRule="auto"/>
        <w:tabs>
          <w:tab w:leader="none" w:pos="14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and 10b-5 statement from Law Office of Reid Adler, intellectual property counsel for the Company, dated the Closing Date or the Option Closing Date, as the case may be, in form and substance reasonably satisfactory to the Representatives and previously agreed upon with counsel for the Underwriters.</w:t>
      </w:r>
    </w:p>
    <w:p>
      <w:pPr>
        <w:spacing w:after="0" w:line="208" w:lineRule="exact"/>
        <w:rPr>
          <w:rFonts w:ascii="Arial" w:cs="Arial" w:eastAsia="Arial" w:hAnsi="Arial"/>
          <w:sz w:val="18"/>
          <w:szCs w:val="18"/>
          <w:color w:val="auto"/>
        </w:rPr>
      </w:pPr>
    </w:p>
    <w:p>
      <w:pPr>
        <w:jc w:val="both"/>
        <w:ind w:firstLine="800"/>
        <w:spacing w:after="0" w:line="259" w:lineRule="auto"/>
        <w:tabs>
          <w:tab w:leader="none" w:pos="15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and 10b-5 statement from Zysman, Aharoni, Gayer and Sullivan &amp; Worcester LLP, counsel for the Underwriters, dated the Closing Date or the Option Closing Date, as the case may be, with respect to such matters as the Representatives may reasonably request, and such counsel shall have received such documents and information as they may reasonably request to enable them to pass upon such matters.</w:t>
      </w:r>
    </w:p>
    <w:p>
      <w:pPr>
        <w:spacing w:after="0" w:line="213" w:lineRule="exact"/>
        <w:rPr>
          <w:rFonts w:ascii="Arial" w:cs="Arial" w:eastAsia="Arial" w:hAnsi="Arial"/>
          <w:sz w:val="18"/>
          <w:szCs w:val="18"/>
          <w:color w:val="auto"/>
        </w:rPr>
      </w:pPr>
    </w:p>
    <w:p>
      <w:pPr>
        <w:ind w:left="1500" w:hanging="700"/>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firstLine="800"/>
        <w:spacing w:after="0" w:line="255" w:lineRule="auto"/>
        <w:tabs>
          <w:tab w:leader="none" w:pos="16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time of the execution of this Agreement, the Representatives shall have received from the Auditors a letter, addressed to the Underwriters, executed and dated such date, in form and substance satisfactory to the Representatives (i) confirming that they are an independent registered accounting firm with respect to the Company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 contained or incorporated by reference in the Registration Statement, the General Disclosure Package and the Prospectus.</w:t>
      </w:r>
    </w:p>
    <w:p>
      <w:pPr>
        <w:spacing w:after="0" w:line="220" w:lineRule="exact"/>
        <w:rPr>
          <w:rFonts w:ascii="Arial" w:cs="Arial" w:eastAsia="Arial" w:hAnsi="Arial"/>
          <w:sz w:val="18"/>
          <w:szCs w:val="18"/>
          <w:color w:val="auto"/>
        </w:rPr>
      </w:pPr>
    </w:p>
    <w:p>
      <w:pPr>
        <w:jc w:val="both"/>
        <w:ind w:firstLine="800"/>
        <w:spacing w:after="0" w:line="272" w:lineRule="auto"/>
        <w:tabs>
          <w:tab w:leader="none" w:pos="1487"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the effective date of any post-effective amendment to any Registration Statement and on such Closing Date, the Representatives shall have received a letter (the “</w:t>
      </w:r>
      <w:r>
        <w:rPr>
          <w:rFonts w:ascii="Arial" w:cs="Arial" w:eastAsia="Arial" w:hAnsi="Arial"/>
          <w:sz w:val="17"/>
          <w:szCs w:val="17"/>
          <w:u w:val="single" w:color="auto"/>
          <w:color w:val="auto"/>
        </w:rPr>
        <w:t>bring-down letter</w:t>
      </w:r>
      <w:r>
        <w:rPr>
          <w:rFonts w:ascii="Arial" w:cs="Arial" w:eastAsia="Arial" w:hAnsi="Arial"/>
          <w:sz w:val="17"/>
          <w:szCs w:val="17"/>
          <w:color w:val="auto"/>
        </w:rPr>
        <w:t>”) from the Auditors addressed to the Underwriters and dated such Closing Date confirming, as of the date of the bring-down letter (or, with respect to matters involving changes or developments since the respective dates as of which specified financial information is given in the Registration Statement,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(i) of this Section 5.</w:t>
      </w:r>
    </w:p>
    <w:p>
      <w:pPr>
        <w:spacing w:after="0" w:line="204" w:lineRule="exact"/>
        <w:rPr>
          <w:rFonts w:ascii="Arial" w:cs="Arial" w:eastAsia="Arial" w:hAnsi="Arial"/>
          <w:sz w:val="17"/>
          <w:szCs w:val="17"/>
          <w:color w:val="auto"/>
        </w:rPr>
      </w:pPr>
    </w:p>
    <w:p>
      <w:pPr>
        <w:jc w:val="both"/>
        <w:ind w:firstLine="800"/>
        <w:spacing w:after="0" w:line="253" w:lineRule="auto"/>
        <w:tabs>
          <w:tab w:leader="none" w:pos="17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dated such Closing Date, of its Chairman of the Board or President and its Chief Financial Officer stating that (i) such officers have carefully examined the Registration Statement, the General Disclosure Package, any Permitted Free Writing Prospectus and the Prospectus and, in their opinion, the Registration Statement and each amendment thereto, as of their respective effective dates and as of such Closing Date did not include any untrue statement of a material fact and did not omit to state a material fact required to be stated therein or necessary to make the statements therein not misleading, and the General Disclosure Package, as of the Applicable Time and as of such Closing Date, any Permitted Free Writing Prospectus as of its date and as of such Closing Date, the Prospectus and each amendment or supplement thereto, as of the respective date thereof and as of such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no event has occurred which should have been set forth in a supplement or amendment to the Registration Statement, the General Disclosure Package or the Prospectus, (iii) to the best of their knowledge after reasonable investigation, as of such Closing Date, the representations and warranties of the Company in this Agreement are true and correct and the Company has complied with all agreements and satisfied all conditions on its part to be performed or satisfied hereunder at or prior to such Closing Date, and (iv) there has not been, subsequent to the date of the most recent audited financial statements included in the General Disclosure Package,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 except as set forth in the Prospectus.</w:t>
      </w:r>
    </w:p>
    <w:p>
      <w:pPr>
        <w:spacing w:after="0" w:line="194" w:lineRule="exact"/>
        <w:rPr>
          <w:sz w:val="20"/>
          <w:szCs w:val="20"/>
          <w:color w:val="auto"/>
        </w:rPr>
      </w:pPr>
    </w:p>
    <w:p>
      <w:pPr>
        <w:jc w:val="both"/>
        <w:ind w:firstLine="800"/>
        <w:spacing w:after="0" w:line="254" w:lineRule="auto"/>
        <w:tabs>
          <w:tab w:leader="none" w:pos="1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General Disclosure Package, (i) the Company shall not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change, or any development involving a prospective change, in or affecting the business, general affairs, management, financial position, stockholders’ equity or results of operations of the Company, otherwise than as set forth in the General Disclosure Package, the effect of which, in any such case described in clause (i) or (ii) of this paragraph (l), is, in the judgment of the Representatives, so material and adverse as to make it impracticable or inadvisable to proceed with the sale or delivery of the Shares or Warrants on the terms and in the manner contemplated in the General Disclosure Package.</w:t>
      </w:r>
    </w:p>
    <w:p>
      <w:pPr>
        <w:spacing w:after="0" w:line="219" w:lineRule="exact"/>
        <w:rPr>
          <w:rFonts w:ascii="Arial" w:cs="Arial" w:eastAsia="Arial" w:hAnsi="Arial"/>
          <w:sz w:val="18"/>
          <w:szCs w:val="18"/>
          <w:color w:val="auto"/>
        </w:rPr>
      </w:pPr>
    </w:p>
    <w:p>
      <w:pPr>
        <w:jc w:val="both"/>
        <w:ind w:firstLine="800"/>
        <w:spacing w:after="0" w:line="297" w:lineRule="auto"/>
        <w:tabs>
          <w:tab w:leader="none" w:pos="21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action shall have been taken and no law, statute, rule, regulation or order shall have been enacted, adopted or issued by any federal, state or foreign governmental or regulatory agency or body which would prevent the issuance or sale of the Shares or Warrants or materially and adversely affect or potentially materially and adversely affect the business or operations of the Company; and no injunction, restraining order or order of any other nature by any federal, state or foreign court of competent jurisdiction shall have been issued which would prevent the issuance or sale of the Shares or Warrants or materially and adversely affect or potentially materially and adversely affect the business or operations of the Company.</w:t>
      </w:r>
    </w:p>
    <w:p>
      <w:pPr>
        <w:spacing w:after="0" w:line="185" w:lineRule="exact"/>
        <w:rPr>
          <w:rFonts w:ascii="Arial" w:cs="Arial" w:eastAsia="Arial" w:hAnsi="Arial"/>
          <w:sz w:val="16"/>
          <w:szCs w:val="16"/>
          <w:color w:val="auto"/>
        </w:rPr>
      </w:pPr>
    </w:p>
    <w:p>
      <w:pPr>
        <w:jc w:val="both"/>
        <w:ind w:firstLine="800"/>
        <w:spacing w:after="0" w:line="269" w:lineRule="auto"/>
        <w:tabs>
          <w:tab w:leader="none" w:pos="1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there shall not have occurred any of the following: (i) trading in securities generally on the Exchange, the New York Stock Exchange, any other national securities exchange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the United States or New York State or a material disruption has occurred in commercial banking or securities settlement or clearance services in the United States, (iii) there shall have occurred any outbreak or escalation of hostilities in which the United States is involved or declaration by the United States of a national emergency or war or other calamity or crisis or (iv) there shall have occurred such a material adverse change in general economic, political or financial conditions in the United States (or the effect of international conditions on the financial markets in the United States shall be such) as to make it, in the judgment of the Representatives, impracticable or inadvisable to proceed with the sale or delivery of the Shares or Warrnats on the terms and in the manner contemplated in the Registration Statement, the General Disclosure Package and the Prospectus.</w:t>
      </w:r>
    </w:p>
    <w:p>
      <w:pPr>
        <w:spacing w:after="0" w:line="209" w:lineRule="exact"/>
        <w:rPr>
          <w:rFonts w:ascii="Arial" w:cs="Arial" w:eastAsia="Arial" w:hAnsi="Arial"/>
          <w:sz w:val="17"/>
          <w:szCs w:val="17"/>
          <w:color w:val="auto"/>
        </w:rPr>
      </w:pPr>
    </w:p>
    <w:p>
      <w:pPr>
        <w:ind w:firstLine="800"/>
        <w:spacing w:after="0" w:line="277" w:lineRule="auto"/>
        <w:tabs>
          <w:tab w:leader="none" w:pos="16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Exchange shall have approved the Shares and Warrant Shares for listing therein, subject only to official notice of issuance and evidence of satisfactory distribution.</w:t>
      </w:r>
    </w:p>
    <w:p>
      <w:pPr>
        <w:spacing w:after="0" w:line="197" w:lineRule="exact"/>
        <w:rPr>
          <w:rFonts w:ascii="Arial" w:cs="Arial" w:eastAsia="Arial" w:hAnsi="Arial"/>
          <w:sz w:val="18"/>
          <w:szCs w:val="18"/>
          <w:color w:val="auto"/>
        </w:rPr>
      </w:pPr>
    </w:p>
    <w:p>
      <w:pPr>
        <w:ind w:left="1500" w:hanging="700"/>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52" w:lineRule="exact"/>
        <w:rPr>
          <w:rFonts w:ascii="Arial" w:cs="Arial" w:eastAsia="Arial" w:hAnsi="Arial"/>
          <w:sz w:val="18"/>
          <w:szCs w:val="18"/>
          <w:color w:val="auto"/>
        </w:rPr>
      </w:pPr>
    </w:p>
    <w:p>
      <w:pPr>
        <w:jc w:val="both"/>
        <w:ind w:firstLine="800"/>
        <w:spacing w:after="0" w:line="259" w:lineRule="auto"/>
        <w:tabs>
          <w:tab w:leader="none" w:pos="17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or after the date hereof (i) no downgrading shall have occurred in the rating accorded any of the 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right="20" w:firstLine="800"/>
        <w:spacing w:after="0" w:line="264" w:lineRule="auto"/>
        <w:tabs>
          <w:tab w:leader="none" w:pos="1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Representatives shall have received on and as of such Closing Date satisfactory evidence of the good standing of the Company and each Subsidiary in its jurisdiction of organization and its good standing as a foreign entity in such other jurisdictions where qualified to do business or as the Representatives may reasonably request.</w:t>
      </w:r>
    </w:p>
    <w:p>
      <w:pPr>
        <w:spacing w:after="0" w:line="208" w:lineRule="exact"/>
        <w:rPr>
          <w:rFonts w:ascii="Arial" w:cs="Arial" w:eastAsia="Arial" w:hAnsi="Arial"/>
          <w:sz w:val="18"/>
          <w:szCs w:val="18"/>
          <w:color w:val="auto"/>
        </w:rPr>
      </w:pPr>
    </w:p>
    <w:p>
      <w:pPr>
        <w:ind w:firstLine="800"/>
        <w:spacing w:after="0" w:line="277" w:lineRule="auto"/>
        <w:tabs>
          <w:tab w:leader="none" w:pos="15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the written agreements,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of the officers, directors, shareholders, optionholders and warrantholders of the Company listed in </w:t>
      </w:r>
      <w:r>
        <w:rPr>
          <w:rFonts w:ascii="Arial" w:cs="Arial" w:eastAsia="Arial" w:hAnsi="Arial"/>
          <w:sz w:val="18"/>
          <w:szCs w:val="18"/>
          <w:u w:val="single" w:color="auto"/>
          <w:color w:val="auto"/>
        </w:rPr>
        <w:t>Schedule E</w:t>
      </w:r>
      <w:r>
        <w:rPr>
          <w:rFonts w:ascii="Arial" w:cs="Arial" w:eastAsia="Arial" w:hAnsi="Arial"/>
          <w:sz w:val="18"/>
          <w:szCs w:val="18"/>
          <w:color w:val="auto"/>
        </w:rPr>
        <w:t xml:space="preserve"> to this Agreement.</w:t>
      </w:r>
    </w:p>
    <w:p>
      <w:pPr>
        <w:spacing w:after="0" w:line="197" w:lineRule="exact"/>
        <w:rPr>
          <w:rFonts w:ascii="Arial" w:cs="Arial" w:eastAsia="Arial" w:hAnsi="Arial"/>
          <w:sz w:val="18"/>
          <w:szCs w:val="18"/>
          <w:color w:val="auto"/>
        </w:rPr>
      </w:pPr>
    </w:p>
    <w:p>
      <w:pPr>
        <w:ind w:left="1460" w:hanging="660"/>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the Transfer Agent shall have executed and delivered the Warrant Agreement.</w:t>
      </w:r>
    </w:p>
    <w:p>
      <w:pPr>
        <w:spacing w:after="0" w:line="252" w:lineRule="exact"/>
        <w:rPr>
          <w:rFonts w:ascii="Arial" w:cs="Arial" w:eastAsia="Arial" w:hAnsi="Arial"/>
          <w:sz w:val="18"/>
          <w:szCs w:val="18"/>
          <w:color w:val="auto"/>
        </w:rPr>
      </w:pPr>
    </w:p>
    <w:p>
      <w:pPr>
        <w:ind w:right="20" w:firstLine="800"/>
        <w:spacing w:after="0" w:line="277" w:lineRule="auto"/>
        <w:tabs>
          <w:tab w:leader="none" w:pos="15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or prior to such Closing Date, the Company shall have furnished to the Representatives such further certificates and documents as the Representatives may reasonably request.</w:t>
      </w:r>
    </w:p>
    <w:p>
      <w:pPr>
        <w:spacing w:after="0" w:line="197" w:lineRule="exact"/>
        <w:rPr>
          <w:sz w:val="20"/>
          <w:szCs w:val="20"/>
          <w:color w:val="auto"/>
        </w:rPr>
      </w:pPr>
    </w:p>
    <w:p>
      <w:pPr>
        <w:ind w:right="20" w:firstLine="792"/>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9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AND CONTRIBUTION.</w:t>
      </w:r>
    </w:p>
    <w:p>
      <w:pPr>
        <w:spacing w:after="0" w:line="252" w:lineRule="exact"/>
        <w:rPr>
          <w:rFonts w:ascii="Arial" w:cs="Arial" w:eastAsia="Arial" w:hAnsi="Arial"/>
          <w:sz w:val="18"/>
          <w:szCs w:val="18"/>
          <w:color w:val="auto"/>
        </w:rPr>
      </w:pPr>
    </w:p>
    <w:p>
      <w:pPr>
        <w:jc w:val="both"/>
        <w:ind w:firstLine="800"/>
        <w:spacing w:after="0" w:line="285" w:lineRule="auto"/>
        <w:tabs>
          <w:tab w:leader="none" w:pos="1959"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Underwriter, its directors, officers, managers, members, employees, representatives and agents and each person, if any, who controls any Underwriter within the meaning of Section 15 of the Securities Act or Section 20 of the Exchange Act (collectively the “</w:t>
      </w:r>
      <w:r>
        <w:rPr>
          <w:rFonts w:ascii="Arial" w:cs="Arial" w:eastAsia="Arial" w:hAnsi="Arial"/>
          <w:sz w:val="16"/>
          <w:szCs w:val="16"/>
          <w:u w:val="single" w:color="auto"/>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 Indemnified Party</w:t>
      </w:r>
      <w:r>
        <w:rPr>
          <w:rFonts w:ascii="Arial" w:cs="Arial" w:eastAsia="Arial" w:hAnsi="Arial"/>
          <w:sz w:val="16"/>
          <w:szCs w:val="16"/>
          <w:color w:val="auto"/>
        </w:rPr>
        <w:t xml:space="preserve">”)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Preliminary Prospectus, any Issuer Free Writing Prospectus, any “issuer information” filed or required to be filed pursuant to Rule 433(d) of the Rules and Regulations, any Registration Statement or the Prospectus, or in any amendment or supplement thereto or (B) the omission or alleged omission to state in any Preliminary Prospectus,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and shall reimburse each Underwriter Indemnified Party promptly upon demand for any legal fees or other expenses reasonably incurred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expense or liability arises out of or is based upon an untrue statement or alleged untrue statement in, or omission or alleged omission from any Preliminary Prospectus, any Registration Statement or the Prospectus, or any such amendment or supplement thereto, or any Issuer Free Writing Prospectus made in reliance upon and in conformity with written information furnished to the Company through the Representatives by or on behalf of any Underwriter specifically for use therein, which information the parties hereto agree is limited to the Underwriter’s Information (as defined in Section 18). The indemnity agreement in this Section 6(a) is not exclusive and is in addition to each other liability which the Company might have under this Agreement or otherwise, and shall not limit any rights or remedies which may otherwise be available under this Agreement, at law or in equity to any Underwriter Indemnified Party.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800"/>
        <w:spacing w:after="0" w:line="285" w:lineRule="auto"/>
        <w:tabs>
          <w:tab w:leader="none" w:pos="15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6"/>
          <w:szCs w:val="16"/>
          <w:u w:val="single" w:color="auto"/>
          <w:color w:val="auto"/>
        </w:rPr>
        <w:t>Company Indemnified Parties</w:t>
      </w:r>
      <w:r>
        <w:rPr>
          <w:rFonts w:ascii="Arial" w:cs="Arial" w:eastAsia="Arial" w:hAnsi="Arial"/>
          <w:sz w:val="16"/>
          <w:szCs w:val="16"/>
          <w:color w:val="auto"/>
        </w:rPr>
        <w:t>” and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Preliminary Prospectus,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as defined in Section 18,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w:t>
      </w:r>
    </w:p>
    <w:p>
      <w:pPr>
        <w:spacing w:after="0" w:line="202" w:lineRule="exact"/>
        <w:rPr>
          <w:rFonts w:ascii="Arial" w:cs="Arial" w:eastAsia="Arial" w:hAnsi="Arial"/>
          <w:sz w:val="16"/>
          <w:szCs w:val="16"/>
          <w:color w:val="auto"/>
        </w:rPr>
      </w:pPr>
    </w:p>
    <w:p>
      <w:pPr>
        <w:jc w:val="both"/>
        <w:ind w:firstLine="800"/>
        <w:spacing w:after="0" w:line="284" w:lineRule="auto"/>
        <w:tabs>
          <w:tab w:leader="none" w:pos="153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6 of notice of the commencement of any action, the indemnified party shall, if a claim in respect thereof is to be made against an indemnifying party under this Section 6, notify such indemnifying party in writing of the commencement of that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notify the indemnifying party shall not relieve it from any liability which it may have under this Section 6 except to the extent it has been materially prejudiced by such failure;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6.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6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6(a) or the Representatives in the case of a claim for indemnification under Section 6(c),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in connection with any one such action or separate but substantially similar or related actions in the same jurisdiction arising out of the same general allegations or circumstances, be liable for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6"/>
          <w:szCs w:val="16"/>
          <w:color w:val="auto"/>
        </w:rPr>
        <w:t>reasonable fees and expenses of more than one separate firm of attorneys at any time for all such indemnified parties (in addition to any local counsel), which firm shall be designated in writing by the Representatives if the indemnified parties under this Section 6 consist of any Underwriter Indemnified Party or by the Company if the indemnified parties under this Section 6 consist of any Company Indemnified Parties. Subject to this Section 6(c), the amount payable by an indemnifying party under Section 6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6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fees and expenses of counsel, such indemnifying party agrees that it shall be liable for any settlement of the nature contemplated by Section 6(a) effected without its written consent if (i) such settlement is entered into more than forty-five</w:t>
      </w:r>
    </w:p>
    <w:p>
      <w:pPr>
        <w:spacing w:after="0" w:line="13" w:lineRule="exact"/>
        <w:rPr>
          <w:sz w:val="20"/>
          <w:szCs w:val="20"/>
          <w:color w:val="auto"/>
        </w:rPr>
      </w:pPr>
    </w:p>
    <w:p>
      <w:pPr>
        <w:jc w:val="both"/>
        <w:ind w:firstLine="8"/>
        <w:spacing w:after="0" w:line="255" w:lineRule="auto"/>
        <w:tabs>
          <w:tab w:leader="none" w:pos="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217" w:lineRule="exact"/>
        <w:rPr>
          <w:rFonts w:ascii="Arial" w:cs="Arial" w:eastAsia="Arial" w:hAnsi="Arial"/>
          <w:sz w:val="18"/>
          <w:szCs w:val="18"/>
          <w:color w:val="auto"/>
        </w:rPr>
      </w:pPr>
    </w:p>
    <w:p>
      <w:pPr>
        <w:jc w:val="both"/>
        <w:ind w:firstLine="800"/>
        <w:spacing w:after="0" w:line="285" w:lineRule="auto"/>
        <w:tabs>
          <w:tab w:leader="none" w:pos="1593"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Section 6 is unavailable or insufficient to hold harmless an indemnified party under Section 6(a) or 6(b),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Shares and Warrants, or (ii) if the allocation provided by clause (i) of this Section 6(d) is not permitted by applicable law, in such proportion as is appropriate to reflect not only the relative benefits referred to in clause (i) of this Section 6(d)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and Warrants purchased under this Agreement (before deducting expenses) received by the Company bear to the total underwriting discounts and commissions received by the Underwriters with respect to the Shares and Warrants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hereto agree that the written information furnished to the Company through the Representatives by or on behalf of the Underwriters for use in the Preliminary Prospectus, any Registration Statement or the Prospectus, or in any amendment or supplement thereto, consists solely of the Underwriter’s Information as defined in Section 18.</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800"/>
        <w:spacing w:after="0" w:line="269" w:lineRule="auto"/>
        <w:tabs>
          <w:tab w:leader="none" w:pos="1533"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Company and the Underwriters agree that it would not be just and equitable if contributions pursuant to Section 6(d) above were to be determined by pro rata allocation or by any other method of allocation which does not take into account the equitable considerations referred to Section 6(d) above. The amount paid or payable by an indemnified party as a result of the loss, claim, damage, expense, liability, action, investigation or proceeding referred to in Section 6(d)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6, no Underwriters shall be required to contribute any amount in excess of the amount by which the total underwriting discounts and commissions received by such Underwriter with respect to the offering of the Shares and Warrants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in proportion to their respective underwriting obligations and not joint.</w:t>
      </w:r>
    </w:p>
    <w:p>
      <w:pPr>
        <w:spacing w:after="0" w:line="206" w:lineRule="exact"/>
        <w:rPr>
          <w:rFonts w:ascii="Arial" w:cs="Arial" w:eastAsia="Arial" w:hAnsi="Arial"/>
          <w:sz w:val="17"/>
          <w:szCs w:val="17"/>
          <w:color w:val="auto"/>
        </w:rPr>
      </w:pPr>
    </w:p>
    <w:p>
      <w:pPr>
        <w:jc w:val="both"/>
        <w:ind w:firstLine="8"/>
        <w:spacing w:after="0" w:line="286" w:lineRule="auto"/>
        <w:tabs>
          <w:tab w:leader="none" w:pos="627" w:val="left"/>
        </w:tabs>
        <w:numPr>
          <w:ilvl w:val="0"/>
          <w:numId w:val="40"/>
        </w:numPr>
        <w:rPr>
          <w:rFonts w:ascii="Arial" w:cs="Arial" w:eastAsia="Arial" w:hAnsi="Arial"/>
          <w:sz w:val="17"/>
          <w:szCs w:val="17"/>
          <w:color w:val="auto"/>
        </w:rPr>
      </w:pPr>
      <w:r>
        <w:rPr>
          <w:rFonts w:ascii="Arial" w:cs="Arial" w:eastAsia="Arial" w:hAnsi="Arial"/>
          <w:sz w:val="17"/>
          <w:szCs w:val="17"/>
          <w:color w:val="auto"/>
        </w:rPr>
        <w:t>TERMINATION. The obligations of the Underwriters hereunder may be terminated by the Representatives, in its absolute discretion by notice given to the Company prior to delivery of and payment for the Shares and Warrants if, prior to that time, any of the events described in Sections 5(m) or 5(n) have occurred or if the Underwriters shall decline to purchase the Shares and Warrants for any reason permitted under this Agreement.</w:t>
      </w:r>
    </w:p>
    <w:p>
      <w:pPr>
        <w:spacing w:after="0" w:line="192" w:lineRule="exact"/>
        <w:rPr>
          <w:rFonts w:ascii="Arial" w:cs="Arial" w:eastAsia="Arial" w:hAnsi="Arial"/>
          <w:sz w:val="17"/>
          <w:szCs w:val="17"/>
          <w:color w:val="auto"/>
        </w:rPr>
      </w:pPr>
    </w:p>
    <w:p>
      <w:pPr>
        <w:jc w:val="both"/>
        <w:ind w:firstLine="8"/>
        <w:spacing w:after="0" w:line="288" w:lineRule="auto"/>
        <w:tabs>
          <w:tab w:leader="none" w:pos="6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REIMBURSEMENT OF UNDERWRITERS’ EXPENSES. Notwithstanding anything to the contrary in this Agreement, if (a) this Agreement shall have been terminated pursuant to Section 7 or 9, (b) the Company shall fail to tender the Shares or Warrants for delivery to the Underwriters for any reason not permitted under this Agreement, (c) the Underwriters shall decline to purchase the Shares or Warrants for any reason permitted under this Agreement or</w:t>
      </w: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(d) the sale of the Shares or Warrants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4, the Company shall reimburse the Underwriters for the fees and expenses of Underwriters’ counsel and for such other out-of-pocket expenses as shall have been reasonably incurred by them in connection with this Agreement and the proposed purchase of the Shares and Warrants, including, without limitation, travel and lodging expenses of the Underwriters, and upon demand the Company shall pay the full amount thereof to the Representatives up to $150,000;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this Agreement is terminated pursuant to Section 9 by reason of the default of one or more Underwriters, the Company shall not be obligated to reimburse any defaulting Underwriter on account of expenses to the extent incurred by such defaulting Underwriter;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foregoing shall not limit any reimbursement obligation of the Company to any non-defaulting Underwriter under this Section 8.</w:t>
      </w:r>
    </w:p>
    <w:p>
      <w:pPr>
        <w:spacing w:after="0" w:line="209" w:lineRule="exact"/>
        <w:rPr>
          <w:rFonts w:ascii="Arial" w:cs="Arial" w:eastAsia="Arial" w:hAnsi="Arial"/>
          <w:sz w:val="16"/>
          <w:szCs w:val="16"/>
          <w:color w:val="auto"/>
        </w:rPr>
      </w:pPr>
    </w:p>
    <w:p>
      <w:pPr>
        <w:jc w:val="both"/>
        <w:ind w:firstLine="8"/>
        <w:spacing w:after="0" w:line="290"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SUBSTITUTION OF UNDERWRITERS. If any Underwriter or Underwriters shall default in its or their obligations to purchase Shares or Warrants hereunder on any Closing Date and the aggregate number of Shares and Warrants which such defaulting Underwriter or Underwriters agreed but failed to purchase does not exceed ten percent (10%) of the total number of Shares and Warrants to be purchased by all Underwriters on such Closing Date, the other Underwriters shall be obligated severally, in proportion to their respective commitments hereunder, to purchase the Shares and Warrants which such defaulting Underwriter or Underwriters agreed but failed to purchase on such Closing Date. If any Underwriter or Underwriters shall so default and the aggregate number of shares with respect to which such default or defaults occur is more than ten percent (10%) of the total number of Shares and Warrants to be purchased by all Underwriters on such Closing Date and arrangements satisfactory to the Representatives and the Company for the purchase of such Shares and Warrants by other persons are not made within forty-eight (48) hours after such default, this Agreement shall terminate.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792"/>
        <w:spacing w:after="0" w:line="269" w:lineRule="auto"/>
        <w:rPr>
          <w:sz w:val="20"/>
          <w:szCs w:val="20"/>
          <w:color w:val="auto"/>
        </w:rPr>
      </w:pPr>
      <w:r>
        <w:rPr>
          <w:rFonts w:ascii="Arial" w:cs="Arial" w:eastAsia="Arial" w:hAnsi="Arial"/>
          <w:sz w:val="17"/>
          <w:szCs w:val="17"/>
          <w:color w:val="auto"/>
        </w:rPr>
        <w:t>If the remaining Underwriters or substituted Underwriters are required hereby or agree to take up all or part of the Shares and Warrants of a defaulting Underwriter or Underwriters on such Closing Date as provided in this Section 9, (i) the Company shall have the right to postpone such Closing Date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and Warrants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9 shall be without liability on the part of any non-defaulting Underwriter or the Company, except that the representations, warranties, covenants, indemnities, agreements and other statements set forth in Section 2, the obligations with respect to expenses to be paid or reimbursed pursuant to Sections 4 and 8 and the provisions of Section 6 and Sections 10 through 22, inclusive, shall not terminate and shall remain in full force and effect.</w:t>
      </w:r>
    </w:p>
    <w:p>
      <w:pPr>
        <w:spacing w:after="0" w:line="210"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ABSENCE OF FIDUCIARY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acknowledges and agrees that:</w:t>
      </w:r>
    </w:p>
    <w:p>
      <w:pPr>
        <w:spacing w:after="0" w:line="252" w:lineRule="exact"/>
        <w:rPr>
          <w:rFonts w:ascii="Arial" w:cs="Arial" w:eastAsia="Arial" w:hAnsi="Arial"/>
          <w:sz w:val="18"/>
          <w:szCs w:val="18"/>
          <w:color w:val="auto"/>
        </w:rPr>
      </w:pPr>
    </w:p>
    <w:p>
      <w:pPr>
        <w:jc w:val="both"/>
        <w:ind w:left="1440" w:hanging="784"/>
        <w:spacing w:after="0" w:line="279" w:lineRule="auto"/>
        <w:tabs>
          <w:tab w:leader="none" w:pos="14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each Underwriter’s responsibility to the Company is solely contractual in nature, the Representatives have been retained solely to act as underwriters in connection with the sale of the Shares and Warrants and no fiduciary, advisory or agency relationship between the Company and the Representatives have been created in respect of any of the transactions contemplated by this Agreement, irrespective of whether the Representatives have advised or are advising the Company on other matters;</w:t>
      </w:r>
    </w:p>
    <w:p>
      <w:pPr>
        <w:spacing w:after="0" w:line="198" w:lineRule="exact"/>
        <w:rPr>
          <w:rFonts w:ascii="Arial" w:cs="Arial" w:eastAsia="Arial" w:hAnsi="Arial"/>
          <w:sz w:val="17"/>
          <w:szCs w:val="17"/>
          <w:color w:val="auto"/>
        </w:rPr>
      </w:pPr>
    </w:p>
    <w:p>
      <w:pPr>
        <w:jc w:val="both"/>
        <w:ind w:left="1440" w:hanging="784"/>
        <w:spacing w:after="0" w:line="264" w:lineRule="auto"/>
        <w:tabs>
          <w:tab w:leader="none" w:pos="1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price of the Shares and Warrants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208" w:lineRule="exact"/>
        <w:rPr>
          <w:rFonts w:ascii="Arial" w:cs="Arial" w:eastAsia="Arial" w:hAnsi="Arial"/>
          <w:sz w:val="18"/>
          <w:szCs w:val="18"/>
          <w:color w:val="auto"/>
        </w:rPr>
      </w:pPr>
    </w:p>
    <w:p>
      <w:pPr>
        <w:jc w:val="both"/>
        <w:ind w:left="1440" w:hanging="784"/>
        <w:spacing w:after="0" w:line="264" w:lineRule="auto"/>
        <w:tabs>
          <w:tab w:leader="none" w:pos="1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it has been advised that the Representatives and its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208" w:lineRule="exact"/>
        <w:rPr>
          <w:rFonts w:ascii="Arial" w:cs="Arial" w:eastAsia="Arial" w:hAnsi="Arial"/>
          <w:sz w:val="18"/>
          <w:szCs w:val="18"/>
          <w:color w:val="auto"/>
        </w:rPr>
      </w:pPr>
    </w:p>
    <w:p>
      <w:pPr>
        <w:jc w:val="both"/>
        <w:ind w:left="1440" w:hanging="784"/>
        <w:spacing w:after="0" w:line="259" w:lineRule="auto"/>
        <w:tabs>
          <w:tab w:leader="none" w:pos="1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213" w:lineRule="exact"/>
        <w:rPr>
          <w:rFonts w:ascii="Arial" w:cs="Arial" w:eastAsia="Arial" w:hAnsi="Arial"/>
          <w:sz w:val="18"/>
          <w:szCs w:val="18"/>
          <w:color w:val="auto"/>
        </w:rPr>
      </w:pPr>
    </w:p>
    <w:p>
      <w:pPr>
        <w:jc w:val="both"/>
        <w:ind w:firstLine="8"/>
        <w:spacing w:after="0" w:line="289" w:lineRule="auto"/>
        <w:tabs>
          <w:tab w:leader="none" w:pos="7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SUCCESSORS; PERSONS ENTITLED TO BENEFIT OF AGREEMENT. This Agreement shall inure to the benefit of and be binding upon the several Underwriters, 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Shares or Warrants from any Underwriter shall be deemed to be a successor or assign by reason merely of such purchase.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8"/>
        <w:spacing w:after="0" w:line="255" w:lineRule="auto"/>
        <w:tabs>
          <w:tab w:leader="none" w:pos="13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SURVIVAL OF INDEMNITIES, REPRESENTATIONS, WARRANTIES, ETC</w:t>
      </w:r>
      <w:r>
        <w:rPr>
          <w:rFonts w:ascii="Arial" w:cs="Arial" w:eastAsia="Arial" w:hAnsi="Arial"/>
          <w:sz w:val="18"/>
          <w:szCs w:val="18"/>
          <w:i w:val="1"/>
          <w:iCs w:val="1"/>
          <w:color w:val="auto"/>
        </w:rPr>
        <w:t>.</w:t>
      </w:r>
      <w:r>
        <w:rPr>
          <w:rFonts w:ascii="Arial" w:cs="Arial" w:eastAsia="Arial" w:hAnsi="Arial"/>
          <w:sz w:val="18"/>
          <w:szCs w:val="18"/>
          <w:color w:val="auto"/>
        </w:rPr>
        <w:t xml:space="preserve"> The respective indemnities, covenants, agreements, representations, warranties and other statements of the Company and the several Underwriters, as set forth in this Agreement or made by them respectively, pursuant to this Agreement, shall remain in full force and effect, regardless of any investigation made by or on behalf of any Underwriter, the Company or any person controlling any of them and shall survive delivery of and payment for the Shares and Warrants. Notwithstanding any termination of this Agreement, including without limitation any termination pursuant to Section 7 or Section 9, the indemnities, covenants, agreements, representations, warranties and other statements forth in Sections 2, 4, 6 and 8 and Sections 10 through 22, inclusive, of this Agreement shall not terminate and shall remain in full force and effect at all times.</w:t>
      </w:r>
    </w:p>
    <w:p>
      <w:pPr>
        <w:spacing w:after="0" w:line="216" w:lineRule="exact"/>
        <w:rPr>
          <w:rFonts w:ascii="Arial" w:cs="Arial" w:eastAsia="Arial" w:hAnsi="Arial"/>
          <w:sz w:val="18"/>
          <w:szCs w:val="18"/>
          <w:color w:val="auto"/>
        </w:rPr>
      </w:pPr>
    </w:p>
    <w:p>
      <w:pPr>
        <w:jc w:val="both"/>
        <w:ind w:firstLine="8"/>
        <w:spacing w:after="0" w:line="264" w:lineRule="auto"/>
        <w:tabs>
          <w:tab w:leader="none" w:pos="7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NOTICES.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to the Underwriters: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Shai Gerson, Managing Director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(646) 465-9091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Email:sgerson@chardancm.com</w:t>
      </w: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Zysman, Aharoni, Gayer and Sullivan &amp; Worcester LLP</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1633 Broadway</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Oded Har-Even, Esq.</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(212) 660-3001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Email: ohareven@zag-sw.com</w:t>
      </w: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Shawn Singh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888-482-2602</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Email: ssingh@vistagen.com</w:t>
      </w: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Disclosure Law Group, APC</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600 West Broadway, Suite 700</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Daniel W. Rumsey, Esq.</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Facsimile: 619-330-2101</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Email: drumsey@disclosurelawgroup.com</w:t>
      </w:r>
    </w:p>
    <w:p>
      <w:pPr>
        <w:spacing w:after="0" w:line="238" w:lineRule="exact"/>
        <w:rPr>
          <w:sz w:val="20"/>
          <w:szCs w:val="20"/>
          <w:color w:val="auto"/>
        </w:rPr>
      </w:pPr>
    </w:p>
    <w:p>
      <w:pPr>
        <w:ind w:left="880" w:hanging="872"/>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DEFINITION OF CERTAIN TERMS.  For purposes of this Agreement, (a) “business day” means any day on which the Exchange is open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trading.</w:t>
      </w:r>
    </w:p>
    <w:p>
      <w:pPr>
        <w:spacing w:after="0" w:line="237" w:lineRule="exact"/>
        <w:rPr>
          <w:rFonts w:ascii="Arial" w:cs="Arial" w:eastAsia="Arial" w:hAnsi="Arial"/>
          <w:sz w:val="17"/>
          <w:szCs w:val="17"/>
          <w:color w:val="auto"/>
        </w:rPr>
      </w:pPr>
    </w:p>
    <w:p>
      <w:pPr>
        <w:ind w:firstLine="8"/>
        <w:spacing w:after="0" w:line="308" w:lineRule="auto"/>
        <w:tabs>
          <w:tab w:leader="none" w:pos="7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ind w:firstLine="8"/>
        <w:spacing w:after="0" w:line="269" w:lineRule="auto"/>
        <w:tabs>
          <w:tab w:leader="none" w:pos="884"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SUBMISSION TO JURISDICTION; WAIVER OF JURY TRIAL.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13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09" w:lineRule="exact"/>
        <w:rPr>
          <w:rFonts w:ascii="Arial" w:cs="Arial" w:eastAsia="Arial" w:hAnsi="Arial"/>
          <w:sz w:val="17"/>
          <w:szCs w:val="17"/>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jc w:val="both"/>
        <w:ind w:firstLine="8"/>
        <w:spacing w:after="0" w:line="257" w:lineRule="auto"/>
        <w:tabs>
          <w:tab w:leader="none" w:pos="9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UNDERWRITERS’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acknowledge and agree that, for all purposes of this Agreement, the Underwriters’ Information consists solely of the following information in the Prospectus: the following statements concerning the Underwriters contained in the “Underwriting” section of the Prospectus: (a) the first sentence under the heading “Commissions, Discounts and Other Compensation”; (b) the first sentence under the heading “Short Sales, Stabilizing Transactions and Penalty Bids — Stabilizing transactions; and (c) the first sentence under the heading “Discretionary Sales.”</w:t>
      </w:r>
    </w:p>
    <w:p>
      <w:pPr>
        <w:spacing w:after="0" w:line="215" w:lineRule="exact"/>
        <w:rPr>
          <w:rFonts w:ascii="Arial" w:cs="Arial" w:eastAsia="Arial" w:hAnsi="Arial"/>
          <w:sz w:val="18"/>
          <w:szCs w:val="18"/>
          <w:color w:val="auto"/>
        </w:rPr>
      </w:pPr>
    </w:p>
    <w:p>
      <w:pPr>
        <w:ind w:firstLine="8"/>
        <w:spacing w:after="0" w:line="277" w:lineRule="auto"/>
        <w:tabs>
          <w:tab w:leader="none" w:pos="7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AUTHORITY OF THE REPRESENTATIVES. In connection with this Agreement, you will act for and on behalf of the several Underwriters, and any action taken under this Agreement by the Representatives, will be binding on all the Underwriters.</w:t>
      </w:r>
    </w:p>
    <w:p>
      <w:pPr>
        <w:spacing w:after="0" w:line="197" w:lineRule="exact"/>
        <w:rPr>
          <w:rFonts w:ascii="Arial" w:cs="Arial" w:eastAsia="Arial" w:hAnsi="Arial"/>
          <w:sz w:val="18"/>
          <w:szCs w:val="18"/>
          <w:color w:val="auto"/>
        </w:rPr>
      </w:pPr>
    </w:p>
    <w:p>
      <w:pPr>
        <w:jc w:val="both"/>
        <w:ind w:firstLine="8"/>
        <w:spacing w:after="0" w:line="259" w:lineRule="auto"/>
        <w:tabs>
          <w:tab w:leader="none" w:pos="7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PARTIAL UNENFORCEABILITY. The invalidity or unenforceability of any section, paragraph, clause or provision of this Agreement shall not affect 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213" w:lineRule="exact"/>
        <w:rPr>
          <w:rFonts w:ascii="Arial" w:cs="Arial" w:eastAsia="Arial" w:hAnsi="Arial"/>
          <w:sz w:val="18"/>
          <w:szCs w:val="18"/>
          <w:color w:val="auto"/>
        </w:rPr>
      </w:pPr>
    </w:p>
    <w:p>
      <w:pPr>
        <w:jc w:val="both"/>
        <w:ind w:firstLine="8"/>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This Agreement constitutes the entire agreement of the parties to this Agreement and supersedes all prior written or oral and all 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215" w:lineRule="exact"/>
        <w:rPr>
          <w:rFonts w:ascii="Arial" w:cs="Arial" w:eastAsia="Arial" w:hAnsi="Arial"/>
          <w:sz w:val="18"/>
          <w:szCs w:val="18"/>
          <w:color w:val="auto"/>
        </w:rPr>
      </w:pPr>
    </w:p>
    <w:p>
      <w:pPr>
        <w:ind w:right="20" w:firstLine="8"/>
        <w:spacing w:after="0" w:line="277" w:lineRule="auto"/>
        <w:tabs>
          <w:tab w:leader="none" w:pos="7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COUNTERPARTS. This Agreement may be signed in any number of counterparts, each of which shall be an original, with the same effect as if the signatures thereto and hereto were upon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Signatures Follow]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ind w:firstLine="792"/>
        <w:spacing w:after="0" w:line="277" w:lineRule="auto"/>
        <w:rPr>
          <w:sz w:val="20"/>
          <w:szCs w:val="20"/>
          <w:color w:val="auto"/>
        </w:rPr>
      </w:pPr>
      <w:r>
        <w:rPr>
          <w:rFonts w:ascii="Arial" w:cs="Arial" w:eastAsia="Arial" w:hAnsi="Arial"/>
          <w:sz w:val="18"/>
          <w:szCs w:val="18"/>
          <w:color w:val="auto"/>
        </w:rPr>
        <w:t>If the foregoing is in accordance with your understanding of the agreement between the Company and the several Underwriters, kindly indicate your acceptance in the space provided for that purpose below.</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Singh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Acting on its own behalf</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 as Representative of the several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Underwriters referred to in the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foregoing Agreement.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Jonas Grossman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Jonas Grossman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Managing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9" w:lineRule="exact"/>
        <w:rPr>
          <w:sz w:val="20"/>
          <w:szCs w:val="20"/>
          <w:color w:val="auto"/>
        </w:rPr>
      </w:pPr>
    </w:p>
    <w:p>
      <w:pPr>
        <w:jc w:val="center"/>
        <w:ind w:right="8840"/>
        <w:spacing w:after="0"/>
        <w:rPr>
          <w:sz w:val="20"/>
          <w:szCs w:val="20"/>
          <w:color w:val="auto"/>
        </w:rPr>
      </w:pPr>
      <w:r>
        <w:rPr>
          <w:rFonts w:ascii="Arial" w:cs="Arial" w:eastAsia="Arial" w:hAnsi="Arial"/>
          <w:sz w:val="17"/>
          <w:szCs w:val="17"/>
          <w:color w:val="auto"/>
        </w:rPr>
        <w:t>WALLACHBETH CAPITAL, LLC</w:t>
      </w:r>
    </w:p>
    <w:p>
      <w:pPr>
        <w:spacing w:after="0" w:line="21"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Acting on its own behalf</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and as Representative of the several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Underwriters referred to in the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foregoing Agreement.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Tapia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Tapia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SCHEDULE A</w:t>
            </w:r>
          </w:p>
        </w:tc>
        <w:tc>
          <w:tcPr>
            <w:tcW w:w="1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0" w:type="dxa"/>
            <w:vAlign w:val="bottom"/>
          </w:tcPr>
          <w:p>
            <w:pPr>
              <w:jc w:val="center"/>
              <w:ind w:left="890"/>
              <w:spacing w:after="0"/>
              <w:rPr>
                <w:sz w:val="20"/>
                <w:szCs w:val="20"/>
                <w:color w:val="auto"/>
              </w:rPr>
            </w:pPr>
            <w:r>
              <w:rPr>
                <w:rFonts w:ascii="Arial" w:cs="Arial" w:eastAsia="Arial" w:hAnsi="Arial"/>
                <w:sz w:val="18"/>
                <w:szCs w:val="18"/>
                <w:color w:val="auto"/>
                <w:w w:val="94"/>
              </w:rPr>
              <w:t>Number of Firm</w:t>
            </w: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tcPr>
          <w:p>
            <w:pPr>
              <w:jc w:val="center"/>
              <w:ind w:left="910"/>
              <w:spacing w:after="0"/>
              <w:rPr>
                <w:sz w:val="20"/>
                <w:szCs w:val="20"/>
                <w:color w:val="auto"/>
              </w:rPr>
            </w:pPr>
            <w:r>
              <w:rPr>
                <w:rFonts w:ascii="Arial" w:cs="Arial" w:eastAsia="Arial" w:hAnsi="Arial"/>
                <w:sz w:val="18"/>
                <w:szCs w:val="18"/>
                <w:color w:val="auto"/>
                <w:w w:val="86"/>
              </w:rPr>
              <w:t>Shares to be</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Number of Firm</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Number of Option</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Number of Option</w:t>
            </w:r>
          </w:p>
        </w:tc>
      </w:tr>
      <w:tr>
        <w:trPr>
          <w:trHeight w:val="216"/>
        </w:trPr>
        <w:tc>
          <w:tcPr>
            <w:tcW w:w="20" w:type="dxa"/>
            <w:vAlign w:val="bottom"/>
          </w:tcPr>
          <w:p>
            <w:pPr>
              <w:spacing w:after="0"/>
              <w:rPr>
                <w:sz w:val="18"/>
                <w:szCs w:val="18"/>
                <w:color w:val="auto"/>
              </w:rPr>
            </w:pPr>
          </w:p>
        </w:tc>
        <w:tc>
          <w:tcPr>
            <w:tcW w:w="3820" w:type="dxa"/>
            <w:vAlign w:val="bottom"/>
          </w:tcPr>
          <w:p>
            <w:pPr>
              <w:ind w:left="2200"/>
              <w:spacing w:after="0"/>
              <w:rPr>
                <w:sz w:val="20"/>
                <w:szCs w:val="20"/>
                <w:color w:val="auto"/>
              </w:rPr>
            </w:pPr>
            <w:r>
              <w:rPr>
                <w:rFonts w:ascii="Arial" w:cs="Arial" w:eastAsia="Arial" w:hAnsi="Arial"/>
                <w:sz w:val="18"/>
                <w:szCs w:val="18"/>
                <w:color w:val="auto"/>
              </w:rPr>
              <w:t>Name</w:t>
            </w:r>
          </w:p>
        </w:tc>
        <w:tc>
          <w:tcPr>
            <w:tcW w:w="2600" w:type="dxa"/>
            <w:vAlign w:val="bottom"/>
          </w:tcPr>
          <w:p>
            <w:pPr>
              <w:jc w:val="center"/>
              <w:ind w:left="890"/>
              <w:spacing w:after="0"/>
              <w:rPr>
                <w:sz w:val="20"/>
                <w:szCs w:val="20"/>
                <w:color w:val="auto"/>
              </w:rPr>
            </w:pPr>
            <w:r>
              <w:rPr>
                <w:rFonts w:ascii="Arial" w:cs="Arial" w:eastAsia="Arial" w:hAnsi="Arial"/>
                <w:sz w:val="18"/>
                <w:szCs w:val="18"/>
                <w:color w:val="auto"/>
                <w:w w:val="85"/>
              </w:rPr>
              <w:t>Purchased</w:t>
            </w: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Warrants to be</w:t>
            </w: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Shares to be Purchased</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Warrants to be</w:t>
            </w:r>
          </w:p>
        </w:tc>
      </w:tr>
      <w:tr>
        <w:trPr>
          <w:trHeight w:val="237"/>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Purchased__</w:t>
            </w:r>
          </w:p>
        </w:tc>
        <w:tc>
          <w:tcPr>
            <w:tcW w:w="1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Purchased</w:t>
            </w: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Chardan Capital Markets, LLC</w:t>
            </w:r>
          </w:p>
        </w:tc>
        <w:tc>
          <w:tcPr>
            <w:tcW w:w="2600" w:type="dxa"/>
            <w:vAlign w:val="bottom"/>
          </w:tcPr>
          <w:p>
            <w:pPr>
              <w:jc w:val="center"/>
              <w:ind w:left="910"/>
              <w:spacing w:after="0" w:line="201" w:lineRule="exact"/>
              <w:rPr>
                <w:sz w:val="20"/>
                <w:szCs w:val="20"/>
                <w:color w:val="auto"/>
              </w:rPr>
            </w:pPr>
            <w:r>
              <w:rPr>
                <w:rFonts w:ascii="Arial" w:cs="Arial" w:eastAsia="Arial" w:hAnsi="Arial"/>
                <w:sz w:val="18"/>
                <w:szCs w:val="18"/>
                <w:color w:val="auto"/>
                <w:w w:val="89"/>
              </w:rPr>
              <w:t>1,529,412</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1,529,412</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89"/>
              </w:rPr>
              <w:t>229,412</w:t>
            </w:r>
          </w:p>
        </w:tc>
        <w:tc>
          <w:tcPr>
            <w:tcW w:w="16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229,412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WallachBeth Capital, LLC</w:t>
            </w:r>
          </w:p>
        </w:tc>
        <w:tc>
          <w:tcPr>
            <w:tcW w:w="2600" w:type="dxa"/>
            <w:vAlign w:val="bottom"/>
          </w:tcPr>
          <w:p>
            <w:pPr>
              <w:jc w:val="center"/>
              <w:ind w:left="890"/>
              <w:spacing w:after="0"/>
              <w:rPr>
                <w:sz w:val="20"/>
                <w:szCs w:val="20"/>
                <w:color w:val="auto"/>
              </w:rPr>
            </w:pPr>
            <w:r>
              <w:rPr>
                <w:rFonts w:ascii="Arial" w:cs="Arial" w:eastAsia="Arial" w:hAnsi="Arial"/>
                <w:sz w:val="18"/>
                <w:szCs w:val="18"/>
                <w:color w:val="auto"/>
                <w:w w:val="89"/>
              </w:rPr>
              <w:t>823,530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823,530</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123,530</w:t>
            </w: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9"/>
              </w:rPr>
              <w:t>123,530</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0" w:type="dxa"/>
            <w:vAlign w:val="bottom"/>
          </w:tcPr>
          <w:p>
            <w:pPr>
              <w:jc w:val="center"/>
              <w:ind w:left="910"/>
              <w:spacing w:after="0"/>
              <w:rPr>
                <w:sz w:val="20"/>
                <w:szCs w:val="20"/>
                <w:color w:val="auto"/>
              </w:rPr>
            </w:pPr>
            <w:r>
              <w:rPr>
                <w:rFonts w:ascii="Arial" w:cs="Arial" w:eastAsia="Arial" w:hAnsi="Arial"/>
                <w:sz w:val="18"/>
                <w:szCs w:val="18"/>
                <w:color w:val="auto"/>
                <w:w w:val="89"/>
              </w:rPr>
              <w:t>2,352,942</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2,352,942</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352,942</w:t>
            </w: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9"/>
              </w:rPr>
              <w:t>352,942</w:t>
            </w:r>
          </w:p>
        </w:tc>
      </w:tr>
      <w:tr>
        <w:trPr>
          <w:trHeight w:val="85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0" w:type="dxa"/>
            <w:vAlign w:val="bottom"/>
          </w:tcPr>
          <w:p>
            <w:pPr>
              <w:jc w:val="right"/>
              <w:ind w:right="490"/>
              <w:spacing w:after="0"/>
              <w:rPr>
                <w:sz w:val="20"/>
                <w:szCs w:val="20"/>
                <w:color w:val="auto"/>
              </w:rPr>
            </w:pPr>
            <w:r>
              <w:rPr>
                <w:rFonts w:ascii="Arial" w:cs="Arial" w:eastAsia="Arial" w:hAnsi="Arial"/>
                <w:sz w:val="18"/>
                <w:szCs w:val="18"/>
                <w:color w:val="auto"/>
              </w:rPr>
              <w:t>-31-</w:t>
            </w:r>
          </w:p>
        </w:tc>
        <w:tc>
          <w:tcPr>
            <w:tcW w:w="1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center"/>
        <w:ind w:right="-1200"/>
        <w:spacing w:after="0"/>
        <w:rPr>
          <w:sz w:val="20"/>
          <w:szCs w:val="20"/>
          <w:color w:val="auto"/>
        </w:rPr>
      </w:pPr>
      <w:r>
        <w:rPr>
          <w:rFonts w:ascii="Arial" w:cs="Arial" w:eastAsia="Arial" w:hAnsi="Arial"/>
          <w:sz w:val="18"/>
          <w:szCs w:val="18"/>
          <w:b w:val="1"/>
          <w:bCs w:val="1"/>
          <w:color w:val="auto"/>
        </w:rPr>
        <w:t>SCHEDULE B</w:t>
      </w:r>
    </w:p>
    <w:p>
      <w:pPr>
        <w:spacing w:after="0" w:line="252"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2,352,942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Warrants: 2,352,942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352,942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Warrants: 352,942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Share: $4.24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per Warrant: $0.01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Share: $0.39432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per Warrant: $0.00093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Proceeds to Company per Share (before expenses): $3.84568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Proceeds to Company per Warrant (before expenses): $0.00907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SCHEDULE C</w:t>
      </w:r>
    </w:p>
    <w:p>
      <w:pPr>
        <w:spacing w:after="0" w:line="200" w:lineRule="exact"/>
        <w:rPr>
          <w:sz w:val="20"/>
          <w:szCs w:val="20"/>
          <w:color w:val="auto"/>
        </w:rPr>
      </w:pPr>
    </w:p>
    <w:p>
      <w:pPr>
        <w:spacing w:after="0" w:line="295" w:lineRule="exact"/>
        <w:rPr>
          <w:sz w:val="20"/>
          <w:szCs w:val="20"/>
          <w:color w:val="auto"/>
        </w:rPr>
      </w:pPr>
    </w:p>
    <w:p>
      <w:pPr>
        <w:jc w:val="right"/>
        <w:ind w:right="2999"/>
        <w:spacing w:after="0"/>
        <w:rPr>
          <w:sz w:val="20"/>
          <w:szCs w:val="20"/>
          <w:color w:val="auto"/>
        </w:rPr>
      </w:pPr>
      <w:r>
        <w:rPr>
          <w:rFonts w:ascii="Arial" w:cs="Arial" w:eastAsia="Arial" w:hAnsi="Arial"/>
          <w:sz w:val="18"/>
          <w:szCs w:val="18"/>
          <w:b w:val="1"/>
          <w:bCs w:val="1"/>
          <w:color w:val="auto"/>
        </w:rPr>
        <w:t>General Use Free Writing Prospectuses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filed April 15,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7"/>
          <w:szCs w:val="17"/>
          <w:b w:val="1"/>
          <w:bCs w:val="1"/>
          <w:color w:val="auto"/>
        </w:rPr>
        <w:t>SCHEDULE 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jc w:val="center"/>
        <w:ind w:right="-1200"/>
        <w:spacing w:after="0"/>
        <w:rPr>
          <w:sz w:val="20"/>
          <w:szCs w:val="20"/>
          <w:color w:val="auto"/>
        </w:rPr>
      </w:pPr>
      <w:r>
        <w:rPr>
          <w:rFonts w:ascii="Arial" w:cs="Arial" w:eastAsia="Arial" w:hAnsi="Arial"/>
          <w:sz w:val="18"/>
          <w:szCs w:val="18"/>
          <w:b w:val="1"/>
          <w:bCs w:val="1"/>
          <w:color w:val="auto"/>
        </w:rPr>
        <w:t>SCHEDULE E</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Parties Subject to Lock-Up</w:t>
      </w:r>
    </w:p>
    <w:p>
      <w:pPr>
        <w:spacing w:after="0" w:line="256"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List of officers, directors and 5% shareholders subject to Section 4(m)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Ralph Snodgrass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S. Saxe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J. Underdown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Platinum Long Term Growth Fund VII/Montsant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Goldberg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Calm Seas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Cato BioVentures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Cato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University Health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Nexthera Capital Master Fund LP</w:t>
      </w:r>
    </w:p>
    <w:p>
      <w:pPr>
        <w:spacing w:after="0" w:line="38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WallachBeth Capital,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if any, named in the Underwriting Agreement referenced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 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WallachBeth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Wall Street, Suite 6600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undersigned understands that you and certain other firms, if any,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i w:val="1"/>
          <w:iCs w:val="1"/>
          <w:color w:val="auto"/>
        </w:rPr>
        <w:t>Underwriting Agreemen</w:t>
      </w:r>
      <w:r>
        <w:rPr>
          <w:rFonts w:ascii="Arial" w:cs="Arial" w:eastAsia="Arial" w:hAnsi="Arial"/>
          <w:sz w:val="16"/>
          <w:szCs w:val="16"/>
          <w:color w:val="auto"/>
        </w:rPr>
        <w:t>t”) providing for the purchase by the Underwriters of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warrants to purchase Common Stock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together with the Shares,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of Vistagen Therapeutics,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that the Underwriters propose to reoffer the Shares and Warrants to the public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the Representatives, on behalf of the Underwriters, the undersigned will not, directly or indirectly,</w:t>
      </w:r>
    </w:p>
    <w:p>
      <w:pPr>
        <w:jc w:val="both"/>
        <w:ind w:firstLine="8"/>
        <w:spacing w:after="0" w:line="267" w:lineRule="auto"/>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offer for sale, sell, pledge, or otherwise transfer or dispose of (or enter into any transaction or device that is designed to, or could be expected to, result in the transfer or disposition by any person at any time in the future of) any shares of Common Stock (including, without limitation, shares of Common Stock that may be deemed to be beneficially owned by the undersigned in accordance with the rules and regulations of the Securities and Exchange Commission and shares of Common Stock that may be issued upon exercise of any options or warrants) or securities convertible into or exercisable or exchangeable for Common Stock,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except as provided for below, make any demand for or exercise any right or cause to be filed a registration statement, including any amendments thereto, with respect to the registration of any shares of Common Stock or securities convertible into or exercisable or exchangeable for Common Stock or any other securities of the Company, or (4) publicly disclose the intention to do any of the foregoing for a period commencing on the date hereof and ending on the 90th day after the date of the Prospectus relating to the Offering (such 90-day period, the “</w:t>
      </w:r>
      <w:r>
        <w:rPr>
          <w:rFonts w:ascii="Arial" w:cs="Arial" w:eastAsia="Arial" w:hAnsi="Arial"/>
          <w:sz w:val="17"/>
          <w:szCs w:val="17"/>
          <w:b w:val="1"/>
          <w:bCs w:val="1"/>
          <w:i w:val="1"/>
          <w:i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both"/>
        <w:spacing w:after="0" w:line="283" w:lineRule="auto"/>
        <w:rPr>
          <w:sz w:val="20"/>
          <w:szCs w:val="20"/>
          <w:color w:val="auto"/>
        </w:rPr>
      </w:pPr>
      <w:r>
        <w:rPr>
          <w:rFonts w:ascii="Arial" w:cs="Arial" w:eastAsia="Arial" w:hAnsi="Arial"/>
          <w:sz w:val="16"/>
          <w:szCs w:val="16"/>
          <w:color w:val="auto"/>
        </w:rPr>
        <w:t xml:space="preserve">The foregoing paragraph shall not apply to (a) transactions relating to shares of Common Stock or other securities acquired in the open market after the completion of the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shall be required or shall be voluntarily made in connection with such transfers; (b) bona fide gifts, sales or other dispositions of shares of any class of the Company’s capital stock or any security convertible into Common Stock, in each case that are made exclusively between and among the undersigned or members of the undersigned’s family, or affiliates of the undersigned, including its partners (if a partnership) or members (if a limited liability company); (c) any transfer of shares of Common Stock or any security convertible into Common Stock by will or intestate succession upon the death of the undersigned; (d) transfer of shares of Common Stock or any security convertible into Common Stock to an immediate family member (for purposes of this Lock-Up Letter Agreement, “immediate family” shall mean any relationship by blood, marriage or adoption, not more remote than first cousin) or any trust, limited partnership, limited liability company or other entity for the direct or indirect benefit of the undersigned or any immediate family member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(b)- (d) above, it shall be a condition to any such transfer that (i) the transferee/donee agrees to be bound by the terms of this Lock-Up Letter Agreement (including, without limitation, the restrictions set forth in the preceding sentence) to the same extent as if the transferee/donee were a party hereto,</w:t>
      </w:r>
    </w:p>
    <w:p>
      <w:pPr>
        <w:spacing w:after="0" w:line="5" w:lineRule="exact"/>
        <w:rPr>
          <w:sz w:val="20"/>
          <w:szCs w:val="20"/>
          <w:color w:val="auto"/>
        </w:rPr>
      </w:pPr>
    </w:p>
    <w:p>
      <w:pPr>
        <w:jc w:val="both"/>
        <w:ind w:firstLine="8"/>
        <w:spacing w:after="0" w:line="283" w:lineRule="auto"/>
        <w:tabs>
          <w:tab w:leader="none" w:pos="2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party (donor, donee, transferor or transferee) shall not be required by law (including without limitation the disclosure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and the Exchange Act) to make, and shall agree to not voluntarily make, any filing or public announcement of the transfer or disposition prior to the expiration of the 90-day period referred to above, and (iii) the undersigned notifies the Representatives at least two business days prior to the proposed transfer or disposition; (e) the transfer of shares to the Company to satisfy withholding obligations for any equity award granted pursuant to the terms of the Company’s stock option/incentive plans, such as upon exercise, vesting, lapse of substantial risk of forfeiture, or other similar taxable event, in each case on a “cashless” or “net exercise” basis (which, for the avoidance of doubt shall not include “cashless” exercise programs involving a broker or other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a condition of any transfer pursuant to this clause (e), that if the undersigned is required to file a report under Section 16(a) of the Exchange Act, reporting a reduction in beneficial ownership of shares of Common Stock or any securities convertible into or exercisable or exchangeable for Common Stock during the Lock-Up Period, the undersigned shall include a statement in such report, and if applicable an appropriate disposition transaction code, to the effect that such transfer is being made as a share delivery or forfeiture in connection with a net value exercise, or as a forfeiture or sale of shares solely to cover required tax withholding, as the case may be; (f) transfers of shares of Common Stock or any security convertible into or exercisable or exchangeable for Common Stock pursuant to a bona fide third party tender offer made to all holders of the Common Stock, merger, consolidation or other similar transaction involving a change of control (as defined below) of the Company, including voting in favor of any such transaction or taking any other action in connection with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merger, tender offer or other transaction is not completed, the Common Stock and any security convertible into or exercisable or exchangeable for Common Stock shall remain subject to the restrictions set forth herein; (g) the exercise of warrants or the exercise of stock options granted pursuant to the Company’s stock option/incentive plans or otherwise outstanding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that the restrictions shall apply to shares of Common Stock issued upon such exercise or conversion; (h) the establishment of any contract, instruction or plan that satisfies all of the requirements of Rule 10b5-1 (a “</w:t>
      </w:r>
      <w:r>
        <w:rPr>
          <w:rFonts w:ascii="Arial" w:cs="Arial" w:eastAsia="Arial" w:hAnsi="Arial"/>
          <w:sz w:val="16"/>
          <w:szCs w:val="16"/>
          <w:b w:val="1"/>
          <w:bCs w:val="1"/>
          <w:i w:val="1"/>
          <w:iCs w:val="1"/>
          <w:color w:val="auto"/>
        </w:rPr>
        <w:t>Rule 10b5-1 Plan</w:t>
      </w:r>
      <w:r>
        <w:rPr>
          <w:rFonts w:ascii="Arial" w:cs="Arial" w:eastAsia="Arial" w:hAnsi="Arial"/>
          <w:sz w:val="16"/>
          <w:szCs w:val="16"/>
          <w:color w:val="auto"/>
        </w:rPr>
        <w:t xml:space="preserve">”)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sales of Common Stock or securities convertible into, or exchangeable or exercisable for, Common Stock, shall be made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 Rule 10b5-1 Plan prior to the expiration of the Lock-Up Period;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 and (i) any demands or requests for, exercise any right with respect to, or take any action in preparation of, the registration by the Company under the Act of the undersigned’s shares of Common Stock, provided that no transfer of the undersigned’s shares of Common Stock registered pursuant to the exercise of any such right and no registration statement shall be filed under the Act with respect to any of</w:t>
      </w:r>
    </w:p>
    <w:p>
      <w:pPr>
        <w:spacing w:after="0" w:line="195"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the undersigned’s shares of Common Stock during the Lock-Up Period. For purposes of clause (f) above, “change of control” shall mean the consummation of any bona fide third party tender offer, merger, purchase, consolidation or other similar transaction the result of which is that any “person” (as defined in Section 13(d)(3) of the Exchange Act), or group of persons, becomes the beneficial owner (as defined in Rules 13d-3 and 13d-5 of the Exchange Act) of a majority of total voting power of the voting stock of the Company.</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undersigned’s securities subject to this Lock-Up Letter Agreement except in compliance with this Lock-Up Letter Agreement.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understood that, if the Company notifies the Underwriters that it does not intend to proceed with the Offering, if the Underwriting Agreement does not become effective, or if the Underwriting Agreement (other than the provisions thereof which survive termination) shall terminate or be terminated prior to payment for and delivery of the Securities, the undersigned will be released from its obligations under this Lock-Up Letter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understands that the Company and the Underwriters will proceed with the Offering in reliance on this Lock-Up Letter Agreement.</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9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Lock-Up Letter Agreement shall automatically terminate upon the earliest to occur, if any, of (1) the termination of the Underwriting Agreement before the sale of any Securities to the Underwriters, or (2) June 30, 2016, in the event that the Underwriting Agreement has not been executed by that date.</w:t>
      </w:r>
    </w:p>
    <w:p>
      <w:pPr>
        <w:spacing w:after="0" w:line="1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Lock-Up Letter Agreement shall be governed by and construed in accordance with the laws of the State of New York, without regard to the conflict of laws principles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ind w:firstLine="792"/>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9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II</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VistaGen Therapeutics, Inc. (the “Company” announced today that Chardan Capital Markets, LLC, and WallachBeth Capital, LLC, the lead book-running managers in the Company’s recent public sale of [ ] shares of common stock and warrants to purchase up to [___] shares of common stock, is [waiving] [releasing] a lock-up restriction with respect to [ ] shares of common stock of the Company held by [certain officers or directors][an officer or director] of</w:t>
      </w:r>
    </w:p>
    <w:p>
      <w:pPr>
        <w:spacing w:after="0"/>
        <w:tabs>
          <w:tab w:leader="none" w:pos="4340" w:val="left"/>
        </w:tabs>
        <w:rPr>
          <w:sz w:val="20"/>
          <w:szCs w:val="20"/>
          <w:color w:val="auto"/>
        </w:rPr>
      </w:pPr>
      <w:r>
        <w:rPr>
          <w:rFonts w:ascii="Arial" w:cs="Arial" w:eastAsia="Arial" w:hAnsi="Arial"/>
          <w:sz w:val="18"/>
          <w:szCs w:val="18"/>
          <w:color w:val="auto"/>
        </w:rPr>
        <w:t>the Company. The [waiver][release] will take effect on</w:t>
      </w:r>
      <w:r>
        <w:rPr>
          <w:sz w:val="20"/>
          <w:szCs w:val="20"/>
          <w:color w:val="auto"/>
        </w:rPr>
        <w:tab/>
      </w:r>
      <w:r>
        <w:rPr>
          <w:rFonts w:ascii="Arial" w:cs="Arial" w:eastAsia="Arial" w:hAnsi="Arial"/>
          <w:sz w:val="16"/>
          <w:szCs w:val="16"/>
          <w:color w:val="auto"/>
        </w:rPr>
        <w:t>, 20  , and the shares may be sold on or after such date.</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exemption from registration under the United States Securities Act of 1933, as amended.</w:t>
      </w:r>
    </w:p>
    <w:p>
      <w:pPr>
        <w:sectPr>
          <w:pgSz w:w="11900" w:h="16838" w:orient="portrait"/>
          <w:cols w:equalWidth="0" w:num="1">
            <w:col w:w="11420"/>
          </w:cols>
          <w:pgMar w:left="240" w:top="51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VISTAGEN THERAPEUTICS, INC.</w:t>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WARRANT AGENCY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WARRANT AGENCY AGREEMENT (this “Warrant Agreement”) made as of May 16, 2016 (the “Issuance Date”), between VistaGen Therapeutics, Inc., a Nevada corporation (“Company”), and Computershare Inc., a Delaware corporation (“Computershare”), and its wholly owned subsidiary, Computershare Trust Company, N.A., a federally chartered trust company (together with Computershare, “Warrant Agent”).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is engaged in a public offering (the “Offering”) of Common Stock and up to 2,705,883 Warrants (the “Warrants”), with each such Warrant evidencing the right of the holder thereof to purchase one share of common stock, par value $.001 per share, of the Company’s Common Stock (the “Common Stock”) for $5.30, subject to adjustment as described herein; and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has filed with the U.S. Securities and Exchange Commission (the “Commission”) a Registration Statement, No. 333-210152 on Form S-1 (as the same may be amended from time to time, the “Registration Statement”), for the registration, under the Securities Act of 1933, as amended (the “Securities Act”), of the Warrants and the Common Stock issuable upon exercise of the Warrants (the “Warrant Shares”), and such Registration Statement was declared effective on May 10, 2016;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and exercise of the Warrants; and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(each, a “Holder”); and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and binding obligations of the Company, and to authorize the execution and delivery of this Warrant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firstLine="656"/>
        <w:spacing w:after="0" w:line="259" w:lineRule="auto"/>
        <w:tabs>
          <w:tab w:leader="none" w:pos="84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express terms and conditions set forth in this Warrant Agreement (and no duties or obligations shall be inferred or implied). The Warrant Agent shall not assume any obligations or relationship of agency or trust with any of the Holders.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Warrant shall be issued in registered form only, shall be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“Form of Warrant”), the provisions of which are incorporated herein, and shall be signed by, or bear the facsimile signature of, the Chief Executive Officer, President, Chief Financial Officer or Treasurer, and the Secretary or Assistant Secretary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Warrants shall initially be represented by one or more book-entry certificates (each a “Book-Entry Warrant Certificate”).</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a Holder.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(“Warrant Register”), for the registration of the original issuance and the registration of any transfer of the Warrants. Upon the initial issuance of the Warrants, the Warrant Agent shall issue and register the Warrants in the names of the respective Holders in such denominations and otherwise in accordance with instructions delivered to the Warrant Agent by the Company. To the extent the Warrants are DTC eligible as of the Issuance Date, all of the Warrants shall be represented by one or more Book-Entry Warrant Certificates deposited with The Depository Trust Company (the “Depository”) and registered in the name of Cede &amp; Co., a nominee of the Depository. Ownership of beneficial interests in the Book-Entry Warrant Certificates shall be shown on, and the transfer of such ownership shall be effected through, records maintained</w:t>
      </w:r>
    </w:p>
    <w:p>
      <w:pPr>
        <w:spacing w:after="0" w:line="5" w:lineRule="exact"/>
        <w:rPr>
          <w:sz w:val="20"/>
          <w:szCs w:val="20"/>
          <w:color w:val="auto"/>
        </w:rPr>
      </w:pPr>
    </w:p>
    <w:p>
      <w:pPr>
        <w:jc w:val="both"/>
        <w:ind w:firstLine="8"/>
        <w:spacing w:after="0" w:line="255" w:lineRule="auto"/>
        <w:tabs>
          <w:tab w:leader="none" w:pos="2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by the Depository or its nominee for each Book-Entry Warrant Certificate; (ii) by institutions that have accounts with the Depository (such institution, with respect to a Warrant in its account, a “Participant”); or (iii) directly on the book-entry records of the Warrant Agent with respect only to owners of beneficial interests that represent such direct registration.</w:t>
      </w:r>
    </w:p>
    <w:p>
      <w:pPr>
        <w:spacing w:after="0" w:line="217" w:lineRule="exact"/>
        <w:rPr>
          <w:sz w:val="20"/>
          <w:szCs w:val="20"/>
          <w:color w:val="auto"/>
        </w:rPr>
      </w:pPr>
    </w:p>
    <w:p>
      <w:pPr>
        <w:ind w:firstLine="1945"/>
        <w:spacing w:after="0" w:line="291" w:lineRule="auto"/>
        <w:rPr>
          <w:sz w:val="20"/>
          <w:szCs w:val="20"/>
          <w:color w:val="auto"/>
        </w:rPr>
      </w:pPr>
      <w:r>
        <w:rPr>
          <w:rFonts w:ascii="Arial" w:cs="Arial" w:eastAsia="Arial" w:hAnsi="Arial"/>
          <w:sz w:val="16"/>
          <w:szCs w:val="16"/>
          <w:color w:val="auto"/>
        </w:rPr>
        <w:t>If the Warrants are not DTC Eligible as of the Issuance Date or the Depository subsequently ceases to make its book-entry settlement system available for the Warrants, the Company may instruct the Warrant Agent to make other arrangements for book-entry settlement within ten</w:t>
      </w:r>
    </w:p>
    <w:p>
      <w:pPr>
        <w:jc w:val="both"/>
        <w:ind w:firstLine="8"/>
        <w:spacing w:after="0" w:line="252" w:lineRule="auto"/>
        <w:tabs>
          <w:tab w:leader="none" w:pos="3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Business Days after the Depository ceases to make its book-entry settlement available. In the event that the Company does not make alternative arrangements for book-entry settlement within ten (10) Business Days or the Warrants are not eligible for, or it is no longer necessary to have the Warrants available in, book-entry form, the Warrant Agent shall provide written instructions, upon receipt of instructions from the Company, to the Depository to deliver to the Warrant Agent for cancellation each Book-Entry Warrant Certificate, and the Company shall instruct the Warrant Agent to deliver to the Holders definitive Warrant Certificates in physical form evidencing such Warrants. Such definitive Warrant Certificates shall be in substantially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As used herein, the term “Business Day”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81"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Beneficial Owner; Registered Holder</w:t>
      </w:r>
      <w:r>
        <w:rPr>
          <w:rFonts w:ascii="Arial" w:cs="Arial" w:eastAsia="Arial" w:hAnsi="Arial"/>
          <w:sz w:val="17"/>
          <w:szCs w:val="17"/>
          <w:color w:val="auto"/>
        </w:rPr>
        <w:t xml:space="preserve">. Prior to due presentment for registration of transfer of any Warrant, the Company and the Warrant Agent may deem and treat the person in whose name such Warrant shall be registered upon the Warrant Register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 Any person in whose name ownership of a beneficial interest in the Warrants evidenced by a Book-Entry Warrant Certificate is recorded in the records maintained by the Depository or its nominee shall be deemed the “beneficial owner” thereof; </w:t>
      </w:r>
      <w:r>
        <w:rPr>
          <w:rFonts w:ascii="Arial" w:cs="Arial" w:eastAsia="Arial" w:hAnsi="Arial"/>
          <w:sz w:val="17"/>
          <w:szCs w:val="17"/>
          <w:i w:val="1"/>
          <w:iCs w:val="1"/>
          <w:color w:val="auto"/>
        </w:rPr>
        <w:t>provided</w:t>
      </w:r>
      <w:r>
        <w:rPr>
          <w:rFonts w:ascii="Arial" w:cs="Arial" w:eastAsia="Arial" w:hAnsi="Arial"/>
          <w:sz w:val="17"/>
          <w:szCs w:val="17"/>
          <w:color w:val="auto"/>
        </w:rPr>
        <w:t>, that all such beneficial interests shall be held through a Participant which shall be the registered holder of such Warrants. As used herein, the term “Holder” refers only to a registered holder of the Warrants.</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the foregoing and anything else herein to the contrary, the Warrants may be issued in uncertificated form.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5" w:name="page46"/>
    <w:bookmarkEnd w:id="45"/>
    <w:p>
      <w:pPr>
        <w:ind w:firstLine="1297"/>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Opinion of Counsel</w:t>
      </w:r>
      <w:r>
        <w:rPr>
          <w:rFonts w:ascii="Arial" w:cs="Arial" w:eastAsia="Arial" w:hAnsi="Arial"/>
          <w:sz w:val="17"/>
          <w:szCs w:val="17"/>
          <w:color w:val="auto"/>
        </w:rPr>
        <w:t>. The Company shall provide an opinion of counsel to the Warrant Agent prior to the issuance of the Warrants to set up a reserve of Warrants and related Common Stock. The opinion shall state that all Warrants or Common Stock, as applicable, are:</w:t>
      </w:r>
    </w:p>
    <w:p>
      <w:pPr>
        <w:spacing w:after="0" w:line="147" w:lineRule="exact"/>
        <w:rPr>
          <w:sz w:val="20"/>
          <w:szCs w:val="20"/>
          <w:color w:val="auto"/>
        </w:rPr>
      </w:pPr>
    </w:p>
    <w:p>
      <w:pPr>
        <w:ind w:firstLine="1953"/>
        <w:spacing w:after="0" w:line="277" w:lineRule="auto"/>
        <w:tabs>
          <w:tab w:leader="none" w:pos="21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registered under the Securities Act of 1933, as amended, or are exempt from such registration, and all appropriate state securities law filings have been made with respect to the Warrants or shares; and</w:t>
      </w:r>
    </w:p>
    <w:p>
      <w:pPr>
        <w:spacing w:after="0" w:line="170" w:lineRule="exact"/>
        <w:rPr>
          <w:rFonts w:ascii="Arial" w:cs="Arial" w:eastAsia="Arial" w:hAnsi="Arial"/>
          <w:sz w:val="18"/>
          <w:szCs w:val="18"/>
          <w:color w:val="auto"/>
        </w:rPr>
      </w:pPr>
    </w:p>
    <w:p>
      <w:pPr>
        <w:ind w:left="2140" w:hanging="187"/>
        <w:spacing w:after="0"/>
        <w:tabs>
          <w:tab w:leader="none" w:pos="2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validly issued, fully paid and non-assessable.</w:t>
      </w:r>
    </w:p>
    <w:p>
      <w:pPr>
        <w:spacing w:after="0" w:line="225" w:lineRule="exact"/>
        <w:rPr>
          <w:sz w:val="20"/>
          <w:szCs w:val="20"/>
          <w:color w:val="auto"/>
        </w:rPr>
      </w:pPr>
    </w:p>
    <w:p>
      <w:pPr>
        <w:ind w:left="840" w:hanging="184"/>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Warrant shall, when countersigned by the Warrant Agent, entitle the Holder, subject to the provisions of such Warrant and of this Warrant Agreement, to purchase from the Company the number of shares of Common Stock stated therein, at the price of $5.30 per whole share, subject to the subsequent adjustments provided in Section 4 hereof. The term “Exercise Price” as used in this Warrant Agreement refers to the price per share at which Common Stock may be purchased at the time a Warrant is exercised.</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Warrants</w:t>
      </w:r>
      <w:r>
        <w:rPr>
          <w:rFonts w:ascii="Arial" w:cs="Arial" w:eastAsia="Arial" w:hAnsi="Arial"/>
          <w:sz w:val="18"/>
          <w:szCs w:val="18"/>
          <w:color w:val="auto"/>
        </w:rPr>
        <w:t>. A Warrant may be exercised only during the period (“Exercise Period”) commencing on the Issuance Date and terminating at 5:00 P.M., New York City time, on May 16, 2021 (“Expiration Date”). Each Warrant not exercised on or before the Expiration Date shall become null and void, and all rights thereunder and all rights in respect thereof under this Warrant Agreement shall cease at the close of business on the Expiration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Exercise and Payment</w:t>
      </w:r>
      <w:r>
        <w:rPr>
          <w:rFonts w:ascii="Arial" w:cs="Arial" w:eastAsia="Arial" w:hAnsi="Arial"/>
          <w:sz w:val="17"/>
          <w:szCs w:val="17"/>
          <w:color w:val="auto"/>
        </w:rPr>
        <w:t>. A Holder may exercise a Warrant by delivering, not later than 5:00 P.M., New York City time, on any Business Day during the Exercise Period (the “Exercise Date”) to the Warrant Agent at its corporate actions department (i) the Warrant Certificate evidencing the Warrants to be exercised, if applicable, or in the case of a Book-Entry Warrant Certificate, the Warrants to be exercised (the “Book-Entry Warrants”) shown on the records of the Depository to an account of the Warrant Agent at the Depository designated for such purpose in writing by the Warrant Agent to the Depository from time to time, (ii) an election to purchase the Warrant Shares underlying the Warrants to be exercised (a “Notice of Exercise”), properly completed and executed by the Holder in the form annexed to the Warrant Certificate or, in the case of a Book-Entry Warrant Certificate, properly delivered by the Participant in accordance with the Depository’s procedures, and (iii) within three Trading Days of the date such Notice of Exercise is delivered, the Exercise Price for each Warrant to be exercised in lawful money of the United States of America by certified or official bank check or by bank wire transfer in immediately available funds, or, if available, pursuant to the cashless exercise procedure specified in Section 2(c) of the Form of Warrant. The Warrant Agent shall have no duty or obligation to determine the validity or completeness of any Notice of Exercise or to deliver an objection to a Notice of Exercise to any Holder. Notwithstanding anything to the contrary in the Form of Warrant, the Holder shall be required to physically surrender a Warrant Certificate in physical form in order to exercise any portion of such Warrant Certificate.</w:t>
      </w:r>
    </w:p>
    <w:p>
      <w:pPr>
        <w:spacing w:after="0" w:line="207"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If any of (A) the Warrant Certificate, if applicable, or the Book-Entry Warrants, or (B) the Notice of Exercise, is received by the Warrant Agent after 5:00 P.M., New York City time, on the specified Exercise Date, the Warrants will be deemed to be received and exercised on the Business Day next succeeding the specified Exercise Date. If the date specified as the Exercise Date is not a Business Day, the Warrants will be deemed to be received and exercised on the next succeeding day that is a Business Day. If the Warrants are received or deemed to be received after the Expiration Date, the exercise thereof will be null and void and any funds delivered to the Warrant Agent will be returned to the Holder. In no event will interest accrue on funds deposited with the Warrant Agent in respect of an exercise or attempted exercise of Warrants. The validity of any exercise of Warrants will be determined by the Warrant Agent in its sole discretion and such determination will be final and binding upon the Holder and the Company. Neither the Company nor the Warrant Agent shall have any obligation to inform a Holder of the invalidity of any exercise of any Warrants.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1945"/>
        <w:spacing w:after="0" w:line="312" w:lineRule="auto"/>
        <w:rPr>
          <w:sz w:val="20"/>
          <w:szCs w:val="20"/>
          <w:color w:val="auto"/>
        </w:rPr>
      </w:pPr>
      <w:r>
        <w:rPr>
          <w:rFonts w:ascii="Arial" w:cs="Arial" w:eastAsia="Arial" w:hAnsi="Arial"/>
          <w:sz w:val="16"/>
          <w:szCs w:val="16"/>
          <w:color w:val="auto"/>
        </w:rPr>
        <w:t>The Warrant Agent shall promptly deposit all funds received by it in payment of the Exercise Price in the account of the Company maintained with the Warrant Agent for such purpose and shall advise the Company via telephone at the end of each day on which funds for the exercise of the Warrants are received of the amount so deposited to its account. The Warrant Agent shall promptly confirm such telephonic advice to the Company in writing.</w:t>
      </w:r>
    </w:p>
    <w:p>
      <w:pPr>
        <w:spacing w:after="0" w:line="147"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The Warrant Agent shall, within a reasonable time after request, advise the Company or the transfer agent and registrar in respect of (a) the number of Warrant Shares issuable upon such exercise in accordance with the terms and conditions of this Warrant Agreement, (b) the instructions of each Holder with respect to delivery of the Warrant Shares issuable upon such exercise, and the delivery of definitive Warrant Certificates, as appropriate, evidencing the balance, if any, of the Warrants remaining after such exercise, (c) in case of a Book-Entry Warrant Certificate, the notation that shall be made to the records maintained by the Depository, its nominee for each Book-Entry Warrant Certificate, or a Participant, as appropriate, evidencing the balance, if any, of the Warrants remaining after such exercise and (d) such other information as the Company or such transfer agent and registrar shall reasonably require.</w:t>
      </w:r>
    </w:p>
    <w:p>
      <w:pPr>
        <w:spacing w:after="0" w:line="189"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The Company shall, by 5:00 P.M., New York City time, on or before the third Trading Day next succeeding the Exercise Date of any Warrant, execute, issue and deliver to the Warrant Agent, the Warrant Shares to which such Holder is entitled, in fully registered form, registered in such name or names as may be directed by such Holder. Upon receipt of such Warrant Shares, the Warrant Agent shall, by 5:00 P.M., New York City time, on the third Trading Day next succeeding such Exercise Date, transmit such Warrant Shares to, or upon the order of, such Holder.</w:t>
      </w:r>
    </w:p>
    <w:p>
      <w:pPr>
        <w:spacing w:after="0" w:line="171"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In lieu of delivering physical certificates representing the Warrant Shares issuable upon exercise of any Warrants, provided the Company’s transfer agent is participating in the Depository’s Fast Automated Securities Transfer program, the Company shall use its commercially reasonable efforts to cause its transfer agent to electronically transmit the Warrant Shares issuable upon exercise to the Depository by crediting the account of the Depository or of the Participant, as the case may be, through its Deposit Withdrawal Agent Commission system. The time periods for delivery described in the immediately preceding paragraph shall apply to the electronic transmittals described herein.</w:t>
      </w:r>
    </w:p>
    <w:p>
      <w:pPr>
        <w:spacing w:after="0" w:line="173"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Warrant Shares issued upon the proper exercise of a Warrant in conformity with this Warrant Agreement shall be validly issued, fully paid and nonassessable.</w:t>
      </w:r>
    </w:p>
    <w:p>
      <w:pPr>
        <w:spacing w:after="0" w:line="170"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No Fractional Exercise</w:t>
      </w:r>
      <w:r>
        <w:rPr>
          <w:rFonts w:ascii="Arial" w:cs="Arial" w:eastAsia="Arial" w:hAnsi="Arial"/>
          <w:sz w:val="17"/>
          <w:szCs w:val="17"/>
          <w:color w:val="auto"/>
        </w:rPr>
        <w:t>. Warrants may be exercised only in whole numbers of Warrant Shares.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Warrant Share.</w:t>
      </w:r>
    </w:p>
    <w:p>
      <w:pPr>
        <w:spacing w:after="0" w:line="166"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 xml:space="preserve">3.3.5 </w:t>
      </w:r>
      <w:r>
        <w:rPr>
          <w:rFonts w:ascii="Arial" w:cs="Arial" w:eastAsia="Arial" w:hAnsi="Arial"/>
          <w:sz w:val="17"/>
          <w:szCs w:val="17"/>
          <w:u w:val="single" w:color="auto"/>
          <w:color w:val="auto"/>
        </w:rPr>
        <w:t>No Transfer Taxes</w:t>
      </w:r>
      <w:r>
        <w:rPr>
          <w:rFonts w:ascii="Arial" w:cs="Arial" w:eastAsia="Arial" w:hAnsi="Arial"/>
          <w:sz w:val="17"/>
          <w:szCs w:val="17"/>
          <w:color w:val="auto"/>
        </w:rPr>
        <w:t>. The Warrant Agent shall not be required to pay any stamp or other tax or governmental charge required to be paid in connection with any transfer involved in the issue of the Warrant Shares upon the exercise of Warrants; and in the event that any such transfer is involved, neither the Company nor the Warrant Agent shall be required to issue or deliver any Warrant Shares until such tax or other charge shall have been paid or it has been established to the Company’s and the Warrant Agent’s satisfaction that no such tax or other charge is due.</w:t>
      </w:r>
    </w:p>
    <w:p>
      <w:pPr>
        <w:spacing w:after="0" w:line="171"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Warrant Shares is issued shall for all purposes be deemed to have become the holder of record of such shares on the date on which the applicable Warrant was surrendered and payment of the Exercise Price was made, irrespective of the date of delivery of any such certificate, except that, if the date of such surrender and payment is a date when the stock transfer books of the Company are closed, such person or entity shall be deemed to have become the holder of record of such shares at the close of business on the next succeeding date on which the stock transfer books are open.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ind w:left="1960"/>
        <w:spacing w:after="0"/>
        <w:rPr>
          <w:sz w:val="20"/>
          <w:szCs w:val="20"/>
          <w:color w:val="auto"/>
        </w:rPr>
      </w:pPr>
      <w:r>
        <w:rPr>
          <w:rFonts w:ascii="Arial" w:cs="Arial" w:eastAsia="Arial" w:hAnsi="Arial"/>
          <w:sz w:val="18"/>
          <w:szCs w:val="18"/>
          <w:color w:val="auto"/>
        </w:rPr>
        <w:t xml:space="preserve">3.3.7 </w:t>
      </w:r>
      <w:r>
        <w:rPr>
          <w:rFonts w:ascii="Arial" w:cs="Arial" w:eastAsia="Arial" w:hAnsi="Arial"/>
          <w:sz w:val="18"/>
          <w:szCs w:val="18"/>
          <w:u w:val="single" w:color="auto"/>
          <w:color w:val="auto"/>
        </w:rPr>
        <w:t>Cashless Exercise Under Certain Circumstances</w:t>
      </w:r>
      <w:r>
        <w:rPr>
          <w:rFonts w:ascii="Arial" w:cs="Arial" w:eastAsia="Arial" w:hAnsi="Arial"/>
          <w:sz w:val="18"/>
          <w:szCs w:val="18"/>
          <w:color w:val="auto"/>
        </w:rPr>
        <w:t>.</w:t>
      </w:r>
    </w:p>
    <w:p>
      <w:pPr>
        <w:spacing w:after="0" w:line="225" w:lineRule="exact"/>
        <w:rPr>
          <w:sz w:val="20"/>
          <w:szCs w:val="20"/>
          <w:color w:val="auto"/>
        </w:rPr>
      </w:pPr>
    </w:p>
    <w:p>
      <w:pPr>
        <w:jc w:val="both"/>
        <w:ind w:firstLine="2601"/>
        <w:spacing w:after="0" w:line="255" w:lineRule="auto"/>
        <w:tabs>
          <w:tab w:leader="none" w:pos="28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provide to the Holder and the Warrant Agent prompt written notice of any time that there is no effective registration statement registering, or the prospectus contained therein is not available for the issuance of the Warrant Shares to the Holder (each a “Restrictive Legend Event”). To the extent that a Restrictive Legend Event occurs after the Holder has exercised a Warrant in accordance with the terms of the Warrants but prior to the delivery of the Warrant Shares, the Company shall, at the election of the Holder to be given within five (5) Business Days of receipt of notice of the Restrictive Legend Event, either (A) rescind the previously submitted Notice of Exercise and the Company shall return all consideration paid by the Holder for such shares upon such rescission or (B) treat the attempted exercise as a cashless exercise as described in the next paragraph and refund the cash portion of the Exercise Price to the Holder.</w:t>
      </w:r>
    </w:p>
    <w:p>
      <w:pPr>
        <w:spacing w:after="0" w:line="189" w:lineRule="exact"/>
        <w:rPr>
          <w:rFonts w:ascii="Arial" w:cs="Arial" w:eastAsia="Arial" w:hAnsi="Arial"/>
          <w:sz w:val="18"/>
          <w:szCs w:val="18"/>
          <w:color w:val="auto"/>
        </w:rPr>
      </w:pPr>
    </w:p>
    <w:p>
      <w:pPr>
        <w:jc w:val="both"/>
        <w:ind w:firstLine="2601"/>
        <w:spacing w:after="0" w:line="286" w:lineRule="auto"/>
        <w:tabs>
          <w:tab w:leader="none" w:pos="2882"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a “cashless exercise,” the Holder shall be entitled to receive a certificate (or book entry) for the number of Warrant Shares as calculated pursuant to Section 2(c) of the Form of Warrant. The Company shall calculate and transmit to the Warrant Agent, and the Warrant Agent shall have no obligation under this section to calculate, the number of Warrant Shares issuable in connection with a cashless exercise.</w:t>
      </w:r>
    </w:p>
    <w:p>
      <w:pPr>
        <w:spacing w:after="0" w:line="166" w:lineRule="exact"/>
        <w:rPr>
          <w:sz w:val="20"/>
          <w:szCs w:val="20"/>
          <w:color w:val="auto"/>
        </w:rPr>
      </w:pPr>
    </w:p>
    <w:p>
      <w:pPr>
        <w:ind w:right="20" w:firstLine="1945"/>
        <w:spacing w:after="0" w:line="277" w:lineRule="auto"/>
        <w:rPr>
          <w:sz w:val="20"/>
          <w:szCs w:val="20"/>
          <w:color w:val="auto"/>
        </w:rPr>
      </w:pPr>
      <w:r>
        <w:rPr>
          <w:rFonts w:ascii="Arial" w:cs="Arial" w:eastAsia="Arial" w:hAnsi="Arial"/>
          <w:sz w:val="18"/>
          <w:szCs w:val="18"/>
          <w:color w:val="auto"/>
        </w:rPr>
        <w:t xml:space="preserve">3.3.8 </w:t>
      </w: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applicable Holders the number of Warrant Shares that are not disputed.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3.3.9 </w:t>
      </w:r>
      <w:r>
        <w:rPr>
          <w:rFonts w:ascii="Arial" w:cs="Arial" w:eastAsia="Arial" w:hAnsi="Arial"/>
          <w:sz w:val="18"/>
          <w:szCs w:val="18"/>
          <w:u w:val="single" w:color="auto"/>
          <w:color w:val="auto"/>
        </w:rPr>
        <w:t>Cost Basis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64" w:lineRule="auto"/>
        <w:tabs>
          <w:tab w:leader="none" w:pos="214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of a cash exercise, the Company shall instruct the Warrant Agent to record cost basis for newly issued shares as reasonably determined by the Company prior to processing. In the absence of basis information provided by the Company, securities will be recorded by the Warrant Agent as noncovered.</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14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of a cashless exercise: the Company shall provide cost basis for shares issued pursuant to a cashless exercise at the time the Company confirms the number of Warrant Shares issuable in connection with the cashless exercise to the Warrant Agent pursuant to Section 3.3.7 hereof.</w:t>
      </w:r>
    </w:p>
    <w:p>
      <w:pPr>
        <w:spacing w:after="0" w:line="181" w:lineRule="exact"/>
        <w:rPr>
          <w:rFonts w:ascii="Arial" w:cs="Arial" w:eastAsia="Arial" w:hAnsi="Arial"/>
          <w:sz w:val="18"/>
          <w:szCs w:val="18"/>
          <w:color w:val="auto"/>
        </w:rPr>
      </w:pPr>
    </w:p>
    <w:p>
      <w:pPr>
        <w:jc w:val="both"/>
        <w:ind w:firstLine="656"/>
        <w:spacing w:after="0" w:line="291" w:lineRule="auto"/>
        <w:tabs>
          <w:tab w:leader="none" w:pos="84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Warrants shall be subject to certain adjustments pursuant to Section 3 of the Form of Warrant. Upon every adjustment to the Exercise Price or the number of Warrant Shares, the Company shall promptly give written notice thereof to the Warrant Agent, which notice shall include a reasonably detailed description of such adjustment, and shall state the Exercise Price resulting from such adjustment and the increase or decrease, if any, in the number of Warrant Shares purchasable upon the exercise of a Warrant, setting forth in reasonable detail the method of calculation and the facts upon which such calculation is based, and any other relevant instructions in connection therewith. The Company further agrees that it will provide to the Warrant Agent any new or amended Warrant exercise terms. The Warrant Agent shall have no obligation to determine whether any adjustment to the Exercise Price or the number of Warrant Shares has occurred or to calculate any of the adjustments set forth in this Warrant Agreement or the Form of Warrant.</w:t>
      </w:r>
    </w:p>
    <w:p>
      <w:pPr>
        <w:spacing w:after="0" w:line="167" w:lineRule="exact"/>
        <w:rPr>
          <w:rFonts w:ascii="Arial" w:cs="Arial" w:eastAsia="Arial" w:hAnsi="Arial"/>
          <w:sz w:val="16"/>
          <w:szCs w:val="16"/>
          <w:color w:val="auto"/>
        </w:rPr>
      </w:pPr>
    </w:p>
    <w:p>
      <w:pPr>
        <w:ind w:left="840" w:hanging="184"/>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properly endorsed and accompanied by appropriate instructions for transfer. Notwithstanding the terms of the Form of Warrant or the Assignment Form annexed as “Exhibit B” thereto, a party requesting transfer of Warrants must provide any evidence of authority that may be required by the Warrant Agent, including but not limited to, a signature guarantee from an eligible guarantor institution participating in a signature guarantee program approved by the Securities Transfer Association. Upon any such transfer, a new Warrant representing an equal aggregate number of Warrants shall be issued and the old Warrant shall be cancelled by the Warrant Agent. The Warrants so cancelled shall be delivered by the Warrant Agent to the Company from time to time upon request. Notwithstanding anything to the contrary in the Form of Warrant, the Holder shall be required to physically surrender a Warrant Certificate in physical form in order to assign or transfer any portion of such Warrant Certificate.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1297"/>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reasonably acceptable to Warrant Agent, duly executed by the Holder thereof, or by a duly authorized attorney, and thereupon the Warrant Agent shall issue in exchange therefor one or more new Warrants as requested by the Holder of the Warrants so surrendered, representing an equal aggregate number of Warrants; provided, however, that except as otherwise provided herein or in any Book-Entry Warrant Certificate, each Book-Entry Warrant Certificate may be transferred only in whole and only to the Depository, to another nominee of the Depository, to a successor depository, or to a nominee of a successor depository; provided further,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 Upon any such registration of transfer, the Company shall execute, and the Warrant Agent shall countersign and deliver, in the name of the designated transferee a new Warrant Certificate or Warrant Certificates of any authorized denomination evidencing in the aggregate a like number of unexercised Warrants.</w:t>
      </w:r>
    </w:p>
    <w:p>
      <w:pPr>
        <w:spacing w:after="0" w:line="19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or a Book-Entry Warrant Certificate for a fraction of a Warrant.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A service charge shall be made for any exchange or registration of transfer of Warrants, as negotiated between Company and Warrant Agent.</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4,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jc w:val="both"/>
        <w:ind w:firstLine="656"/>
        <w:spacing w:after="0" w:line="259" w:lineRule="auto"/>
        <w:tabs>
          <w:tab w:leader="none" w:pos="8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Limitations on Exercise</w:t>
      </w:r>
      <w:r>
        <w:rPr>
          <w:rFonts w:ascii="Arial" w:cs="Arial" w:eastAsia="Arial" w:hAnsi="Arial"/>
          <w:sz w:val="18"/>
          <w:szCs w:val="18"/>
          <w:color w:val="auto"/>
        </w:rPr>
        <w:t>. Neither the Warrant Agent nor the Company shall effect any exercise of any Warrant, and no Holder shall have the right to exercise any portion of a Warrant, to the extent provided in Section 2(e) of the Form of Warrant. Notwithstanding anything in this Warrant Agreement to the contrary, the Warrant Agent shall incur no liability and shall not be responsible if any Holder exceeds the beneficial owner limitation sets forth in Section 2(e) of the Form of Warrant or breaches any other term or provision thereof.</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Except as otherwise specifically provided herein (including the Form of Warrant), a Holder, solely in its capacity as an owner of a Warrant, shall not be entitled to vote or receive dividends or be deemed the holder of share capital of the Company for any purpose, nor shall anything contained in this Warrant Agreement be construed to confer upon a Holder, solely in its capacity as the owner of a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a Warrant. For the avoidance of doubt, ownership of a Warrant does not entitle the Holder or any beneficial owner thereof to any of the rights of a stockholder.</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absent notice to the Company or Warrant Agent that such certificates have been acquired by a protected purchaser, and in the case of any lost, stolen or destroyed Warrant, upon receipt by it and the Warrant Agent of indemnity or security satisfactory to it and the Warrant Agent, the Company may issue, in a form mutually agreed to by Warrant Agent and the Company, a new Warrant of like denomination, tenor and date as the Warrant so lost, stolen, mutilated or destroyed, and countersigned by the Warrant Agent. Any such new Warrant shall constitute a substitute contractual obligation of the Company, whether or not the allegedly lost, stolen, mutilated or destroyed Warrant shall be at any time enforceable by anyone. Warrant Agent may, at its option, countersign replacement Warrants for mutilated certificates upon presentation thereof without such indemnity.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ind w:firstLine="1297"/>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left="840" w:hanging="184"/>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Concerning the Warrant Agent</w:t>
      </w:r>
      <w:r>
        <w:rPr>
          <w:rFonts w:ascii="Arial" w:cs="Arial" w:eastAsia="Arial" w:hAnsi="Arial"/>
          <w:sz w:val="18"/>
          <w:szCs w:val="18"/>
          <w:color w:val="auto"/>
        </w:rPr>
        <w:t>. The Warrant Agent:</w:t>
      </w:r>
    </w:p>
    <w:p>
      <w:pPr>
        <w:spacing w:after="0" w:line="225" w:lineRule="exact"/>
        <w:rPr>
          <w:sz w:val="20"/>
          <w:szCs w:val="20"/>
          <w:color w:val="auto"/>
        </w:rPr>
      </w:pPr>
    </w:p>
    <w:p>
      <w:pPr>
        <w:ind w:firstLine="1953"/>
        <w:spacing w:after="0" w:line="277" w:lineRule="auto"/>
        <w:tabs>
          <w:tab w:leader="none" w:pos="2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have no duties or obligations other than those set forth herein and no duties or obligations shall be inferred or implied, including, without limitation, the duties and obligations of the Company set forth in the Form of Warrant;</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1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rely on and shall be held harmless and protected by the Company in acting upon any certificate, statement, instrument, opinion, notice, letter, facsimile transmission, telegram or other document, or any security delivered to it, and believed by it to be genuine and to have been made or signed by the proper party or parties;</w:t>
      </w:r>
    </w:p>
    <w:p>
      <w:pPr>
        <w:spacing w:after="0" w:line="181" w:lineRule="exact"/>
        <w:rPr>
          <w:rFonts w:ascii="Arial" w:cs="Arial" w:eastAsia="Arial" w:hAnsi="Arial"/>
          <w:sz w:val="18"/>
          <w:szCs w:val="18"/>
          <w:color w:val="auto"/>
        </w:rPr>
      </w:pPr>
    </w:p>
    <w:p>
      <w:pPr>
        <w:ind w:firstLine="1953"/>
        <w:spacing w:after="0" w:line="277" w:lineRule="auto"/>
        <w:tabs>
          <w:tab w:leader="none" w:pos="2154"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rely on and shall be held harmless by the Company in acting upon written or oral instructions or statements from the Company with respect to any matter relating to its acting as Warrant Agent;</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consult with counsel satisfactory to it (including counsel for the Company) and shall be held harmless by the Company in relying on the advice or opinion of such counsel in respect of any action taken, suffered or omitted by it hereunder in accordance with such advice or opinion of such counsel;</w:t>
      </w:r>
    </w:p>
    <w:p>
      <w:pPr>
        <w:spacing w:after="0" w:line="181" w:lineRule="exact"/>
        <w:rPr>
          <w:rFonts w:ascii="Arial" w:cs="Arial" w:eastAsia="Arial" w:hAnsi="Arial"/>
          <w:sz w:val="18"/>
          <w:szCs w:val="18"/>
          <w:color w:val="auto"/>
        </w:rPr>
      </w:pPr>
    </w:p>
    <w:p>
      <w:pPr>
        <w:jc w:val="both"/>
        <w:ind w:right="20" w:firstLine="1953"/>
        <w:spacing w:after="0" w:line="264" w:lineRule="auto"/>
        <w:tabs>
          <w:tab w:leader="none" w:pos="21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solely shall make the final determination as to whether or not a Warrant received by Warrant Agent is duly, completely and correctly executed, and Warrant Agent shall be held harmless by the Company in respect of any action taken, suffered or omitted by Warrant Agent hereunder in accordance with its determination;</w:t>
      </w:r>
    </w:p>
    <w:p>
      <w:pPr>
        <w:spacing w:after="0" w:line="181" w:lineRule="exact"/>
        <w:rPr>
          <w:rFonts w:ascii="Arial" w:cs="Arial" w:eastAsia="Arial" w:hAnsi="Arial"/>
          <w:sz w:val="18"/>
          <w:szCs w:val="18"/>
          <w:color w:val="auto"/>
        </w:rPr>
      </w:pPr>
    </w:p>
    <w:p>
      <w:pPr>
        <w:ind w:firstLine="1953"/>
        <w:spacing w:after="0" w:line="277" w:lineRule="auto"/>
        <w:tabs>
          <w:tab w:leader="none" w:pos="21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not be obligated to take any legal or other action hereunder which might, in its judgment, subject or expose it to any expense or liability unless it shall have been furnished with an indemnity satisfactory to it;</w:t>
      </w:r>
    </w:p>
    <w:p>
      <w:pPr>
        <w:spacing w:after="0" w:line="170" w:lineRule="exact"/>
        <w:rPr>
          <w:rFonts w:ascii="Arial" w:cs="Arial" w:eastAsia="Arial" w:hAnsi="Arial"/>
          <w:sz w:val="18"/>
          <w:szCs w:val="18"/>
          <w:color w:val="auto"/>
        </w:rPr>
      </w:pPr>
    </w:p>
    <w:p>
      <w:pPr>
        <w:ind w:firstLine="1953"/>
        <w:spacing w:after="0" w:line="277" w:lineRule="auto"/>
        <w:tabs>
          <w:tab w:leader="none" w:pos="2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not be liable or responsible for any failure of the Company to comply with any of the Company’s obligations relating to the Registration Statement or this Warrant Agreement, including without limitation obligations under applicable regulation or law;</w:t>
      </w:r>
    </w:p>
    <w:p>
      <w:pPr>
        <w:spacing w:after="0" w:line="170" w:lineRule="exact"/>
        <w:rPr>
          <w:rFonts w:ascii="Arial" w:cs="Arial" w:eastAsia="Arial" w:hAnsi="Arial"/>
          <w:sz w:val="18"/>
          <w:szCs w:val="18"/>
          <w:color w:val="auto"/>
        </w:rPr>
      </w:pPr>
    </w:p>
    <w:p>
      <w:pPr>
        <w:jc w:val="both"/>
        <w:ind w:right="20" w:firstLine="1953"/>
        <w:spacing w:after="0" w:line="264" w:lineRule="auto"/>
        <w:tabs>
          <w:tab w:leader="none" w:pos="21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1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not have any duty or responsibility in the case of the receipt of any written demand from any holder of Warrants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1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and nothing herein shall preclude the Warrant Agent from acting in any other capacity for the Company or for any other legal entity;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firstLine="1953"/>
        <w:spacing w:after="0" w:line="279" w:lineRule="auto"/>
        <w:tabs>
          <w:tab w:leader="none" w:pos="2154"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absent gross negligence, bad faith or wilful misconduct (each as determined by a final judgment of a court of competent jurisdiction) in the selection and continued employment thereof;</w:t>
      </w:r>
    </w:p>
    <w:p>
      <w:pPr>
        <w:spacing w:after="0" w:line="171" w:lineRule="exact"/>
        <w:rPr>
          <w:rFonts w:ascii="Arial" w:cs="Arial" w:eastAsia="Arial" w:hAnsi="Arial"/>
          <w:sz w:val="17"/>
          <w:szCs w:val="17"/>
          <w:color w:val="auto"/>
        </w:rPr>
      </w:pPr>
    </w:p>
    <w:p>
      <w:pPr>
        <w:ind w:right="20" w:firstLine="1953"/>
        <w:spacing w:after="0" w:line="342" w:lineRule="auto"/>
        <w:tabs>
          <w:tab w:leader="none" w:pos="21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shall not be obligated to expend or risk its own funds or to take any action that it believes is illegal or would expose or subject it to expense or liability or to a risk of incurring expense or liability, unless it has been furnished with assurances of repayment or indemnity satisfactory to it;</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shall not be accountable or under any duty or responsibility for the use by the Company of any Warrants authenticated by the Warrant Agent and delivered by it to the Company pursuant to this Warrant Agreement or for the application by the Company of the proceeds of the issue and sale, or exercise, of the Warrants; and</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1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Warrant Shares upon the exercise of Warrants, but the Warrant Agent shall not be obligated to pay any transfer taxes in respect of the Warrants or such Warrant Shares. The Warrant Agent shall not register any transfer or issue or deliver any Warrant Certificate(s) or Warrant Shares unless or until the persons requesting the registration or issuance shall have paid to the Warrant Agent for the account of the Company the amount of such tax, if any, or shall have established to the reasonable satisfaction of the Company and the Warrant Agent that such tax, if any, has been paid.</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calendar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calendar days after it has been notified in writing of such resignation or incapacity by the Warrant Agent or by the Holder (who shall, with such notice, submit such Holder’s Warrants for inspection by the Company), then such Holder may apply to the Supreme Court of the State of New York for the County of New York for the appointment of a successor Warrant Agent, the expenses of which shall be paid by the Company. Any successor Warrant Agent (but not including the initial Warrant Agent), whether appointed by the Company or by such court, shall be an entity in good standing and organized and existing under the laws of any jurisdiction in the United States,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in its discretion,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both"/>
        <w:ind w:firstLine="1945"/>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Common Stock not later than thirty (30) days before the effective date of any such appointment.</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8.3.3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Warrant Agreement without any further act on the part of the Company or the Warrant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in an amount separately agreed to between Company and Warrant Agent for its services as Warrant Agent hereunder and will reimburse the Warrant Agent upon demand for all expenditures that the Warrant Agent may reasonably incur in the execution of its duties hereunder. One half of the total Warrant Agent fees (not including postage) must be paid upon execution of this Warrant Agreement. The remaining half must be paid within fifteen (15) Business Days thereafter. An invoice for any out-of-pocket and/or per item fees incurred will be rendered to and payable by the Company within fifteen (15) Business Days of the date of said invoice. It is understood and agreed that all services to be performed by Warrant Agent shall cease if full payment for its services has not been received in accordance with the above schedule, and said services will not commence thereafter until all payment due has been received by Warrant Agent.</w:t>
      </w:r>
    </w:p>
    <w:p>
      <w:pPr>
        <w:spacing w:after="0" w:line="16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documents,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color w:val="auto"/>
        </w:rPr>
        <w:t xml:space="preserve">8.5.1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Chief Executive Officer or Chief Financial Officer of the Company and delivered to the Warrant Agent. The Warrant Agent may rely upon, and be held harmless for such reliance upon, such statement for any action taken or suffered by it pursuant to the provisions of this Warrant Agreement, and shall not be held liable in connection with any delay in receiving such statement.</w:t>
      </w:r>
    </w:p>
    <w:p>
      <w:pPr>
        <w:spacing w:after="0" w:line="178"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7"/>
          <w:szCs w:val="17"/>
          <w:color w:val="auto"/>
        </w:rPr>
        <w:t xml:space="preserve">8.5.2 </w:t>
      </w:r>
      <w:r>
        <w:rPr>
          <w:rFonts w:ascii="Arial" w:cs="Arial" w:eastAsia="Arial" w:hAnsi="Arial"/>
          <w:sz w:val="17"/>
          <w:szCs w:val="17"/>
          <w:u w:val="single" w:color="auto"/>
          <w:color w:val="auto"/>
        </w:rPr>
        <w:t>Indemnity</w:t>
      </w:r>
      <w:r>
        <w:rPr>
          <w:rFonts w:ascii="Arial" w:cs="Arial" w:eastAsia="Arial" w:hAnsi="Arial"/>
          <w:sz w:val="17"/>
          <w:szCs w:val="17"/>
          <w:color w:val="auto"/>
        </w:rPr>
        <w:t>. The Warrant Agent shall be liable hereunder only for its own gross negligence, willful misconduct or bad faith (each as determined by a final judgment of a court of competent jurisdiction). The Company covenants and agrees to indemnify and to hold the Warrant Agent harmless against any and all liabilities, costs, expenses (including reasonable fees of its legal counsel), losses, judgments, claims, or damages, which may be paid, incurred or suffered by or to which it may become subject, arising from or out of, directly or indirectly, any claims or liability resulting from its actions as Warrant Agent pursuant hereto; provided, that such covenant and agreement does not extend to, and the Warrant Agent shall not be indemnified with respect to, such costs, expenses, losses and damages incurred or suffered by the Warrant Agent as a result of, or arising out of, its gross negligence, bad faith, or willful misconduct (each as determined by a final judgment of a court of competent jurisdiction).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jc w:val="both"/>
        <w:ind w:firstLine="1945"/>
        <w:spacing w:after="0" w:line="257" w:lineRule="auto"/>
        <w:rPr>
          <w:sz w:val="20"/>
          <w:szCs w:val="20"/>
          <w:color w:val="auto"/>
        </w:rPr>
      </w:pPr>
      <w:r>
        <w:rPr>
          <w:rFonts w:ascii="Arial" w:cs="Arial" w:eastAsia="Arial" w:hAnsi="Arial"/>
          <w:sz w:val="18"/>
          <w:szCs w:val="18"/>
          <w:color w:val="auto"/>
        </w:rPr>
        <w:t xml:space="preserve">8.5.3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Notwithstanding anything contained herein to the contrary, the Warrant Agent’s aggregate liability, if any, during the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or payable hereunder by the Company to Warrant Agent as fees and charges (not including reimbursable expenses) during the twelve (12) months immediately preceding the event for which recovery from the Warrant Agent is being sought.</w:t>
      </w:r>
    </w:p>
    <w:p>
      <w:pPr>
        <w:spacing w:after="0" w:line="215" w:lineRule="exact"/>
        <w:rPr>
          <w:sz w:val="20"/>
          <w:szCs w:val="20"/>
          <w:color w:val="auto"/>
        </w:rPr>
      </w:pPr>
    </w:p>
    <w:p>
      <w:pPr>
        <w:jc w:val="both"/>
        <w:ind w:firstLine="1945"/>
        <w:spacing w:after="0" w:line="254" w:lineRule="auto"/>
        <w:rPr>
          <w:sz w:val="20"/>
          <w:szCs w:val="20"/>
          <w:color w:val="auto"/>
        </w:rPr>
      </w:pPr>
      <w:r>
        <w:rPr>
          <w:rFonts w:ascii="Arial" w:cs="Arial" w:eastAsia="Arial" w:hAnsi="Arial"/>
          <w:sz w:val="18"/>
          <w:szCs w:val="18"/>
          <w:color w:val="auto"/>
        </w:rPr>
        <w:t xml:space="preserve">8.5.4 </w:t>
      </w:r>
      <w:r>
        <w:rPr>
          <w:rFonts w:ascii="Arial" w:cs="Arial" w:eastAsia="Arial" w:hAnsi="Arial"/>
          <w:sz w:val="18"/>
          <w:szCs w:val="18"/>
          <w:u w:val="single" w:color="auto"/>
          <w:color w:val="auto"/>
        </w:rPr>
        <w:t>Disputes</w:t>
      </w:r>
      <w:r>
        <w:rPr>
          <w:rFonts w:ascii="Arial" w:cs="Arial" w:eastAsia="Arial" w:hAnsi="Arial"/>
          <w:sz w:val="18"/>
          <w:szCs w:val="18"/>
          <w:color w:val="auto"/>
        </w:rPr>
        <w:t>. In the event any question or dispute arises with respect to the proper interpretation of this Warrant Agreement or the Warrant Agent’s duties hereunder or the rights of the Company or of any Holder, the Warrant Agent shall not be required to act and shall not be held liable or responsible for refusing to act until the question or dispute has been judicially settled (and the Warrant Agent may, if it deems it advisable, but shall not be obligated to, file a suit in interpleader or for a declaratory judgment for such purpose) by final judgment rendered by a court of competent jurisdiction, binding on all parties interested in the matter which is no longer subject to review or appeal, or settled by a written document in form and substance satisfactory to the Warrant Agent and executed by the Company and each other interested party. In addition, the Warrant Agent may require for such purpose, but shall not be obligated to require, the execution of such written settlement by all of the Holders of the Warrants and all other parties that may have an interest in the settlement.</w:t>
      </w:r>
    </w:p>
    <w:p>
      <w:pPr>
        <w:spacing w:after="0" w:line="192" w:lineRule="exact"/>
        <w:rPr>
          <w:sz w:val="20"/>
          <w:szCs w:val="20"/>
          <w:color w:val="auto"/>
        </w:rPr>
      </w:pPr>
    </w:p>
    <w:p>
      <w:pPr>
        <w:jc w:val="both"/>
        <w:ind w:firstLine="1945"/>
        <w:spacing w:after="0" w:line="290" w:lineRule="auto"/>
        <w:rPr>
          <w:sz w:val="20"/>
          <w:szCs w:val="20"/>
          <w:color w:val="auto"/>
        </w:rPr>
      </w:pPr>
      <w:r>
        <w:rPr>
          <w:rFonts w:ascii="Arial" w:cs="Arial" w:eastAsia="Arial" w:hAnsi="Arial"/>
          <w:sz w:val="16"/>
          <w:szCs w:val="16"/>
          <w:color w:val="auto"/>
        </w:rPr>
        <w:t xml:space="preserve">8.5.5 </w:t>
      </w:r>
      <w:r>
        <w:rPr>
          <w:rFonts w:ascii="Arial" w:cs="Arial" w:eastAsia="Arial" w:hAnsi="Arial"/>
          <w:sz w:val="16"/>
          <w:szCs w:val="16"/>
          <w:u w:val="single" w:color="auto"/>
          <w:color w:val="auto"/>
        </w:rPr>
        <w:t>Exclusions</w:t>
      </w:r>
      <w:r>
        <w:rPr>
          <w:rFonts w:ascii="Arial" w:cs="Arial" w:eastAsia="Arial" w:hAnsi="Arial"/>
          <w:sz w:val="16"/>
          <w:szCs w:val="16"/>
          <w:color w:val="auto"/>
        </w:rPr>
        <w:t>. The Warrant Agent shall have no responsibility with respect to the validity of this Warrant Agreement or with respect to the validity or execution of any Warrant (except its countersignature hereof and thereof); nor shall it be responsible for any breach by the Company of any covenant or condition contained in this Warrant Agreement or in any Warrant; nor shall it be responsible to make any adjustments required under the provisions of the Warrant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Warrant Shares to be issued pursuant to this Warrant Agreement or any Warrant or as to whether any Warrant Shares will, when issued, be validly issued and fully paid and nonassessable. Notwithstanding anything in this Warrant Agreement to the contrary, in no event shall the Warrant Agent be subject to the liquidated damages set forth in Section 2(d)(i) of the Form of Warrant or any cash payment set forth in Section 2(d)(iv) of the Form of Warrant.</w:t>
      </w:r>
    </w:p>
    <w:p>
      <w:pPr>
        <w:spacing w:after="0" w:line="166"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7"/>
          <w:szCs w:val="17"/>
          <w:color w:val="auto"/>
        </w:rPr>
        <w:t xml:space="preserve">8.5.6 </w:t>
      </w:r>
      <w:r>
        <w:rPr>
          <w:rFonts w:ascii="Arial" w:cs="Arial" w:eastAsia="Arial" w:hAnsi="Arial"/>
          <w:sz w:val="17"/>
          <w:szCs w:val="17"/>
          <w:u w:val="single" w:color="auto"/>
          <w:color w:val="auto"/>
        </w:rPr>
        <w:t>Instructions</w:t>
      </w:r>
      <w:r>
        <w:rPr>
          <w:rFonts w:ascii="Arial" w:cs="Arial" w:eastAsia="Arial" w:hAnsi="Arial"/>
          <w:sz w:val="17"/>
          <w:szCs w:val="17"/>
          <w:color w:val="auto"/>
        </w:rPr>
        <w:t>. From time to time, the Company may provide the Warrant Agent with instructions concerning the services performed by the Warrant Agent hereunder. In addition, at any time the Warrant Agent may apply to any officer of Company for instruction, and may consult with legal counsel for the Warrant Agent or the Company with respect to any matter arising in connection with the services to be performed by the Warrant Agent under this Warrant Agreement. Warrant Agent and its agents and subcontractors shall not be liable and shall be indemnified by Company for any action taken, suffered or omitted to be taken by Warrant Agent in reliance upon any Company instructions or upon the advice or opinion of such counsel. The Warrant Agent shall not be held to have notice of any change of authority of any person, until receipt of written notice thereof from Company. Furthermore, the Warrant Agent shall not be required to take notice or be deemed to have notice of any event or condition under this Warrant Agreement,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Ambiguity or Uncertainty</w:t>
      </w:r>
      <w:r>
        <w:rPr>
          <w:rFonts w:ascii="Arial" w:cs="Arial" w:eastAsia="Arial" w:hAnsi="Arial"/>
          <w:sz w:val="18"/>
          <w:szCs w:val="18"/>
          <w:color w:val="auto"/>
        </w:rPr>
        <w:t>. In the event the Warrant Agent believes any ambiguity or uncertainty exists hereunder or in any notice, instruction, direction, request or other communication, paper or document received by the Warrant Agent hereunder, the Warrant Agent, may, in its sole discretion, refrain from taking any action, and shall be fully protected and shall not be liable in any way to Company, any Holder, or any other person or entity for refraining from taking such action, unless the Warrant Agent receives written instructions signed by the Company which eliminates such ambiguity or uncertainty to the satisfaction of Warrant Agent.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jc w:val="both"/>
        <w:ind w:firstLine="1297"/>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Warrant Shares through the exercise of Warrants.</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Bank Accounts</w:t>
      </w:r>
      <w:r>
        <w:rPr>
          <w:rFonts w:ascii="Arial" w:cs="Arial" w:eastAsia="Arial" w:hAnsi="Arial"/>
          <w:sz w:val="18"/>
          <w:szCs w:val="18"/>
          <w:color w:val="auto"/>
        </w:rPr>
        <w:t>. The Company acknowledges that the bank accounts maintained by Computershare in connection with the services provided under this Agreement will be in its name and that Computershare may receive investment earnings in connection with the investment at Computershare’s risk and for its benefit of funds held in those accounts from time to time. Neither the Company nor Holders will receive interest on any deposits.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Section 8 shall survive the termination of this Warrant Agreement and the resignation, removal, or replacement of the Warrant Agent.</w:t>
      </w:r>
    </w:p>
    <w:p>
      <w:pPr>
        <w:spacing w:after="0" w:line="170" w:lineRule="exact"/>
        <w:rPr>
          <w:sz w:val="20"/>
          <w:szCs w:val="20"/>
          <w:color w:val="auto"/>
        </w:rPr>
      </w:pPr>
    </w:p>
    <w:p>
      <w:pPr>
        <w:ind w:left="840" w:hanging="184"/>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or demand authorized by this Warrant Agreement to be given or made by the Warrant Agent or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to or on the Company shall be addressed (until another address is filed in writing by the Company with the Warrant Agent), as follows:</w:t>
      </w:r>
    </w:p>
    <w:p>
      <w:pPr>
        <w:spacing w:after="0" w:line="21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South San Francisco, CA 94080</w:t>
      </w:r>
    </w:p>
    <w:p>
      <w:pPr>
        <w:spacing w:after="0" w:line="23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Shawn Singh</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888-482-2602</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ssingh@vistagen.com</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Disclosure Law Group, APC</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600 West Broadway, Suite 700</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San Diego, CA 92101</w:t>
      </w:r>
    </w:p>
    <w:p>
      <w:pPr>
        <w:spacing w:after="0" w:line="23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Daniel W. Rumsey, Esq.</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619-330-2101</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Email: drumsey@disclosurelawgroup.com</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Sullivan &amp; Worcester LLP</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1633 Broadway</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Attn: Oded Har-Even, Esq.</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(212) 660-3001</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ohareven@zag-sw.com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right="300" w:firstLine="648"/>
        <w:spacing w:after="0" w:line="277" w:lineRule="auto"/>
        <w:rPr>
          <w:sz w:val="20"/>
          <w:szCs w:val="20"/>
          <w:color w:val="auto"/>
        </w:rPr>
      </w:pPr>
      <w:r>
        <w:rPr>
          <w:rFonts w:ascii="Arial" w:cs="Arial" w:eastAsia="Arial" w:hAnsi="Arial"/>
          <w:sz w:val="18"/>
          <w:szCs w:val="18"/>
          <w:color w:val="auto"/>
        </w:rPr>
        <w:t>Any notice, statement or demand authorized by this Warrant Agreement to be given or made by a Holder or by the Company to or on the Warrant Agent shall be addressed (until another address is filed in writing by the Warrant Agent with the Company), as follows:</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250 Royall Street</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Attn: Client Administration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notice, statement or demand authorized by this Warrant Agreement to be given to a Holder shall be delivered to its address, facsimile number or email address set forth in the books and records of the Company or on the Warrant Register.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sent pursuant to this Warrant Agreement shall be effective as provided in the Form of Warrant.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spacing w:after="0" w:line="16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Holders of the Warrants and, for purposes of Sections 3.3 and 9.3, the Underwriters identified in the Registration Statement (the “Underwriters”) and for purposes of Section 9.8, the Representative (as defined in the Registration Statement), any right, remedy, or claim under or by reason of this Warrant Agreement or of any covenant, condition, stipulation, promise, or agreement hereof. The Underwriters and the Representative shall be deemed to be an express third-party beneficiary of this Warrant Agreement with respect to Sections 3.3, 9.3 and 9.8 hereof, as applicable. All covenants, conditions, stipulations, promises, and agreements contained in this Warrant Agreement shall be for the sole and exclusive benefit of the parties hereto (and the Underwriters and the Representative with respect to the Sections 3.3, 9.3 and 9.8 hereof, as applicable) and their successors and assigns and of the Holders.</w:t>
      </w:r>
    </w:p>
    <w:p>
      <w:pPr>
        <w:spacing w:after="0" w:line="166"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this Warrant Agreement</w:t>
      </w:r>
      <w:r>
        <w:rPr>
          <w:rFonts w:ascii="Arial" w:cs="Arial" w:eastAsia="Arial" w:hAnsi="Arial"/>
          <w:sz w:val="18"/>
          <w:szCs w:val="18"/>
          <w:color w:val="auto"/>
        </w:rPr>
        <w:t>. A copy of this Warrant Agreement shall be available at all reasonable times, upon reasonable notice, at the office of the Warrant Agent, for inspection by any Holder. The Warrant Agent may require any such Holder to submit his Warrant for inspection by it.</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1297"/>
        <w:spacing w:after="0" w:line="271"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Warrant Agreement may be amended by the parties hereto without the consent of any Holder for the purpose of curing any ambiguity, or of curing, correcting or supplementing any defective provision contained herein or adding or changing any other provisions with respect to matters or questions arising under this Warrant Agreement as the parties may deem necessary or desirable and that the parties deem shall not adversely affect the interest of the Holders. All other modifications or amendments, including any amendment to increase the Exercise Price or shorten the Exercise Period, shall require the written consent of the Representative and the Holders of a majority of the then outstanding Warrants. As a condition precedent to the Warrant Agent’s execution of any amendment, the Company shall deliver to the Warrant Agent a certificate from a duly authorized officer of the Company that states that the proposed amendment is in compliance with the terms of this Section 9.8. The Company shall not modify or amend any Warrant without the written consent of the Warrant Agent, which consent shall not be unreasonably withheld.</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Force Majeure</w:t>
      </w:r>
      <w:r>
        <w:rPr>
          <w:rFonts w:ascii="Arial" w:cs="Arial" w:eastAsia="Arial" w:hAnsi="Arial"/>
          <w:sz w:val="17"/>
          <w:szCs w:val="17"/>
          <w:color w:val="auto"/>
        </w:rPr>
        <w:t>. In the event either party is unable to perform its obligations under the terms of this Warrant Agreement because of acts of God, strikes, failure of carrier or utilities, equipment or transmission failure, damage that is reasonably beyond its control, terrorist acts, shortage of supply, breakdowns or malfunctions, interruptions or malfunctions of computer facilities, or loss of data due to power failures or mechanical difficulties with information storage or retrieval systems, labor difficulties, war, or civil unrest, or any other cause that is reasonably beyond its control, such party shall not be liable for damages to the other for any damages resulting from such failure to perform or otherwise from such causes. Performance under this Warrant Agreement shall resume when the affected party or parties are able to perform substantially that party’s duties.</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Warrant Agent and the Company agree that all books, records, information and data pertaining to the business of the other party, including inter alia, personal, non-public information about the Holders, which are exchanged or received pursuant to the negotiation or the carrying out of this Warrant Agreement, including the fees for services, shall remain confidential, and shall not be voluntarily disclosed to any other person, except as may be required by law, including, without limitation, pursuant to subpoenas from state or federal government authorities.</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Notwithstanding anything in this Warrant Agreement to the contrary, neither party to this Warrant Agreement shall be liable to the other party for any consequential, indirect, special, punitive, or incidental damages under any provision of this Warrant Agreement or for any consequential, indirect, punitive, special or incidental damages arising out of any act or failure to act hereunder even if that party has been advised of or has foreseen the possibility or likelihood of such damages.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Warrant</w:t>
      </w:r>
      <w:r>
        <w:rPr>
          <w:rFonts w:ascii="Arial" w:cs="Arial" w:eastAsia="Arial" w:hAnsi="Arial"/>
          <w:sz w:val="18"/>
          <w:szCs w:val="18"/>
          <w:color w:val="auto"/>
        </w:rPr>
        <w:t>. All Warrants are, and will be, issued under and in accordance with this Warrant Agreement and are subject to the terms and conditions contained in this Warrant Agreement, all of which terms and provisions all Holders and all beneficial owners of the Warrants consent by acceptance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Jerrold Dotson</w:t>
            </w:r>
          </w:p>
        </w:tc>
        <w:tc>
          <w:tcPr>
            <w:tcW w:w="380" w:type="dxa"/>
            <w:vAlign w:val="bottom"/>
          </w:tcPr>
          <w:p>
            <w:pPr>
              <w:spacing w:after="0"/>
              <w:rPr>
                <w:sz w:val="17"/>
                <w:szCs w:val="17"/>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1680" w:type="dxa"/>
            <w:vAlign w:val="bottom"/>
            <w:gridSpan w:val="3"/>
          </w:tcPr>
          <w:p>
            <w:pPr>
              <w:spacing w:after="0"/>
              <w:rPr>
                <w:sz w:val="20"/>
                <w:szCs w:val="20"/>
                <w:color w:val="auto"/>
              </w:rPr>
            </w:pPr>
            <w:r>
              <w:rPr>
                <w:rFonts w:ascii="Arial" w:cs="Arial" w:eastAsia="Arial" w:hAnsi="Arial"/>
                <w:sz w:val="18"/>
                <w:szCs w:val="18"/>
                <w:color w:val="auto"/>
              </w:rPr>
              <w:t>Jerrold Dotson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3"/>
          </w:tcPr>
          <w:p>
            <w:pPr>
              <w:spacing w:after="0"/>
              <w:rPr>
                <w:sz w:val="20"/>
                <w:szCs w:val="20"/>
                <w:color w:val="auto"/>
              </w:rPr>
            </w:pPr>
            <w:r>
              <w:rPr>
                <w:rFonts w:ascii="Arial" w:cs="Arial" w:eastAsia="Arial" w:hAnsi="Arial"/>
                <w:sz w:val="18"/>
                <w:szCs w:val="18"/>
                <w:color w:val="auto"/>
                <w:w w:val="93"/>
              </w:rPr>
              <w:t>Chief Financial Officer</w:t>
            </w:r>
          </w:p>
        </w:tc>
      </w:tr>
      <w:tr>
        <w:trPr>
          <w:trHeight w:val="864"/>
        </w:trPr>
        <w:tc>
          <w:tcPr>
            <w:tcW w:w="2480" w:type="dxa"/>
            <w:vAlign w:val="bottom"/>
            <w:gridSpan w:val="4"/>
          </w:tcPr>
          <w:p>
            <w:pPr>
              <w:spacing w:after="0"/>
              <w:rPr>
                <w:sz w:val="20"/>
                <w:szCs w:val="20"/>
                <w:color w:val="auto"/>
              </w:rPr>
            </w:pPr>
            <w:r>
              <w:rPr>
                <w:rFonts w:ascii="Arial" w:cs="Arial" w:eastAsia="Arial" w:hAnsi="Arial"/>
                <w:sz w:val="18"/>
                <w:szCs w:val="18"/>
                <w:color w:val="auto"/>
              </w:rPr>
              <w:t>COMPUTERSHARE, INC.</w:t>
            </w:r>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gridSpan w:val="3"/>
          </w:tcPr>
          <w:p>
            <w:pPr>
              <w:spacing w:after="0"/>
              <w:rPr>
                <w:sz w:val="20"/>
                <w:szCs w:val="20"/>
                <w:color w:val="auto"/>
              </w:rPr>
            </w:pPr>
            <w:r>
              <w:rPr>
                <w:rFonts w:ascii="Arial" w:cs="Arial" w:eastAsia="Arial" w:hAnsi="Arial"/>
                <w:sz w:val="18"/>
                <w:szCs w:val="18"/>
                <w:color w:val="auto"/>
              </w:rPr>
              <w:t>/s/ Neda Sheridan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Neda Sheridan</w:t>
            </w:r>
          </w:p>
        </w:tc>
        <w:tc>
          <w:tcPr>
            <w:tcW w:w="400" w:type="dxa"/>
            <w:vAlign w:val="bottom"/>
            <w:gridSpan w:val="2"/>
          </w:tcPr>
          <w:p>
            <w:pPr>
              <w:spacing w:after="0"/>
              <w:rPr>
                <w:sz w:val="19"/>
                <w:szCs w:val="19"/>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3"/>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Neda Sheridan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1280" w:type="dxa"/>
            <w:vAlign w:val="bottom"/>
          </w:tcPr>
          <w:p>
            <w:pPr>
              <w:spacing w:after="0"/>
              <w:rPr>
                <w:sz w:val="20"/>
                <w:szCs w:val="20"/>
                <w:color w:val="auto"/>
              </w:rPr>
            </w:pPr>
            <w:r>
              <w:rPr>
                <w:rFonts w:ascii="Arial" w:cs="Arial" w:eastAsia="Arial" w:hAnsi="Arial"/>
                <w:sz w:val="18"/>
                <w:szCs w:val="18"/>
                <w:color w:val="auto"/>
              </w:rPr>
              <w:t>Neda Sheridan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12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517" w:right="1019" w:bottom="1440" w:gutter="0" w:footer="0" w:header="0"/>
        </w:sectPr>
      </w:pPr>
    </w:p>
    <w:bookmarkStart w:id="57" w:name="page58"/>
    <w:bookmarkEnd w:id="57"/>
    <w:p>
      <w:pPr>
        <w:ind w:left="1042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COMMON STOCK PURCHASE WARRANT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ectPr>
          <w:pgSz w:w="11900" w:h="16838" w:orient="portrait"/>
          <w:cols w:equalWidth="0" w:num="1">
            <w:col w:w="11420"/>
          </w:cols>
          <w:pgMar w:left="240" w:top="112"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May 16, 2016</w:t>
      </w:r>
    </w:p>
    <w:p>
      <w:pPr>
        <w:spacing w:after="0" w:line="200" w:lineRule="exact"/>
        <w:rPr>
          <w:sz w:val="20"/>
          <w:szCs w:val="20"/>
          <w:color w:val="auto"/>
        </w:rPr>
      </w:pPr>
    </w:p>
    <w:p>
      <w:pPr>
        <w:sectPr>
          <w:pgSz w:w="11900" w:h="16838" w:orient="portrait"/>
          <w:cols w:equalWidth="0" w:num="2">
            <w:col w:w="8120" w:space="720"/>
            <w:col w:w="2580"/>
          </w:cols>
          <w:pgMar w:left="240" w:top="112" w:right="239" w:bottom="1440" w:gutter="0" w:footer="0" w:header="0"/>
          <w:type w:val="continuous"/>
        </w:sect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 or its assigns (the “</w:t>
      </w:r>
      <w:r>
        <w:rPr>
          <w:rFonts w:ascii="Arial" w:cs="Arial" w:eastAsia="Arial" w:hAnsi="Arial"/>
          <w:sz w:val="17"/>
          <w:szCs w:val="17"/>
          <w:u w:val="single" w:color="auto"/>
          <w:color w:val="auto"/>
        </w:rPr>
        <w:t>Holder</w:t>
      </w:r>
      <w:r>
        <w:rPr>
          <w:rFonts w:ascii="Arial" w:cs="Arial" w:eastAsia="Arial" w:hAnsi="Arial"/>
          <w:sz w:val="17"/>
          <w:szCs w:val="17"/>
          <w:color w:val="auto"/>
        </w:rPr>
        <w:t>”)</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 Date</w:t>
      </w:r>
      <w:r>
        <w:rPr>
          <w:rFonts w:ascii="Arial" w:cs="Arial" w:eastAsia="Arial" w:hAnsi="Arial"/>
          <w:sz w:val="16"/>
          <w:szCs w:val="16"/>
          <w:color w:val="auto"/>
        </w:rPr>
        <w:t>”) and on or prior to the close of business on the five year anniversary of the Initial Exercise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VistaGen Therapeutics,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the Company’s common stock (“</w:t>
      </w:r>
      <w:r>
        <w:rPr>
          <w:rFonts w:ascii="Arial" w:cs="Arial" w:eastAsia="Arial" w:hAnsi="Arial"/>
          <w:sz w:val="18"/>
          <w:szCs w:val="18"/>
          <w:u w:val="single" w:color="auto"/>
          <w:color w:val="auto"/>
        </w:rPr>
        <w:t>Common Stock</w:t>
      </w:r>
      <w:r>
        <w:rPr>
          <w:rFonts w:ascii="Arial" w:cs="Arial" w:eastAsia="Arial" w:hAnsi="Arial"/>
          <w:sz w:val="18"/>
          <w:szCs w:val="18"/>
          <w:color w:val="auto"/>
        </w:rPr>
        <w:t>”). The purchase price of one share of Common Stock under this Warrant shall be equal to the Exercise Price, as defined in Section 2(b).</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the following terms have the meanings indicated in this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Company presently existing or formed or acquired after the date 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the OTCQX or OTCQB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Inc., the current transfer agent of the Company, with a mailing address of 250 Royall Street, Canton, Massachusetts 02021 and a facsimile number of _______________, and any successor transfer agent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means that certain underwriting agreement dated May 10, 2016, by and between the Company and Chardan Capital Markets, LLC and WallachBeth Capital, LLC, as representatives of underwriters, pursuant to which this Warrant was issued.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Variable Rate Transaction</w:t>
      </w:r>
      <w:r>
        <w:rPr>
          <w:rFonts w:ascii="Arial" w:cs="Arial" w:eastAsia="Arial" w:hAnsi="Arial"/>
          <w:sz w:val="17"/>
          <w:szCs w:val="17"/>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or an “at-the-market” offering, whereby the Company may issue securities at a future determined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8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in the form annexed hereto and, within three (3) Trading Days of the date said Notice of Exercise is delivered to the Company, payment the aggregate Exercise Price of the shares thereby purchased by wire transfer or cashier’s check drawn on a United States bank or, if available, pursuant to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Warrant, acknowledge and agree</w:t>
      </w:r>
      <w:r>
        <w:rPr>
          <w:rFonts w:ascii="Arial" w:cs="Arial" w:eastAsia="Arial" w:hAnsi="Arial"/>
          <w:sz w:val="16"/>
          <w:szCs w:val="16"/>
          <w:color w:val="auto"/>
        </w:rPr>
        <w:t xml:space="preserve"> </w:t>
      </w:r>
      <w:r>
        <w:rPr>
          <w:rFonts w:ascii="Arial" w:cs="Arial" w:eastAsia="Arial" w:hAnsi="Arial"/>
          <w:sz w:val="16"/>
          <w:szCs w:val="16"/>
          <w:b w:val="1"/>
          <w:bCs w:val="1"/>
          <w:color w:val="auto"/>
        </w:rPr>
        <w:t>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firstLine="656"/>
        <w:spacing w:after="0" w:line="282" w:lineRule="auto"/>
        <w:tabs>
          <w:tab w:leader="none" w:pos="87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the Common Stock under this Warrant shall be $5.30</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56"/>
        <w:spacing w:after="0" w:line="259" w:lineRule="auto"/>
        <w:tabs>
          <w:tab w:leader="none" w:pos="83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86" w:lineRule="exact"/>
        <w:rPr>
          <w:rFonts w:ascii="Arial" w:cs="Arial" w:eastAsia="Arial" w:hAnsi="Arial"/>
          <w:sz w:val="18"/>
          <w:szCs w:val="18"/>
          <w:color w:val="auto"/>
        </w:rPr>
      </w:pPr>
    </w:p>
    <w:p>
      <w:pPr>
        <w:ind w:left="1880" w:hanging="526"/>
        <w:spacing w:after="0" w:line="259" w:lineRule="auto"/>
        <w:tabs>
          <w:tab w:leader="none" w:pos="1644" w:val="left"/>
        </w:tabs>
        <w:numPr>
          <w:ilvl w:val="1"/>
          <w:numId w:val="61"/>
        </w:numPr>
        <w:rPr>
          <w:rFonts w:ascii="Arial" w:cs="Arial" w:eastAsia="Arial" w:hAnsi="Arial"/>
          <w:sz w:val="18"/>
          <w:szCs w:val="18"/>
          <w:color w:val="auto"/>
        </w:rPr>
      </w:pPr>
      <w:r>
        <w:rPr>
          <w:rFonts w:ascii="Arial" w:cs="Arial" w:eastAsia="Arial" w:hAnsi="Arial"/>
          <w:sz w:val="18"/>
          <w:szCs w:val="18"/>
          <w:color w:val="auto"/>
        </w:rPr>
        <w:t>= the last VWAP immediately preceding the date of the Notice of Exercise giving rise to the applicable “cashless exercise”, as set forth in the applicable Notice of Exercise (to clarify, the “last VWAP” will be the last VWAP as calculated over an entire Trading Day such that, in the event that this Warrant is exercised at a time that the Trading Market is open, the prior Trading Day’s VWAP shall be used in this calculation);</w:t>
      </w:r>
    </w:p>
    <w:p>
      <w:pPr>
        <w:spacing w:after="0" w:line="186" w:lineRule="exact"/>
        <w:rPr>
          <w:rFonts w:ascii="Arial" w:cs="Arial" w:eastAsia="Arial" w:hAnsi="Arial"/>
          <w:sz w:val="18"/>
          <w:szCs w:val="18"/>
          <w:color w:val="auto"/>
        </w:rPr>
      </w:pPr>
    </w:p>
    <w:p>
      <w:pPr>
        <w:ind w:left="1640" w:hanging="276"/>
        <w:spacing w:after="0"/>
        <w:tabs>
          <w:tab w:leader="none" w:pos="1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880" w:hanging="526"/>
        <w:spacing w:after="0" w:line="277" w:lineRule="auto"/>
        <w:tabs>
          <w:tab w:leader="none" w:pos="16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p>
      <w:pPr>
        <w:ind w:left="366" w:hanging="204"/>
        <w:spacing w:after="0"/>
        <w:tabs>
          <w:tab w:leader="none" w:pos="36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 w:firstLine="701"/>
        <w:spacing w:after="0" w:line="285" w:lineRule="auto"/>
        <w:tabs>
          <w:tab w:leader="none" w:pos="866" w:val="left"/>
        </w:tabs>
        <w:numPr>
          <w:ilvl w:val="2"/>
          <w:numId w:val="63"/>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three (3) Trading Days after the delivery to the Company of the Notice of Exercise (such date, the “</w:t>
      </w:r>
      <w:r>
        <w:rPr>
          <w:rFonts w:ascii="Arial" w:cs="Arial" w:eastAsia="Arial" w:hAnsi="Arial"/>
          <w:sz w:val="16"/>
          <w:szCs w:val="16"/>
          <w:u w:val="single" w:color="auto"/>
          <w:color w:val="auto"/>
        </w:rPr>
        <w:t>Warrant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(other than in the case of a Cashless Exercise) is received within three Trading Days of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exerciseable.</w:t>
      </w:r>
    </w:p>
    <w:p>
      <w:pPr>
        <w:spacing w:after="0" w:line="177" w:lineRule="exact"/>
        <w:rPr>
          <w:rFonts w:ascii="Arial" w:cs="Arial" w:eastAsia="Arial" w:hAnsi="Arial"/>
          <w:sz w:val="16"/>
          <w:szCs w:val="16"/>
          <w:color w:val="auto"/>
        </w:rPr>
      </w:pPr>
    </w:p>
    <w:p>
      <w:pPr>
        <w:jc w:val="both"/>
        <w:ind w:left="6" w:firstLine="642"/>
        <w:spacing w:after="0" w:line="259" w:lineRule="auto"/>
        <w:tabs>
          <w:tab w:leader="none" w:pos="84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886" w:hanging="238"/>
        <w:spacing w:after="0"/>
        <w:tabs>
          <w:tab w:leader="none" w:pos="886" w:val="left"/>
        </w:tabs>
        <w:numPr>
          <w:ilvl w:val="3"/>
          <w:numId w:val="63"/>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w:t>
      </w:r>
    </w:p>
    <w:p>
      <w:pPr>
        <w:spacing w:after="0" w:line="46" w:lineRule="exact"/>
        <w:rPr>
          <w:rFonts w:ascii="Arial" w:cs="Arial" w:eastAsia="Arial" w:hAnsi="Arial"/>
          <w:sz w:val="16"/>
          <w:szCs w:val="16"/>
          <w:color w:val="auto"/>
        </w:rPr>
      </w:pPr>
    </w:p>
    <w:p>
      <w:pPr>
        <w:ind w:left="206" w:hanging="206"/>
        <w:spacing w:after="0"/>
        <w:tabs>
          <w:tab w:leader="none" w:pos="2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the Warrant Share Delivery Date, then the Holder will have the right to rescind such exercise.</w:t>
      </w:r>
    </w:p>
    <w:p>
      <w:pPr>
        <w:spacing w:after="0" w:line="210" w:lineRule="exact"/>
        <w:rPr>
          <w:rFonts w:ascii="Arial" w:cs="Arial" w:eastAsia="Arial" w:hAnsi="Arial"/>
          <w:sz w:val="18"/>
          <w:szCs w:val="18"/>
          <w:color w:val="auto"/>
        </w:rPr>
      </w:pPr>
    </w:p>
    <w:p>
      <w:pPr>
        <w:jc w:val="both"/>
        <w:ind w:left="6" w:firstLine="642"/>
        <w:spacing w:after="0" w:line="291" w:lineRule="auto"/>
        <w:tabs>
          <w:tab w:leader="none" w:pos="886" w:val="left"/>
        </w:tabs>
        <w:numPr>
          <w:ilvl w:val="3"/>
          <w:numId w:val="64"/>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w:t>
      </w:r>
    </w:p>
    <w:p>
      <w:pPr>
        <w:jc w:val="both"/>
        <w:ind w:left="6" w:hanging="6"/>
        <w:spacing w:after="0" w:line="284" w:lineRule="auto"/>
        <w:tabs>
          <w:tab w:leader="none" w:pos="2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5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734" w:top="517" w:right="239" w:bottom="1440" w:gutter="0" w:footer="0" w:header="0"/>
        </w:sectPr>
      </w:pPr>
    </w:p>
    <w:bookmarkStart w:id="61" w:name="page62"/>
    <w:bookmarkEnd w:id="61"/>
    <w:p>
      <w:pPr>
        <w:jc w:val="both"/>
        <w:ind w:left="500" w:firstLine="648"/>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500" w:firstLine="642"/>
        <w:spacing w:after="0" w:line="271" w:lineRule="auto"/>
        <w:tabs>
          <w:tab w:leader="none" w:pos="1378"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8" w:lineRule="exact"/>
        <w:rPr>
          <w:rFonts w:ascii="Arial" w:cs="Arial" w:eastAsia="Arial" w:hAnsi="Arial"/>
          <w:sz w:val="17"/>
          <w:szCs w:val="17"/>
          <w:color w:val="auto"/>
        </w:rPr>
      </w:pPr>
    </w:p>
    <w:p>
      <w:pPr>
        <w:ind w:left="500" w:firstLine="642"/>
        <w:spacing w:after="0" w:line="277" w:lineRule="auto"/>
        <w:tabs>
          <w:tab w:leader="none" w:pos="142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firstLine="656"/>
        <w:spacing w:after="0" w:line="280" w:lineRule="auto"/>
        <w:tabs>
          <w:tab w:leader="none" w:pos="83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Arial" w:cs="Arial" w:eastAsia="Arial" w:hAnsi="Arial"/>
          <w:sz w:val="17"/>
          <w:szCs w:val="17"/>
          <w:color w:val="auto"/>
        </w:rPr>
      </w:pPr>
    </w:p>
    <w:p>
      <w:pPr>
        <w:jc w:val="both"/>
        <w:ind w:firstLine="656"/>
        <w:spacing w:after="0" w:line="269" w:lineRule="auto"/>
        <w:tabs>
          <w:tab w:leader="none" w:pos="84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9" w:lineRule="exact"/>
        <w:rPr>
          <w:rFonts w:ascii="Arial" w:cs="Arial" w:eastAsia="Arial" w:hAnsi="Arial"/>
          <w:sz w:val="17"/>
          <w:szCs w:val="17"/>
          <w:color w:val="auto"/>
        </w:rPr>
      </w:pPr>
    </w:p>
    <w:p>
      <w:pPr>
        <w:jc w:val="both"/>
        <w:ind w:firstLine="656"/>
        <w:spacing w:after="0" w:line="269" w:lineRule="auto"/>
        <w:tabs>
          <w:tab w:leader="none" w:pos="83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jc w:val="both"/>
        <w:ind w:firstLine="656"/>
        <w:spacing w:after="0" w:line="283" w:lineRule="auto"/>
        <w:tabs>
          <w:tab w:leader="none" w:pos="87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within ninety (90) days following consummation of the Fundamental Transaction,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jc w:val="both"/>
        <w:ind w:firstLine="656"/>
        <w:spacing w:after="0" w:line="264" w:lineRule="auto"/>
        <w:tabs>
          <w:tab w:leader="none" w:pos="84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ind w:left="820" w:hanging="164"/>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00" w:firstLine="642"/>
        <w:spacing w:after="0" w:line="264" w:lineRule="auto"/>
        <w:tabs>
          <w:tab w:leader="none" w:pos="130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1" w:lineRule="exact"/>
        <w:rPr>
          <w:rFonts w:ascii="Arial" w:cs="Arial" w:eastAsia="Arial" w:hAnsi="Arial"/>
          <w:sz w:val="18"/>
          <w:szCs w:val="18"/>
          <w:color w:val="auto"/>
        </w:rPr>
      </w:pPr>
    </w:p>
    <w:p>
      <w:pPr>
        <w:jc w:val="both"/>
        <w:ind w:left="500" w:firstLine="642"/>
        <w:spacing w:after="0" w:line="285" w:lineRule="auto"/>
        <w:tabs>
          <w:tab w:leader="none" w:pos="1352"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88" w:lineRule="exact"/>
        <w:rPr>
          <w:rFonts w:ascii="Arial" w:cs="Arial" w:eastAsia="Arial" w:hAnsi="Arial"/>
          <w:sz w:val="16"/>
          <w:szCs w:val="16"/>
          <w:color w:val="auto"/>
        </w:rPr>
      </w:pPr>
    </w:p>
    <w:p>
      <w:pPr>
        <w:jc w:val="both"/>
        <w:ind w:firstLine="656"/>
        <w:spacing w:after="0" w:line="259" w:lineRule="auto"/>
        <w:tabs>
          <w:tab w:leader="none" w:pos="8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From the date hereof until such time as this Warrant is no longer outstanding, the Company shall be prohibited from effecting or entering into an agreement to effect any issuance by the Company or any of its Subsidiaries of Common Stock or Common Stock Equivalents (or a combination of units thereof) involving a Variable Rate Transaction. The Holder shall be entitled to obtain injunctive relief against the Company to preclude any such issuance, which remedy shall be in addition to any right to collect damages.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83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both"/>
        <w:ind w:firstLine="656"/>
        <w:spacing w:after="0" w:line="255" w:lineRule="auto"/>
        <w:tabs>
          <w:tab w:leader="none" w:pos="84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93" w:lineRule="exact"/>
        <w:rPr>
          <w:rFonts w:ascii="Arial" w:cs="Arial" w:eastAsia="Arial" w:hAnsi="Arial"/>
          <w:sz w:val="18"/>
          <w:szCs w:val="18"/>
          <w:color w:val="auto"/>
        </w:rPr>
      </w:pPr>
    </w:p>
    <w:p>
      <w:pPr>
        <w:jc w:val="both"/>
        <w:ind w:firstLine="656"/>
        <w:spacing w:after="0" w:line="312" w:lineRule="auto"/>
        <w:tabs>
          <w:tab w:leader="none" w:pos="8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Warrant Register</w:t>
      </w:r>
      <w:r>
        <w:rPr>
          <w:rFonts w:ascii="Arial" w:cs="Arial" w:eastAsia="Arial" w:hAnsi="Arial"/>
          <w:sz w:val="16"/>
          <w:szCs w:val="16"/>
          <w:color w:val="auto"/>
        </w:rPr>
        <w:t>. The Company shall register this Warrant, upon records to be maintained by the Company for that purpose (the “</w:t>
      </w:r>
      <w:r>
        <w:rPr>
          <w:rFonts w:ascii="Arial" w:cs="Arial" w:eastAsia="Arial" w:hAnsi="Arial"/>
          <w:sz w:val="16"/>
          <w:szCs w:val="16"/>
          <w:u w:val="single" w:color="auto"/>
          <w:color w:val="auto"/>
        </w:rPr>
        <w:t>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w:t>
      </w:r>
      <w:r>
        <w:rPr>
          <w:rFonts w:ascii="Arial" w:cs="Arial" w:eastAsia="Arial" w:hAnsi="Arial"/>
          <w:sz w:val="16"/>
          <w:szCs w:val="16"/>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83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70" w:lineRule="exact"/>
        <w:rPr>
          <w:rFonts w:ascii="Arial" w:cs="Arial" w:eastAsia="Arial" w:hAnsi="Arial"/>
          <w:sz w:val="18"/>
          <w:szCs w:val="18"/>
          <w:color w:val="auto"/>
        </w:rPr>
      </w:pPr>
    </w:p>
    <w:p>
      <w:pPr>
        <w:jc w:val="both"/>
        <w:ind w:firstLine="656"/>
        <w:spacing w:after="0" w:line="257" w:lineRule="auto"/>
        <w:tabs>
          <w:tab w:leader="none" w:pos="84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8" w:lineRule="exact"/>
        <w:rPr>
          <w:rFonts w:ascii="Arial" w:cs="Arial" w:eastAsia="Arial" w:hAnsi="Arial"/>
          <w:sz w:val="18"/>
          <w:szCs w:val="18"/>
          <w:color w:val="auto"/>
        </w:rPr>
      </w:pPr>
    </w:p>
    <w:p>
      <w:pPr>
        <w:ind w:firstLine="656"/>
        <w:spacing w:after="0" w:line="308" w:lineRule="auto"/>
        <w:tabs>
          <w:tab w:leader="none" w:pos="83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rFonts w:ascii="Arial" w:cs="Arial" w:eastAsia="Arial" w:hAnsi="Arial"/>
          <w:sz w:val="17"/>
          <w:szCs w:val="17"/>
          <w:color w:val="auto"/>
        </w:rPr>
      </w:pPr>
    </w:p>
    <w:p>
      <w:pPr>
        <w:ind w:left="860" w:hanging="204"/>
        <w:spacing w:after="0"/>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jc w:val="both"/>
        <w:ind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jc w:val="both"/>
        <w:ind w:firstLine="656"/>
        <w:spacing w:after="0" w:line="286" w:lineRule="auto"/>
        <w:tabs>
          <w:tab w:leader="none" w:pos="83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Holder each agree that all legal proceedings concerning the interpretations, enforcement and defense of this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71" w:lineRule="exact"/>
        <w:rPr>
          <w:rFonts w:ascii="Arial" w:cs="Arial" w:eastAsia="Arial" w:hAnsi="Arial"/>
          <w:sz w:val="16"/>
          <w:szCs w:val="16"/>
          <w:color w:val="auto"/>
        </w:rPr>
      </w:pPr>
    </w:p>
    <w:p>
      <w:pPr>
        <w:ind w:firstLine="701"/>
        <w:spacing w:after="0" w:line="277" w:lineRule="auto"/>
        <w:tabs>
          <w:tab w:leader="none" w:pos="858"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sz w:val="20"/>
          <w:szCs w:val="20"/>
          <w:color w:val="auto"/>
        </w:rPr>
      </w:pPr>
    </w:p>
    <w:p>
      <w:pPr>
        <w:jc w:val="both"/>
        <w:ind w:firstLine="656"/>
        <w:spacing w:after="0" w:line="255" w:lineRule="auto"/>
        <w:tabs>
          <w:tab w:leader="none" w:pos="85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jc w:val="both"/>
        <w:ind w:firstLine="656"/>
        <w:spacing w:after="0" w:line="271" w:lineRule="auto"/>
        <w:tabs>
          <w:tab w:leader="none" w:pos="84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facsimile (provided confirmation of transmission is mechanically or electronically generated and kept on file by the sending party); (iii)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if sent by overnight courier service, one (1) Trading Day after deposit with an overnight courier service with next day delivery specified, in each case, properly addressed to the party to receive the same. If notice is given by facsimile or email, a copy of such notice shall be dispatched no later than the next business day by first class mail, postage prepaid. The addresses, facsimile numbers and e-mail addresses for such communications shall be: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ssingh@vistagen.com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888-842-2602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Holder, to its address, facsimile number or e-mail address set forth herein or on the books and records of the Company.</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Or, in each of the above instances, to such other address, facsimile number or e-mail address and/or to the attention of such other Person as the recipient party has specified by written notice given to each other party at least five (5) days prior to the effectiveness of such change.</w:t>
      </w:r>
    </w:p>
    <w:p>
      <w:pPr>
        <w:spacing w:after="0" w:line="147" w:lineRule="exact"/>
        <w:rPr>
          <w:sz w:val="20"/>
          <w:szCs w:val="20"/>
          <w:color w:val="auto"/>
        </w:rPr>
      </w:pPr>
    </w:p>
    <w:p>
      <w:pPr>
        <w:jc w:val="both"/>
        <w:ind w:firstLine="656"/>
        <w:spacing w:after="0" w:line="286" w:lineRule="auto"/>
        <w:tabs>
          <w:tab w:leader="none" w:pos="80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5" w:lineRule="exact"/>
        <w:rPr>
          <w:rFonts w:ascii="Arial" w:cs="Arial" w:eastAsia="Arial" w:hAnsi="Arial"/>
          <w:sz w:val="17"/>
          <w:szCs w:val="17"/>
          <w:color w:val="auto"/>
        </w:rPr>
      </w:pPr>
    </w:p>
    <w:p>
      <w:pPr>
        <w:jc w:val="both"/>
        <w:ind w:firstLine="656"/>
        <w:spacing w:after="0" w:line="259" w:lineRule="auto"/>
        <w:tabs>
          <w:tab w:leader="none" w:pos="80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5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20" w:hanging="164"/>
        <w:spacing w:after="0"/>
        <w:tabs>
          <w:tab w:leader="none" w:pos="82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w:t>
      </w:r>
    </w:p>
    <w:p>
      <w:pPr>
        <w:spacing w:after="0" w:line="248" w:lineRule="exact"/>
        <w:rPr>
          <w:rFonts w:ascii="Arial" w:cs="Arial" w:eastAsia="Arial" w:hAnsi="Arial"/>
          <w:sz w:val="16"/>
          <w:szCs w:val="16"/>
          <w:color w:val="auto"/>
        </w:rPr>
      </w:pPr>
    </w:p>
    <w:p>
      <w:pPr>
        <w:jc w:val="both"/>
        <w:ind w:firstLine="656"/>
        <w:spacing w:after="0" w:line="286" w:lineRule="auto"/>
        <w:tabs>
          <w:tab w:leader="none" w:pos="89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Arial" w:cs="Arial" w:eastAsia="Arial" w:hAnsi="Arial"/>
          <w:sz w:val="17"/>
          <w:szCs w:val="17"/>
          <w:color w:val="auto"/>
        </w:rPr>
      </w:pPr>
    </w:p>
    <w:p>
      <w:pPr>
        <w:ind w:left="860" w:hanging="204"/>
        <w:spacing w:after="0"/>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used in this Warrant are for the convenience of reference only and shall not, for any purpose, be deemed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ind w:left="340" w:firstLine="324"/>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tcPr>
          <w:p>
            <w:pPr>
              <w:ind w:left="4760"/>
              <w:spacing w:after="0"/>
              <w:rPr>
                <w:sz w:val="20"/>
                <w:szCs w:val="20"/>
                <w:color w:val="auto"/>
              </w:rPr>
            </w:pPr>
            <w:r>
              <w:rPr>
                <w:rFonts w:ascii="Arial" w:cs="Arial" w:eastAsia="Arial" w:hAnsi="Arial"/>
                <w:sz w:val="18"/>
                <w:szCs w:val="18"/>
                <w:b w:val="1"/>
                <w:bCs w:val="1"/>
                <w:color w:val="auto"/>
              </w:rPr>
              <w:t>VISTAGEN THERAPEUTICS, INC.</w:t>
            </w:r>
          </w:p>
        </w:tc>
      </w:tr>
      <w:tr>
        <w:trPr>
          <w:trHeight w:val="634"/>
        </w:trPr>
        <w:tc>
          <w:tcPr>
            <w:tcW w:w="3780" w:type="dxa"/>
            <w:vAlign w:val="bottom"/>
          </w:tcPr>
          <w:p>
            <w:pPr>
              <w:spacing w:after="0"/>
              <w:rPr>
                <w:sz w:val="24"/>
                <w:szCs w:val="24"/>
                <w:color w:val="auto"/>
              </w:rPr>
            </w:pPr>
          </w:p>
        </w:tc>
        <w:tc>
          <w:tcPr>
            <w:tcW w:w="7640" w:type="dxa"/>
            <w:vAlign w:val="bottom"/>
          </w:tcPr>
          <w:p>
            <w:pPr>
              <w:ind w:left="4760"/>
              <w:spacing w:after="0"/>
              <w:rPr>
                <w:sz w:val="20"/>
                <w:szCs w:val="20"/>
                <w:color w:val="auto"/>
              </w:rPr>
            </w:pPr>
            <w:r>
              <w:rPr>
                <w:rFonts w:ascii="Arial" w:cs="Arial" w:eastAsia="Arial" w:hAnsi="Arial"/>
                <w:sz w:val="18"/>
                <w:szCs w:val="18"/>
                <w:color w:val="auto"/>
                <w:w w:val="90"/>
              </w:rPr>
              <w:t>By:_____________________________</w:t>
            </w:r>
          </w:p>
        </w:tc>
      </w:tr>
      <w:tr>
        <w:trPr>
          <w:trHeight w:val="216"/>
        </w:trPr>
        <w:tc>
          <w:tcPr>
            <w:tcW w:w="3780" w:type="dxa"/>
            <w:vAlign w:val="bottom"/>
          </w:tcPr>
          <w:p>
            <w:pPr>
              <w:spacing w:after="0"/>
              <w:rPr>
                <w:sz w:val="18"/>
                <w:szCs w:val="18"/>
                <w:color w:val="auto"/>
              </w:rPr>
            </w:pPr>
          </w:p>
        </w:tc>
        <w:tc>
          <w:tcPr>
            <w:tcW w:w="7640" w:type="dxa"/>
            <w:vAlign w:val="bottom"/>
          </w:tcPr>
          <w:p>
            <w:pPr>
              <w:ind w:left="4760"/>
              <w:spacing w:after="0"/>
              <w:rPr>
                <w:sz w:val="20"/>
                <w:szCs w:val="20"/>
                <w:color w:val="auto"/>
              </w:rPr>
            </w:pPr>
            <w:r>
              <w:rPr>
                <w:rFonts w:ascii="Arial" w:cs="Arial" w:eastAsia="Arial" w:hAnsi="Arial"/>
                <w:sz w:val="18"/>
                <w:szCs w:val="18"/>
                <w:color w:val="auto"/>
              </w:rPr>
              <w:t>Name: Jerrold Dotson</w:t>
            </w:r>
          </w:p>
        </w:tc>
      </w:tr>
      <w:tr>
        <w:trPr>
          <w:trHeight w:val="230"/>
        </w:trPr>
        <w:tc>
          <w:tcPr>
            <w:tcW w:w="3780" w:type="dxa"/>
            <w:vAlign w:val="bottom"/>
          </w:tcPr>
          <w:p>
            <w:pPr>
              <w:spacing w:after="0"/>
              <w:rPr>
                <w:sz w:val="20"/>
                <w:szCs w:val="20"/>
                <w:color w:val="auto"/>
              </w:rPr>
            </w:pPr>
          </w:p>
        </w:tc>
        <w:tc>
          <w:tcPr>
            <w:tcW w:w="7640" w:type="dxa"/>
            <w:vAlign w:val="bottom"/>
          </w:tcPr>
          <w:p>
            <w:pPr>
              <w:ind w:left="4760"/>
              <w:spacing w:after="0"/>
              <w:rPr>
                <w:sz w:val="20"/>
                <w:szCs w:val="20"/>
                <w:color w:val="auto"/>
              </w:rPr>
            </w:pPr>
            <w:r>
              <w:rPr>
                <w:rFonts w:ascii="Arial" w:cs="Arial" w:eastAsia="Arial" w:hAnsi="Arial"/>
                <w:sz w:val="18"/>
                <w:szCs w:val="18"/>
                <w:color w:val="auto"/>
              </w:rPr>
              <w:t>Title: Chief Financial Officer</w:t>
            </w:r>
          </w:p>
        </w:tc>
      </w:tr>
      <w:tr>
        <w:trPr>
          <w:trHeight w:val="877"/>
        </w:trPr>
        <w:tc>
          <w:tcPr>
            <w:tcW w:w="3780" w:type="dxa"/>
            <w:vAlign w:val="bottom"/>
          </w:tcPr>
          <w:p>
            <w:pPr>
              <w:spacing w:after="0"/>
              <w:rPr>
                <w:sz w:val="20"/>
                <w:szCs w:val="20"/>
                <w:color w:val="auto"/>
              </w:rPr>
            </w:pPr>
            <w:r>
              <w:rPr>
                <w:rFonts w:ascii="Arial" w:cs="Arial" w:eastAsia="Arial" w:hAnsi="Arial"/>
                <w:sz w:val="18"/>
                <w:szCs w:val="18"/>
                <w:color w:val="auto"/>
              </w:rPr>
              <w:t>COMPUTERSHARE, INC.,</w:t>
            </w:r>
          </w:p>
        </w:tc>
        <w:tc>
          <w:tcPr>
            <w:tcW w:w="7640" w:type="dxa"/>
            <w:vAlign w:val="bottom"/>
          </w:tcPr>
          <w:p>
            <w:pPr>
              <w:ind w:left="1680"/>
              <w:spacing w:after="0"/>
              <w:rPr>
                <w:sz w:val="20"/>
                <w:szCs w:val="20"/>
                <w:color w:val="auto"/>
              </w:rPr>
            </w:pPr>
            <w:r>
              <w:rPr>
                <w:rFonts w:ascii="Arial" w:cs="Arial" w:eastAsia="Arial" w:hAnsi="Arial"/>
                <w:sz w:val="18"/>
                <w:szCs w:val="18"/>
                <w:color w:val="auto"/>
              </w:rPr>
              <w:t>COMPUTERSHARE TRUST COMPANY, N.A.,</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 Warrant Agent</w:t>
            </w:r>
          </w:p>
        </w:tc>
        <w:tc>
          <w:tcPr>
            <w:tcW w:w="7640" w:type="dxa"/>
            <w:vAlign w:val="bottom"/>
          </w:tcPr>
          <w:p>
            <w:pPr>
              <w:ind w:left="1680"/>
              <w:spacing w:after="0"/>
              <w:rPr>
                <w:sz w:val="20"/>
                <w:szCs w:val="20"/>
                <w:color w:val="auto"/>
              </w:rPr>
            </w:pPr>
            <w:r>
              <w:rPr>
                <w:rFonts w:ascii="Arial" w:cs="Arial" w:eastAsia="Arial" w:hAnsi="Arial"/>
                <w:sz w:val="18"/>
                <w:szCs w:val="18"/>
                <w:color w:val="auto"/>
              </w:rPr>
              <w:t>as Warrant Agent</w:t>
            </w:r>
          </w:p>
        </w:tc>
      </w:tr>
      <w:tr>
        <w:trPr>
          <w:trHeight w:val="634"/>
        </w:trPr>
        <w:tc>
          <w:tcPr>
            <w:tcW w:w="3780" w:type="dxa"/>
            <w:vAlign w:val="bottom"/>
          </w:tcPr>
          <w:p>
            <w:pPr>
              <w:spacing w:after="0"/>
              <w:rPr>
                <w:sz w:val="20"/>
                <w:szCs w:val="20"/>
                <w:color w:val="auto"/>
              </w:rPr>
            </w:pPr>
            <w:r>
              <w:rPr>
                <w:rFonts w:ascii="Arial" w:cs="Arial" w:eastAsia="Arial" w:hAnsi="Arial"/>
                <w:sz w:val="18"/>
                <w:szCs w:val="18"/>
                <w:color w:val="auto"/>
              </w:rPr>
              <w:t>By: ____________________</w:t>
            </w:r>
          </w:p>
        </w:tc>
        <w:tc>
          <w:tcPr>
            <w:tcW w:w="7640" w:type="dxa"/>
            <w:vAlign w:val="bottom"/>
          </w:tcPr>
          <w:p>
            <w:pPr>
              <w:ind w:left="1680"/>
              <w:spacing w:after="0"/>
              <w:rPr>
                <w:sz w:val="20"/>
                <w:szCs w:val="20"/>
                <w:color w:val="auto"/>
              </w:rPr>
            </w:pPr>
            <w:r>
              <w:rPr>
                <w:rFonts w:ascii="Arial" w:cs="Arial" w:eastAsia="Arial" w:hAnsi="Arial"/>
                <w:sz w:val="18"/>
                <w:szCs w:val="18"/>
                <w:color w:val="auto"/>
              </w:rPr>
              <w:t>By: ____________________</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Name:</w:t>
            </w:r>
          </w:p>
        </w:tc>
        <w:tc>
          <w:tcPr>
            <w:tcW w:w="7640" w:type="dxa"/>
            <w:vAlign w:val="bottom"/>
          </w:tcPr>
          <w:p>
            <w:pPr>
              <w:ind w:left="1680"/>
              <w:spacing w:after="0"/>
              <w:rPr>
                <w:sz w:val="20"/>
                <w:szCs w:val="20"/>
                <w:color w:val="auto"/>
              </w:rPr>
            </w:pPr>
            <w:r>
              <w:rPr>
                <w:rFonts w:ascii="Arial" w:cs="Arial" w:eastAsia="Arial" w:hAnsi="Arial"/>
                <w:sz w:val="18"/>
                <w:szCs w:val="18"/>
                <w:color w:val="auto"/>
              </w:rPr>
              <w:t>Name:</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Title:</w:t>
            </w:r>
          </w:p>
        </w:tc>
        <w:tc>
          <w:tcPr>
            <w:tcW w:w="7640" w:type="dxa"/>
            <w:vAlign w:val="bottom"/>
          </w:tcPr>
          <w:p>
            <w:pPr>
              <w:ind w:left="1680"/>
              <w:spacing w:after="0"/>
              <w:rPr>
                <w:sz w:val="20"/>
                <w:szCs w:val="20"/>
                <w:color w:val="auto"/>
              </w:rPr>
            </w:pPr>
            <w:r>
              <w:rPr>
                <w:rFonts w:ascii="Arial" w:cs="Arial" w:eastAsia="Arial" w:hAnsi="Arial"/>
                <w:sz w:val="18"/>
                <w:szCs w:val="18"/>
                <w:color w:val="auto"/>
              </w:rPr>
              <w:t>Title:</w:t>
            </w:r>
          </w:p>
        </w:tc>
      </w:tr>
      <w:tr>
        <w:trPr>
          <w:trHeight w:val="608"/>
        </w:trPr>
        <w:tc>
          <w:tcPr>
            <w:tcW w:w="3780" w:type="dxa"/>
            <w:vAlign w:val="bottom"/>
          </w:tcPr>
          <w:p>
            <w:pPr>
              <w:spacing w:after="0"/>
              <w:rPr>
                <w:sz w:val="24"/>
                <w:szCs w:val="24"/>
                <w:color w:val="auto"/>
              </w:rPr>
            </w:pPr>
          </w:p>
        </w:tc>
        <w:tc>
          <w:tcPr>
            <w:tcW w:w="7640" w:type="dxa"/>
            <w:vAlign w:val="bottom"/>
          </w:tcPr>
          <w:p>
            <w:pPr>
              <w:ind w:left="1780"/>
              <w:spacing w:after="0"/>
              <w:rPr>
                <w:sz w:val="20"/>
                <w:szCs w:val="20"/>
                <w:color w:val="auto"/>
              </w:rPr>
            </w:pPr>
            <w:r>
              <w:rPr>
                <w:rFonts w:ascii="Arial" w:cs="Arial" w:eastAsia="Arial" w:hAnsi="Arial"/>
                <w:sz w:val="18"/>
                <w:szCs w:val="18"/>
                <w:color w:val="auto"/>
              </w:rPr>
              <w:t>-12-</w:t>
            </w:r>
          </w:p>
        </w:tc>
      </w:tr>
      <w:tr>
        <w:trPr>
          <w:trHeight w:val="118"/>
        </w:trPr>
        <w:tc>
          <w:tcPr>
            <w:tcW w:w="378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25" w:lineRule="exact"/>
        <w:rPr>
          <w:sz w:val="20"/>
          <w:szCs w:val="20"/>
          <w:color w:val="auto"/>
        </w:rPr>
      </w:pPr>
    </w:p>
    <w:p>
      <w:pPr>
        <w:ind w:firstLine="1305"/>
        <w:spacing w:after="0" w:line="308" w:lineRule="auto"/>
        <w:tabs>
          <w:tab w:leader="none" w:pos="157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Arial" w:cs="Arial" w:eastAsia="Arial" w:hAnsi="Arial"/>
          <w:sz w:val="17"/>
          <w:szCs w:val="17"/>
          <w:color w:val="auto"/>
        </w:rPr>
      </w:pPr>
    </w:p>
    <w:p>
      <w:pPr>
        <w:ind w:left="1560" w:hanging="255"/>
        <w:spacing w:after="0"/>
        <w:tabs>
          <w:tab w:leader="none" w:pos="1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52" w:lineRule="exact"/>
        <w:rPr>
          <w:sz w:val="20"/>
          <w:szCs w:val="20"/>
          <w:color w:val="auto"/>
        </w:rPr>
      </w:pPr>
    </w:p>
    <w:p>
      <w:pPr>
        <w:jc w:val="both"/>
        <w:ind w:left="1960" w:right="20" w:hanging="7"/>
        <w:spacing w:after="0" w:line="264" w:lineRule="auto"/>
        <w:tabs>
          <w:tab w:leader="none" w:pos="2142" w:val="left"/>
        </w:tabs>
        <w:numPr>
          <w:ilvl w:val="1"/>
          <w:numId w:val="79"/>
        </w:numPr>
        <w:rPr>
          <w:rFonts w:ascii="Arial" w:cs="Arial" w:eastAsia="Arial" w:hAnsi="Arial"/>
          <w:sz w:val="18"/>
          <w:szCs w:val="18"/>
          <w:color w:val="auto"/>
        </w:rPr>
      </w:pPr>
      <w:r>
        <w:rPr>
          <w:rFonts w:ascii="Arial" w:cs="Arial" w:eastAsia="Arial" w:hAnsi="Arial"/>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208" w:lineRule="exact"/>
        <w:rPr>
          <w:rFonts w:ascii="Arial" w:cs="Arial" w:eastAsia="Arial" w:hAnsi="Arial"/>
          <w:sz w:val="18"/>
          <w:szCs w:val="18"/>
          <w:color w:val="auto"/>
        </w:rPr>
      </w:pPr>
    </w:p>
    <w:p>
      <w:pPr>
        <w:ind w:left="1560" w:hanging="255"/>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ASSIGNMENT FORM</w:t>
      </w:r>
    </w:p>
    <w:p>
      <w:pPr>
        <w:spacing w:after="0" w:line="252" w:lineRule="exact"/>
        <w:rPr>
          <w:sz w:val="20"/>
          <w:szCs w:val="20"/>
          <w:color w:val="auto"/>
        </w:rPr>
      </w:pPr>
    </w:p>
    <w:p>
      <w:pPr>
        <w:ind w:left="340" w:right="759"/>
        <w:spacing w:after="0" w:line="563"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Address:____________________</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06170" cy="728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61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22222"/>
        </w:rPr>
        <w:t>VistaGen Announces Nasdaq Listing and Pricing of $10.0 Million Public Offering</w:t>
      </w:r>
    </w:p>
    <w:p>
      <w:pPr>
        <w:spacing w:after="0" w:line="257" w:lineRule="exact"/>
        <w:rPr>
          <w:sz w:val="20"/>
          <w:szCs w:val="20"/>
          <w:color w:val="auto"/>
        </w:rPr>
      </w:pPr>
    </w:p>
    <w:p>
      <w:pPr>
        <w:ind w:left="1800" w:hanging="132"/>
        <w:spacing w:after="0"/>
        <w:tabs>
          <w:tab w:leader="none" w:pos="1800" w:val="left"/>
        </w:tabs>
        <w:numPr>
          <w:ilvl w:val="0"/>
          <w:numId w:val="80"/>
        </w:numPr>
        <w:rPr>
          <w:rFonts w:ascii="Arial" w:cs="Arial" w:eastAsia="Arial" w:hAnsi="Arial"/>
          <w:sz w:val="22"/>
          <w:szCs w:val="22"/>
          <w:i w:val="1"/>
          <w:iCs w:val="1"/>
          <w:color w:val="222222"/>
        </w:rPr>
      </w:pPr>
      <w:r>
        <w:rPr>
          <w:rFonts w:ascii="Arial" w:cs="Arial" w:eastAsia="Arial" w:hAnsi="Arial"/>
          <w:sz w:val="22"/>
          <w:szCs w:val="22"/>
          <w:i w:val="1"/>
          <w:iCs w:val="1"/>
          <w:color w:val="222222"/>
        </w:rPr>
        <w:t>Company Uplisting to NASDAQ Capital Market Under New Ticker “VTGN” Effective</w:t>
      </w:r>
    </w:p>
    <w:p>
      <w:pPr>
        <w:spacing w:after="0" w:line="12" w:lineRule="exact"/>
        <w:rPr>
          <w:rFonts w:ascii="Arial" w:cs="Arial" w:eastAsia="Arial" w:hAnsi="Arial"/>
          <w:sz w:val="22"/>
          <w:szCs w:val="22"/>
          <w:i w:val="1"/>
          <w:iCs w:val="1"/>
          <w:color w:val="222222"/>
        </w:rPr>
      </w:pPr>
    </w:p>
    <w:p>
      <w:pPr>
        <w:ind w:left="5000"/>
        <w:spacing w:after="0"/>
        <w:rPr>
          <w:rFonts w:ascii="Arial" w:cs="Arial" w:eastAsia="Arial" w:hAnsi="Arial"/>
          <w:sz w:val="22"/>
          <w:szCs w:val="22"/>
          <w:i w:val="1"/>
          <w:iCs w:val="1"/>
          <w:color w:val="222222"/>
        </w:rPr>
      </w:pPr>
      <w:r>
        <w:rPr>
          <w:rFonts w:ascii="Arial" w:cs="Arial" w:eastAsia="Arial" w:hAnsi="Arial"/>
          <w:sz w:val="22"/>
          <w:szCs w:val="22"/>
          <w:i w:val="1"/>
          <w:iCs w:val="1"/>
          <w:color w:val="222222"/>
        </w:rPr>
        <w:t>May 11, 2016 -</w:t>
      </w:r>
    </w:p>
    <w:p>
      <w:pPr>
        <w:spacing w:after="0" w:line="200" w:lineRule="exact"/>
        <w:rPr>
          <w:sz w:val="20"/>
          <w:szCs w:val="20"/>
          <w:color w:val="auto"/>
        </w:rPr>
      </w:pPr>
    </w:p>
    <w:p>
      <w:pPr>
        <w:spacing w:after="0" w:line="23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South San Francisco, CA (May 10, 2016)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563C1"/>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(OTCQB: VSTA) (VistaGen or the Company), a clinical-stage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dedicated to developing and commercializing innovative product candidates for patients with diseases and disorders involving the central nervous system (CNS), today announced its common stock will begin trading on The NASDAQ Capital Market under the symbol ‘‘VTGN” on May 11, 2016. The Company also announced the pricing of its public offering of 2,352,942 shares of common stock and warrants to purchase up to 2,352,942 shares of common stock, at a combined price to the public of $4.25 for aggregate gross proceeds of approximately $10.0 million. The warrants will have an exercise price of $5.30, are exercisable immediately, and will have a term of five years. VistaGen has granted the underwriters a 45-day option to purchase up to 352,942 additional shares of common stock and/or warrants to purchase up to 352,942 additional shares to cover over-allotments,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its new listing on The NASDAQ Capital Market, VistaGen’s common stock will cease trading on the OTCQB.</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VistaGen intends to use the net proceeds from this offering to fund research and development, including the Phase 2 clinical development of its oral prodrug, AV-101, initially for the adjunctive treatment of major depressive disorder (MDD) in patients with an inadequate response to standard antidepressants, as well as other general capital needs.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May 16, 2016, subject to customary closing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 and WallachBeth Capital, LLC are acting as joint book running managers for the offering.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 registration statement on Form S-1 relating to the shares and warrants was filed with the Securities and Exchange Commission and is effective. A preliminary prospectus relating to the offering has been filed with the SEC and is available on the SEC’s web site at http://www.sec.gov. Copies of the final prospectus relating to the offering, when available, may be obtained from the offices of Chardan Capital Markets, LLC, 17 State Street, Suite 1600, New York, NY 10004, telephone: (646) 465-9000 or email </w:t>
      </w:r>
      <w:r>
        <w:rPr>
          <w:rFonts w:ascii="Arial" w:cs="Arial" w:eastAsia="Arial" w:hAnsi="Arial"/>
          <w:sz w:val="17"/>
          <w:szCs w:val="17"/>
          <w:u w:val="single" w:color="auto"/>
          <w:color w:val="0563C1"/>
        </w:rPr>
        <w:t>prospectus@chardancm.com</w:t>
      </w:r>
      <w:r>
        <w:rPr>
          <w:rFonts w:ascii="Arial" w:cs="Arial" w:eastAsia="Arial" w:hAnsi="Arial"/>
          <w:sz w:val="17"/>
          <w:szCs w:val="17"/>
          <w:color w:val="auto"/>
        </w:rPr>
        <w:t xml:space="preserve"> or Wallachbeth Capital, LLC, 100 Wall Street, Suite 6600, New York, NY 10005, telephone: 646-998-7605 or </w:t>
      </w:r>
      <w:r>
        <w:rPr>
          <w:rFonts w:ascii="Arial" w:cs="Arial" w:eastAsia="Arial" w:hAnsi="Arial"/>
          <w:sz w:val="17"/>
          <w:szCs w:val="17"/>
          <w:u w:val="single" w:color="auto"/>
          <w:color w:val="0563C1"/>
        </w:rPr>
        <w:t>cap-mkts@wallachbeth.com</w:t>
      </w:r>
      <w:r>
        <w:rPr>
          <w:rFonts w:ascii="Arial" w:cs="Arial" w:eastAsia="Arial" w:hAnsi="Arial"/>
          <w:sz w:val="17"/>
          <w:szCs w:val="17"/>
          <w:color w:val="auto"/>
        </w:rPr>
        <w:t>, or the above-referenced SEC website.</w:t>
      </w:r>
    </w:p>
    <w:p>
      <w:pPr>
        <w:spacing w:after="0" w:line="20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nor shall there be any sale of these securities in any state or jurisdiction in which such an offer, solicitation or sale is not permitted.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AV-101 (L-4-chlorokyurenine or 4-CI-KYN) is an orally-available prodrug candidate, currently in Phase 2 development, initially for the adjunctive treatment of MDD in patients with an inadequate response to standard antidepressants. AV-101 has broad potential utility in other diseases and disorders involving the CNS, including chronic neuropathic pain and epilepsy and neurodegenerative diseases, such as Parkinson’s disease and Huntington’s disease. After crossing the blood-brain barrier and reaching brain astrocytes, AV-101 is rapidly and enzymatically converted into 7-chlorokynurenic acid (7-Cl-KYNA), a well-characterized, potent and selective antagonist of N-methyl-D-aspartate (NMDA) receptors, acting by blocking the glycine-binding co-agonist site of the NMDA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VistaGen Therapeutics, Inc. is a clinical-stage biopharmaceutical company dedicated to developing and commercializing innovative product candidates for patients with diseases and disorders involving the CNS. Our lead product candidate, AV-101, is a next generation, orally available prodrug in Phase 2 development, initially for the adjunctive treatment of MDD in patients with an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National Institute of Mental Health, and Clinical Professor of Psychiatry and Behavioral Sciences, at The George Washington University and fully funded by the U.S. National Institutes of Mental Health.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the Company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closing of the offering,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Jenene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Jenene Thomas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(908) 938-1475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jenene@jenenethomascommunications.com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t>
      </w:r>
    </w:p>
    <w:p>
      <w:pPr>
        <w:sectPr>
          <w:pgSz w:w="11900" w:h="16838" w:orient="portrait"/>
          <w:cols w:equalWidth="0" w:num="1">
            <w:col w:w="11420"/>
          </w:cols>
          <w:pgMar w:left="240" w:top="51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06170" cy="728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22222"/>
        </w:rPr>
        <w:t>VistaGen Completes $10 Million Public Offering</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South San Francisco, CA (May 16, 2016)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563C1"/>
        </w:rPr>
        <w:t>VistaGen Therapeutics,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(VistaGen), a clinical-stage biopharmaceutical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dedicated to developing and commercializing innovative product candidates for patients with diseases and disorders involving the central nervous system (CNS), today announced the completion of its previously announced underwritten public offering of 2,352,942 shares of its common stock and warrants to purchase up to 2,352,942 shares of common stock. The underwriters have been granted an option to purchase up to 352,942 additional shares of common stock and 352,942 warrants to cover over-allotments. The warrants have an exercise price of $5.30.</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offering proceeds to VistaGen were approximately $10 million, before deducting underwriting discounts and offering expenses. VistaGen intends to use the net proceeds of the offering to fund research and development, including Phase 2b clinical development of its oral prodrug candidate, AV-101, initially for the adjunctive treatment of major depressive disorder in patients with an inadequate response to standard antidepressants, as well as other general capital needs.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 and WallachBeth Capital, LLC acted as joint book running managers for the offering.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shares and warrants described above were offered by VistaGen pursuant to a registration statement previously filed with, and subsequently declared effective by the Securities and Exchange Commission (SEC). Copies of the final prospectus relating to the offering may be obtained from the offices of Chardan Capital Markets, LLC, 17 State Street, Suite 1600, New York, NY 10004, telephone: (646) 465-9000 or email, </w:t>
      </w:r>
      <w:r>
        <w:rPr>
          <w:rFonts w:ascii="Arial" w:cs="Arial" w:eastAsia="Arial" w:hAnsi="Arial"/>
          <w:sz w:val="18"/>
          <w:szCs w:val="18"/>
          <w:u w:val="single" w:color="auto"/>
          <w:color w:val="0563C1"/>
        </w:rPr>
        <w:t>prospectus@chardancm.com</w:t>
      </w:r>
      <w:r>
        <w:rPr>
          <w:rFonts w:ascii="Arial" w:cs="Arial" w:eastAsia="Arial" w:hAnsi="Arial"/>
          <w:sz w:val="18"/>
          <w:szCs w:val="18"/>
          <w:color w:val="auto"/>
        </w:rPr>
        <w:t xml:space="preserve">, or WallachBeth Capital, LLC, 100 Wall Street, Suite 6600, New York, NY 10005, telephone: (646) 998-7605 or </w:t>
      </w:r>
      <w:r>
        <w:rPr>
          <w:rFonts w:ascii="Arial" w:cs="Arial" w:eastAsia="Arial" w:hAnsi="Arial"/>
          <w:sz w:val="18"/>
          <w:szCs w:val="18"/>
          <w:u w:val="single" w:color="auto"/>
          <w:color w:val="0563C1"/>
        </w:rPr>
        <w:t>cap-mkts@wallachbeth.com</w:t>
      </w:r>
      <w:r>
        <w:rPr>
          <w:rFonts w:ascii="Arial" w:cs="Arial" w:eastAsia="Arial" w:hAnsi="Arial"/>
          <w:sz w:val="18"/>
          <w:szCs w:val="18"/>
          <w:color w:val="auto"/>
        </w:rPr>
        <w:t>, or the SEC’s website at http://www.sec.gov.</w:t>
      </w:r>
    </w:p>
    <w:p>
      <w:pPr>
        <w:spacing w:after="0" w:line="21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nor shall there be any sale of these securities in any state or jurisdiction in which such an offer, solicitation or sale is not permitted.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VistaGen Therapeutics, Inc. is a clinical-stage biopharmaceutical company dedicated to developing and commercializing innovative product candidates for patients with diseases and disorders involving the CNS. VistaGen’s lead product candidate, AV-101, is a next generation, orally available prodrug in Phase 2 development, initially for the adjunctive treatment of MDD in patients with an inadequate response to standard antidepressants. AV-101 is currently being evaluated in an ongoing Phase 2a clinical study being conducted by Principal Investigator, Dr. Carlos Zarate, Chief, Section on the Neurobiology and Treatment of Mood Disorders and Chief of Experimental Therapeutics and Pathophysiology Branch at the U.S. National Institute of Mental Health (NIMH), and fully funded by the NIMH.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VistaGen’s successful Phase 2 clinical development of AV-101 for the treatment of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7"/>
          <w:szCs w:val="17"/>
          <w:u w:val="single" w:color="auto"/>
          <w:color w:val="0563C1"/>
        </w:rPr>
        <w:t>www.sec.gov</w:t>
      </w:r>
      <w:r>
        <w:rPr>
          <w:rFonts w:ascii="Arial" w:cs="Arial" w:eastAsia="Arial" w:hAnsi="Arial"/>
          <w:sz w:val="17"/>
          <w:szCs w:val="17"/>
          <w:color w:val="auto"/>
        </w:rPr>
        <w:t>. VistaGen undertakes no obligation to publicly update or revise any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Jenene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Jenene Thomas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(908) 938-1475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jenene@jenenethomascommunications.com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lvl w:ilvl="1">
      <w:lvlJc w:val="left"/>
      <w:lvlText w:val="(%2)"/>
      <w:numFmt w:val="lowerLetter"/>
      <w:start w:val="1"/>
    </w:lvl>
  </w:abstractNum>
  <w:abstractNum w:abstractNumId="2">
    <w:nsid w:val="3855585C"/>
    <w:multiLevelType w:val="hybridMultilevel"/>
    <w:lvl w:ilvl="0">
      <w:lvlJc w:val="left"/>
      <w:lvlText w:val="%1"/>
      <w:numFmt w:val="decimal"/>
      <w:start w:val="1"/>
    </w:lvl>
    <w:lvl w:ilvl="1">
      <w:lvlJc w:val="left"/>
      <w:lvlText w:val="(%2)"/>
      <w:numFmt w:val="lowerLetter"/>
      <w:start w:val="3"/>
    </w:lvl>
  </w:abstractNum>
  <w:abstractNum w:abstractNumId="3">
    <w:nsid w:val="70A64E2A"/>
    <w:multiLevelType w:val="hybridMultilevel"/>
    <w:lvl w:ilvl="0">
      <w:lvlJc w:val="left"/>
      <w:lvlText w:val="%1."/>
      <w:numFmt w:val="decimal"/>
      <w:start w:val="2"/>
    </w:lvl>
    <w:lvl w:ilvl="1">
      <w:lvlJc w:val="left"/>
      <w:lvlText w:val="(%2)"/>
      <w:numFmt w:val="lowerLetter"/>
      <w:start w:val="1"/>
    </w:lvl>
  </w:abstractNum>
  <w:abstractNum w:abstractNumId="4">
    <w:nsid w:val="6A2342EC"/>
    <w:multiLevelType w:val="hybridMultilevel"/>
    <w:lvl w:ilvl="0">
      <w:lvlJc w:val="left"/>
      <w:lvlText w:val="%1"/>
      <w:numFmt w:val="lowerLetter"/>
      <w:start w:val="1"/>
    </w:lvl>
    <w:lvl w:ilvl="1">
      <w:lvlJc w:val="left"/>
      <w:lvlText w:val="(%2)"/>
      <w:numFmt w:val="lowerLetter"/>
      <w:start w:val="2"/>
    </w:lvl>
  </w:abstractNum>
  <w:abstractNum w:abstractNumId="5">
    <w:nsid w:val="2A487CB0"/>
    <w:multiLevelType w:val="hybridMultilevel"/>
    <w:lvl w:ilvl="0">
      <w:lvlJc w:val="left"/>
      <w:lvlText w:val="(%1)"/>
      <w:numFmt w:val="lowerLetter"/>
      <w:start w:val="3"/>
    </w:lvl>
    <w:lvl w:ilvl="1">
      <w:lvlJc w:val="left"/>
      <w:lvlText w:val="%2"/>
      <w:numFmt w:val="lowerLetter"/>
      <w:start w:val="1"/>
    </w:lvl>
  </w:abstractNum>
  <w:abstractNum w:abstractNumId="6">
    <w:nsid w:val="1D4ED43B"/>
    <w:multiLevelType w:val="hybridMultilevel"/>
    <w:lvl w:ilvl="0">
      <w:lvlJc w:val="left"/>
      <w:lvlText w:val="(%1)"/>
      <w:numFmt w:val="lowerLetter"/>
      <w:start w:val="5"/>
    </w:lvl>
  </w:abstractNum>
  <w:abstractNum w:abstractNumId="7">
    <w:nsid w:val="725A06FB"/>
    <w:multiLevelType w:val="hybridMultilevel"/>
    <w:lvl w:ilvl="0">
      <w:lvlJc w:val="left"/>
      <w:lvlText w:val="%1"/>
      <w:numFmt w:val="lowerLetter"/>
      <w:start w:val="1"/>
    </w:lvl>
    <w:lvl w:ilvl="1">
      <w:lvlJc w:val="left"/>
      <w:lvlText w:val="(%2)"/>
      <w:numFmt w:val="lowerLetter"/>
      <w:start w:val="7"/>
    </w:lvl>
  </w:abstractNum>
  <w:abstractNum w:abstractNumId="8">
    <w:nsid w:val="2CD89A32"/>
    <w:multiLevelType w:val="hybridMultilevel"/>
    <w:lvl w:ilvl="0">
      <w:lvlJc w:val="left"/>
      <w:lvlText w:val="(%1)"/>
      <w:numFmt w:val="lowerLetter"/>
      <w:start w:val="8"/>
    </w:lvl>
    <w:lvl w:ilvl="1">
      <w:lvlJc w:val="left"/>
      <w:lvlText w:val="%2"/>
      <w:numFmt w:val="lowerLetter"/>
      <w:start w:val="1"/>
    </w:lvl>
  </w:abstractNum>
  <w:abstractNum w:abstractNumId="9">
    <w:nsid w:val="57E4CCAF"/>
    <w:multiLevelType w:val="hybridMultilevel"/>
    <w:lvl w:ilvl="0">
      <w:lvlJc w:val="left"/>
      <w:lvlText w:val="(%1)"/>
      <w:numFmt w:val="lowerLetter"/>
      <w:start w:val="13"/>
    </w:lvl>
  </w:abstractNum>
  <w:abstractNum w:abstractNumId="10">
    <w:nsid w:val="7A6D8D3C"/>
    <w:multiLevelType w:val="hybridMultilevel"/>
    <w:lvl w:ilvl="0">
      <w:lvlJc w:val="left"/>
      <w:lvlText w:val="(%1)"/>
      <w:numFmt w:val="lowerLetter"/>
      <w:start w:val="17"/>
    </w:lvl>
  </w:abstractNum>
  <w:abstractNum w:abstractNumId="11">
    <w:nsid w:val="4B588F54"/>
    <w:multiLevelType w:val="hybridMultilevel"/>
    <w:lvl w:ilvl="0">
      <w:lvlJc w:val="left"/>
      <w:lvlText w:val="(%1)"/>
      <w:numFmt w:val="lowerLetter"/>
      <w:start w:val="23"/>
    </w:lvl>
  </w:abstractNum>
  <w:abstractNum w:abstractNumId="12">
    <w:nsid w:val="542289EC"/>
    <w:multiLevelType w:val="hybridMultilevel"/>
    <w:lvl w:ilvl="0">
      <w:lvlJc w:val="left"/>
      <w:lvlText w:val="(%1)"/>
      <w:numFmt w:val="lowerLetter"/>
      <w:start w:val="25"/>
    </w:lvl>
  </w:abstractNum>
  <w:abstractNum w:abstractNumId="13">
    <w:nsid w:val="6DE91B18"/>
    <w:multiLevelType w:val="hybridMultilevel"/>
    <w:lvl w:ilvl="0">
      <w:lvlJc w:val="left"/>
      <w:lvlText w:val="(%1)"/>
      <w:numFmt w:val="lowerLetter"/>
      <w:start w:val="27"/>
    </w:lvl>
    <w:lvl w:ilvl="1">
      <w:lvlJc w:val="left"/>
      <w:lvlText w:val="(%2)"/>
      <w:numFmt w:val="lowerLetter"/>
      <w:start w:val="29"/>
    </w:lvl>
  </w:abstractNum>
  <w:abstractNum w:abstractNumId="14">
    <w:nsid w:val="38437FDB"/>
    <w:multiLevelType w:val="hybridMultilevel"/>
    <w:lvl w:ilvl="0">
      <w:lvlJc w:val="left"/>
      <w:lvlText w:val="(%1)"/>
      <w:numFmt w:val="lowerLetter"/>
      <w:start w:val="30"/>
    </w:lvl>
  </w:abstractNum>
  <w:abstractNum w:abstractNumId="15">
    <w:nsid w:val="7644A45C"/>
    <w:multiLevelType w:val="hybridMultilevel"/>
    <w:lvl w:ilvl="0">
      <w:lvlJc w:val="left"/>
      <w:lvlText w:val="(%1)"/>
      <w:numFmt w:val="lowerLetter"/>
      <w:start w:val="31"/>
    </w:lvl>
  </w:abstractNum>
  <w:abstractNum w:abstractNumId="16">
    <w:nsid w:val="32FFF902"/>
    <w:multiLevelType w:val="hybridMultilevel"/>
    <w:lvl w:ilvl="0">
      <w:lvlJc w:val="left"/>
      <w:lvlText w:val="%1"/>
      <w:numFmt w:val="lowerLetter"/>
      <w:start w:val="1"/>
    </w:lvl>
    <w:lvl w:ilvl="1">
      <w:lvlJc w:val="left"/>
      <w:lvlText w:val="(%2)"/>
      <w:numFmt w:val="lowerLetter"/>
      <w:start w:val="34"/>
    </w:lvl>
  </w:abstractNum>
  <w:abstractNum w:abstractNumId="17">
    <w:nsid w:val="684A481A"/>
    <w:multiLevelType w:val="hybridMultilevel"/>
    <w:lvl w:ilvl="0">
      <w:lvlJc w:val="left"/>
      <w:lvlText w:val="(%1)"/>
      <w:numFmt w:val="lowerLetter"/>
      <w:start w:val="35"/>
    </w:lvl>
    <w:lvl w:ilvl="1">
      <w:lvlJc w:val="left"/>
      <w:lvlText w:val="%2"/>
      <w:numFmt w:val="lowerLetter"/>
      <w:start w:val="1"/>
    </w:lvl>
  </w:abstractNum>
  <w:abstractNum w:abstractNumId="18">
    <w:nsid w:val="579478FE"/>
    <w:multiLevelType w:val="hybridMultilevel"/>
    <w:lvl w:ilvl="0">
      <w:lvlJc w:val="left"/>
      <w:lvlText w:val="(%1)"/>
      <w:numFmt w:val="lowerLetter"/>
      <w:start w:val="37"/>
    </w:lvl>
  </w:abstractNum>
  <w:abstractNum w:abstractNumId="19">
    <w:nsid w:val="749ABB43"/>
    <w:multiLevelType w:val="hybridMultilevel"/>
    <w:lvl w:ilvl="0">
      <w:lvlJc w:val="left"/>
      <w:lvlText w:val="(%1)"/>
      <w:numFmt w:val="lowerLetter"/>
      <w:start w:val="42"/>
    </w:lvl>
  </w:abstractNum>
  <w:abstractNum w:abstractNumId="20">
    <w:nsid w:val="3DC240FB"/>
    <w:multiLevelType w:val="hybridMultilevel"/>
    <w:lvl w:ilvl="0">
      <w:lvlJc w:val="left"/>
      <w:lvlText w:val="(%1)"/>
      <w:numFmt w:val="lowerLetter"/>
      <w:start w:val="52"/>
    </w:lvl>
  </w:abstractNum>
  <w:abstractNum w:abstractNumId="21">
    <w:nsid w:val="1BA026FA"/>
    <w:multiLevelType w:val="hybridMultilevel"/>
    <w:lvl w:ilvl="0">
      <w:lvlJc w:val="left"/>
      <w:lvlText w:val="(%1)"/>
      <w:numFmt w:val="lowerLetter"/>
      <w:start w:val="53"/>
    </w:lvl>
  </w:abstractNum>
  <w:abstractNum w:abstractNumId="22">
    <w:nsid w:val="79A1DEAA"/>
    <w:multiLevelType w:val="hybridMultilevel"/>
    <w:lvl w:ilvl="0">
      <w:lvlJc w:val="left"/>
      <w:lvlText w:val="(%1)"/>
      <w:numFmt w:val="lowerLetter"/>
      <w:start w:val="59"/>
    </w:lvl>
  </w:abstractNum>
  <w:abstractNum w:abstractNumId="23">
    <w:nsid w:val="75C6C33A"/>
    <w:multiLevelType w:val="hybridMultilevel"/>
    <w:lvl w:ilvl="0">
      <w:lvlJc w:val="left"/>
      <w:lvlText w:val="%1."/>
      <w:numFmt w:val="decimal"/>
      <w:start w:val="3"/>
    </w:lvl>
    <w:lvl w:ilvl="1">
      <w:lvlJc w:val="left"/>
      <w:lvlText w:val="(%2)"/>
      <w:numFmt w:val="lowerLetter"/>
      <w:start w:val="1"/>
    </w:lvl>
  </w:abstractNum>
  <w:abstractNum w:abstractNumId="24">
    <w:nsid w:val="12E685FB"/>
    <w:multiLevelType w:val="hybridMultilevel"/>
    <w:lvl w:ilvl="0">
      <w:lvlJc w:val="left"/>
      <w:lvlText w:val="(%1)"/>
      <w:numFmt w:val="lowerLetter"/>
      <w:start w:val="5"/>
    </w:lvl>
  </w:abstractNum>
  <w:abstractNum w:abstractNumId="25">
    <w:nsid w:val="70C6A529"/>
    <w:multiLevelType w:val="hybridMultilevel"/>
    <w:lvl w:ilvl="0">
      <w:lvlJc w:val="left"/>
      <w:lvlText w:val="(%1)"/>
      <w:numFmt w:val="lowerLetter"/>
      <w:start w:val="10"/>
    </w:lvl>
  </w:abstractNum>
  <w:abstractNum w:abstractNumId="26">
    <w:nsid w:val="520EEDD1"/>
    <w:multiLevelType w:val="hybridMultilevel"/>
    <w:lvl w:ilvl="0">
      <w:lvlJc w:val="left"/>
      <w:lvlText w:val="%1"/>
      <w:numFmt w:val="decimal"/>
      <w:start w:val="1"/>
    </w:lvl>
    <w:lvl w:ilvl="1">
      <w:lvlJc w:val="left"/>
      <w:lvlText w:val="(%2)"/>
      <w:numFmt w:val="lowerLetter"/>
      <w:start w:val="15"/>
    </w:lvl>
  </w:abstractNum>
  <w:abstractNum w:abstractNumId="27">
    <w:nsid w:val="374A3FE6"/>
    <w:multiLevelType w:val="hybridMultilevel"/>
    <w:lvl w:ilvl="0">
      <w:lvlJc w:val="left"/>
      <w:lvlText w:val="(%1)"/>
      <w:numFmt w:val="decimal"/>
      <w:start w:val="3"/>
    </w:lvl>
    <w:lvl w:ilvl="1">
      <w:lvlJc w:val="left"/>
      <w:lvlText w:val="(%2)"/>
      <w:numFmt w:val="lowerLetter"/>
      <w:start w:val="22"/>
    </w:lvl>
  </w:abstractNum>
  <w:abstractNum w:abstractNumId="28">
    <w:nsid w:val="4F4EF005"/>
    <w:multiLevelType w:val="hybridMultilevel"/>
    <w:lvl w:ilvl="0">
      <w:lvlJc w:val="left"/>
      <w:lvlText w:val="(%1)"/>
      <w:numFmt w:val="lowerLetter"/>
      <w:start w:val="25"/>
    </w:lvl>
  </w:abstractNum>
  <w:abstractNum w:abstractNumId="29">
    <w:nsid w:val="23F9C13C"/>
    <w:multiLevelType w:val="hybridMultilevel"/>
    <w:lvl w:ilvl="0">
      <w:lvlJc w:val="left"/>
      <w:lvlText w:val="%1"/>
      <w:numFmt w:val="decimal"/>
      <w:start w:val="1"/>
    </w:lvl>
    <w:lvl w:ilvl="1">
      <w:lvlJc w:val="left"/>
      <w:lvlText w:val="(%2)"/>
      <w:numFmt w:val="lowerLetter"/>
      <w:start w:val="27"/>
    </w:lvl>
  </w:abstractNum>
  <w:abstractNum w:abstractNumId="30">
    <w:nsid w:val="649BB77C"/>
    <w:multiLevelType w:val="hybridMultilevel"/>
    <w:lvl w:ilvl="0">
      <w:lvlJc w:val="left"/>
      <w:lvlText w:val="%1."/>
      <w:numFmt w:val="decimal"/>
      <w:start w:val="4"/>
    </w:lvl>
    <w:lvl w:ilvl="1">
      <w:lvlJc w:val="left"/>
      <w:lvlText w:val="(%2)"/>
      <w:numFmt w:val="lowerLetter"/>
      <w:start w:val="1"/>
    </w:lvl>
  </w:abstractNum>
  <w:abstractNum w:abstractNumId="31">
    <w:nsid w:val="275AC794"/>
    <w:multiLevelType w:val="hybridMultilevel"/>
    <w:lvl w:ilvl="0">
      <w:lvlJc w:val="left"/>
      <w:lvlText w:val="%1."/>
      <w:numFmt w:val="decimal"/>
      <w:start w:val="5"/>
    </w:lvl>
    <w:lvl w:ilvl="1">
      <w:lvlJc w:val="left"/>
      <w:lvlText w:val="(%2)"/>
      <w:numFmt w:val="lowerLetter"/>
      <w:start w:val="1"/>
    </w:lvl>
  </w:abstractNum>
  <w:abstractNum w:abstractNumId="32">
    <w:nsid w:val="39386575"/>
    <w:multiLevelType w:val="hybridMultilevel"/>
    <w:lvl w:ilvl="0">
      <w:lvlJc w:val="left"/>
      <w:lvlText w:val="(%1)"/>
      <w:numFmt w:val="lowerLetter"/>
      <w:start w:val="3"/>
    </w:lvl>
  </w:abstractNum>
  <w:abstractNum w:abstractNumId="33">
    <w:nsid w:val="1CF10FD8"/>
    <w:multiLevelType w:val="hybridMultilevel"/>
    <w:lvl w:ilvl="0">
      <w:lvlJc w:val="left"/>
      <w:lvlText w:val="(%1)"/>
      <w:numFmt w:val="lowerLetter"/>
      <w:start w:val="12"/>
    </w:lvl>
  </w:abstractNum>
  <w:abstractNum w:abstractNumId="34">
    <w:nsid w:val="180115BE"/>
    <w:multiLevelType w:val="hybridMultilevel"/>
    <w:lvl w:ilvl="0">
      <w:lvlJc w:val="left"/>
      <w:lvlText w:val="(%1)"/>
      <w:numFmt w:val="lowerLetter"/>
      <w:start w:val="18"/>
    </w:lvl>
  </w:abstractNum>
  <w:abstractNum w:abstractNumId="35">
    <w:nsid w:val="235BA861"/>
    <w:multiLevelType w:val="hybridMultilevel"/>
    <w:lvl w:ilvl="0">
      <w:lvlJc w:val="left"/>
      <w:lvlText w:val="%1."/>
      <w:numFmt w:val="decimal"/>
      <w:start w:val="6"/>
    </w:lvl>
    <w:lvl w:ilvl="1">
      <w:lvlJc w:val="left"/>
      <w:lvlText w:val="(%2)"/>
      <w:numFmt w:val="lowerLetter"/>
      <w:start w:val="1"/>
    </w:lvl>
  </w:abstractNum>
  <w:abstractNum w:abstractNumId="36">
    <w:nsid w:val="47398C89"/>
    <w:multiLevelType w:val="hybridMultilevel"/>
    <w:lvl w:ilvl="0">
      <w:lvlJc w:val="left"/>
      <w:lvlText w:val="(%1)"/>
      <w:numFmt w:val="lowerLetter"/>
      <w:start w:val="2"/>
    </w:lvl>
  </w:abstractNum>
  <w:abstractNum w:abstractNumId="37">
    <w:nsid w:val="354FE9F9"/>
    <w:multiLevelType w:val="hybridMultilevel"/>
    <w:lvl w:ilvl="0">
      <w:lvlJc w:val="left"/>
      <w:lvlText w:val="(%1)"/>
      <w:numFmt w:val="decimal"/>
      <w:start w:val="45"/>
    </w:lvl>
    <w:lvl w:ilvl="1">
      <w:lvlJc w:val="left"/>
      <w:lvlText w:val="(%2)"/>
      <w:numFmt w:val="lowerLetter"/>
      <w:start w:val="4"/>
    </w:lvl>
  </w:abstractNum>
  <w:abstractNum w:abstractNumId="38">
    <w:nsid w:val="15B5AF5C"/>
    <w:multiLevelType w:val="hybridMultilevel"/>
    <w:lvl w:ilvl="0">
      <w:lvlJc w:val="left"/>
      <w:lvlText w:val="%1"/>
      <w:numFmt w:val="decimal"/>
      <w:start w:val="1"/>
    </w:lvl>
    <w:lvl w:ilvl="1">
      <w:lvlJc w:val="left"/>
      <w:lvlText w:val="(%2)"/>
      <w:numFmt w:val="lowerLetter"/>
      <w:start w:val="5"/>
    </w:lvl>
  </w:abstractNum>
  <w:abstractNum w:abstractNumId="39">
    <w:nsid w:val="741226BB"/>
    <w:multiLevelType w:val="hybridMultilevel"/>
    <w:lvl w:ilvl="0">
      <w:lvlJc w:val="left"/>
      <w:lvlText w:val="%1."/>
      <w:numFmt w:val="decimal"/>
      <w:start w:val="7"/>
    </w:lvl>
    <w:lvl w:ilvl="1">
      <w:lvlJc w:val="left"/>
      <w:lvlText w:val="%2"/>
      <w:numFmt w:val="lowerLetter"/>
      <w:start w:val="1"/>
    </w:lvl>
  </w:abstractNum>
  <w:abstractNum w:abstractNumId="40">
    <w:nsid w:val="D34B6A8"/>
    <w:multiLevelType w:val="hybridMultilevel"/>
    <w:lvl w:ilvl="0">
      <w:lvlJc w:val="left"/>
      <w:lvlText w:val="%1."/>
      <w:numFmt w:val="decimal"/>
      <w:start w:val="10"/>
    </w:lvl>
    <w:lvl w:ilvl="1">
      <w:lvlJc w:val="left"/>
      <w:lvlText w:val="(%2)"/>
      <w:numFmt w:val="lowerLetter"/>
      <w:start w:val="1"/>
    </w:lvl>
  </w:abstractNum>
  <w:abstractNum w:abstractNumId="41">
    <w:nsid w:val="10233C99"/>
    <w:multiLevelType w:val="hybridMultilevel"/>
    <w:lvl w:ilvl="0">
      <w:lvlJc w:val="left"/>
      <w:lvlText w:val="%1."/>
      <w:numFmt w:val="decimal"/>
      <w:start w:val="12"/>
    </w:lvl>
  </w:abstractNum>
  <w:abstractNum w:abstractNumId="42">
    <w:nsid w:val="3F6AB60F"/>
    <w:multiLevelType w:val="hybridMultilevel"/>
    <w:lvl w:ilvl="0">
      <w:lvlJc w:val="left"/>
      <w:lvlText w:val="%1."/>
      <w:numFmt w:val="decimal"/>
      <w:start w:val="14"/>
    </w:lvl>
  </w:abstractNum>
  <w:abstractNum w:abstractNumId="43">
    <w:nsid w:val="61574095"/>
    <w:multiLevelType w:val="hybridMultilevel"/>
    <w:lvl w:ilvl="0">
      <w:lvlJc w:val="left"/>
      <w:lvlText w:val="%1."/>
      <w:numFmt w:val="decimal"/>
      <w:start w:val="16"/>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lowerRoman"/>
      <w:start w:val="2"/>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lowerRoman"/>
      <w:start w:val="1"/>
    </w:lvl>
  </w:abstractNum>
  <w:abstractNum w:abstractNumId="48">
    <w:nsid w:val="5FF87E05"/>
    <w:multiLevelType w:val="hybridMultilevel"/>
    <w:lvl w:ilvl="0">
      <w:lvlJc w:val="left"/>
      <w:lvlText w:val="(%1)"/>
      <w:numFmt w:val="decimal"/>
      <w:start w:val="10"/>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1."/>
      <w:numFmt w:val="decimal"/>
      <w:start w:val="3"/>
    </w:lvl>
  </w:abstractNum>
  <w:abstractNum w:abstractNumId="51">
    <w:nsid w:val="1DBABF00"/>
    <w:multiLevelType w:val="hybridMultilevel"/>
    <w:lvl w:ilvl="0">
      <w:lvlJc w:val="left"/>
      <w:lvlText w:val="(%1)"/>
      <w:numFmt w:val="lowerRoman"/>
      <w:start w:val="1"/>
    </w:lvl>
  </w:abstractNum>
  <w:abstractNum w:abstractNumId="52">
    <w:nsid w:val="4AD084E9"/>
    <w:multiLevelType w:val="hybridMultilevel"/>
    <w:lvl w:ilvl="0">
      <w:lvlJc w:val="left"/>
      <w:lvlText w:val="%1"/>
      <w:numFmt w:val="decimal"/>
      <w:start w:val="1"/>
    </w:lvl>
    <w:lvl w:ilvl="1">
      <w:lvlJc w:val="left"/>
      <w:lvlText w:val="%2)"/>
      <w:numFmt w:val="lowerLetter"/>
      <w:start w:val="1"/>
    </w:lvl>
  </w:abstractNum>
  <w:abstractNum w:abstractNumId="53">
    <w:nsid w:val="1F48EAA1"/>
    <w:multiLevelType w:val="hybridMultilevel"/>
    <w:lvl w:ilvl="0">
      <w:lvlJc w:val="left"/>
      <w:lvlText w:val="%1."/>
      <w:numFmt w:val="decimal"/>
      <w:start w:val="4"/>
    </w:lvl>
    <w:lvl w:ilvl="1">
      <w:lvlJc w:val="left"/>
      <w:lvlText w:val="%2"/>
      <w:numFmt w:val="lowerLetter"/>
      <w:start w:val="1"/>
    </w:lvl>
  </w:abstractNum>
  <w:abstractNum w:abstractNumId="54">
    <w:nsid w:val="1381823A"/>
    <w:multiLevelType w:val="hybridMultilevel"/>
    <w:lvl w:ilvl="0">
      <w:lvlJc w:val="left"/>
      <w:lvlText w:val="%1."/>
      <w:numFmt w:val="decimal"/>
      <w:start w:val="6"/>
    </w:lvl>
  </w:abstractNum>
  <w:abstractNum w:abstractNumId="55">
    <w:nsid w:val="5DB70AE5"/>
    <w:multiLevelType w:val="hybridMultilevel"/>
    <w:lvl w:ilvl="0">
      <w:lvlJc w:val="left"/>
      <w:lvlText w:val="%1."/>
      <w:numFmt w:val="decimal"/>
      <w:start w:val="8"/>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11"/>
    </w:lvl>
  </w:abstractNum>
  <w:abstractNum w:abstractNumId="58">
    <w:nsid w:val="15014ACB"/>
    <w:multiLevelType w:val="hybridMultilevel"/>
    <w:lvl w:ilvl="0">
      <w:lvlJc w:val="left"/>
      <w:lvlText w:val="%1."/>
      <w:numFmt w:val="decimal"/>
      <w:start w:val="9"/>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lowerLetter"/>
      <w:start w:val="2"/>
    </w:lvl>
    <w:lvl w:ilvl="1">
      <w:lvlJc w:val="left"/>
      <w:lvlText w:val="(%2)"/>
      <w:numFmt w:val="upperLetter"/>
      <w:start w:val="1"/>
    </w:lvl>
  </w:abstractNum>
  <w:abstractNum w:abstractNumId="61">
    <w:nsid w:val="799D0247"/>
    <w:multiLevelType w:val="hybridMultilevel"/>
    <w:lvl w:ilvl="0">
      <w:lvlJc w:val="left"/>
      <w:lvlText w:val="(%1)"/>
      <w:numFmt w:val="upperLetter"/>
      <w:start w:val="24"/>
    </w:lvl>
  </w:abstractNum>
  <w:abstractNum w:abstractNumId="62">
    <w:nsid w:val="6B9476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lvl w:ilvl="3">
      <w:lvlJc w:val="left"/>
      <w:lvlText w:val="%4."/>
      <w:numFmt w:val="lowerRoman"/>
      <w:start w:val="3"/>
    </w:lvl>
  </w:abstractNum>
  <w:abstractNum w:abstractNumId="63">
    <w:nsid w:val="42C296B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64">
    <w:nsid w:val="168E12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65">
    <w:nsid w:val="1EBA5D23"/>
    <w:multiLevelType w:val="hybridMultilevel"/>
    <w:lvl w:ilvl="0">
      <w:lvlJc w:val="left"/>
      <w:lvlText w:val="%1"/>
      <w:numFmt w:val="lowerLetter"/>
      <w:start w:val="1"/>
    </w:lvl>
    <w:lvl w:ilvl="1">
      <w:lvlJc w:val="left"/>
      <w:lvlText w:val="%2."/>
      <w:numFmt w:val="lowerRoman"/>
      <w:start w:val="6"/>
    </w:lvl>
  </w:abstractNum>
  <w:abstractNum w:abstractNumId="66">
    <w:nsid w:val="661E3F1E"/>
    <w:multiLevelType w:val="hybridMultilevel"/>
    <w:lvl w:ilvl="0">
      <w:lvlJc w:val="left"/>
      <w:lvlText w:val="%1)"/>
      <w:numFmt w:val="lowerLetter"/>
      <w:start w:val="5"/>
    </w:lvl>
    <w:lvl w:ilvl="1">
      <w:lvlJc w:val="left"/>
      <w:lvlText w:val="%2"/>
      <w:numFmt w:val="lowerRoman"/>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4"/>
    </w:lvl>
  </w:abstractNum>
  <w:abstractNum w:abstractNumId="69">
    <w:nsid w:val="7BD3EE7B"/>
    <w:multiLevelType w:val="hybridMultilevel"/>
    <w:lvl w:ilvl="0">
      <w:lvlJc w:val="left"/>
      <w:lvlText w:val="%1)"/>
      <w:numFmt w:val="lowerLetter"/>
      <w:start w:val="6"/>
    </w:lvl>
    <w:lvl w:ilvl="1">
      <w:lvlJc w:val="left"/>
      <w:lvlText w:val="%2."/>
      <w:numFmt w:val="lowerRoman"/>
      <w:start w:val="1"/>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lowerLetter"/>
      <w:start w:val="2"/>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5"/>
    </w:lvl>
    <w:lvl w:ilvl="1">
      <w:lvlJc w:val="left"/>
      <w:lvlText w:val="%2)"/>
      <w:numFmt w:val="lowerLetter"/>
      <w:start w:val="6"/>
    </w:lvl>
  </w:abstractNum>
  <w:abstractNum w:abstractNumId="74">
    <w:nsid w:val="42963E5A"/>
    <w:multiLevelType w:val="hybridMultilevel"/>
    <w:lvl w:ilvl="0">
      <w:lvlJc w:val="left"/>
      <w:lvlText w:val="%1)"/>
      <w:numFmt w:val="lowerLetter"/>
      <w:start w:val="7"/>
    </w:lvl>
  </w:abstractNum>
  <w:abstractNum w:abstractNumId="75">
    <w:nsid w:val="A0382C5"/>
    <w:multiLevelType w:val="hybridMultilevel"/>
    <w:lvl w:ilvl="0">
      <w:lvlJc w:val="left"/>
      <w:lvlText w:val="%1)"/>
      <w:numFmt w:val="lowerLetter"/>
      <w:start w:val="8"/>
    </w:lvl>
  </w:abstractNum>
  <w:abstractNum w:abstractNumId="76">
    <w:nsid w:val="8F2B15E"/>
    <w:multiLevelType w:val="hybridMultilevel"/>
    <w:lvl w:ilvl="0">
      <w:lvlJc w:val="left"/>
      <w:lvlText w:val="%1)"/>
      <w:numFmt w:val="lowerLetter"/>
      <w:start w:val="9"/>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decimal"/>
      <w:start w:val="2"/>
    </w:lvl>
    <w:lvl w:ilvl="1">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2020-01-20T14:23:00Z</dcterms:created>
  <dcterms:modified xsi:type="dcterms:W3CDTF">2020-01-20T14:23:00Z</dcterms:modified>
</cp:coreProperties>
</file>