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third (1/3rd) of the total shares shall vest one (1) year following the date of grant and 1/24th of the remaining number of shares shall vest monthly thereafter until all awarded shares are fully vested three</w:t>
      </w:r>
    </w:p>
    <w:p>
      <w:pPr>
        <w:spacing w:after="0" w:line="2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(3) years from the date of grant.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2020-01-16T02:25:06Z</dcterms:created>
  <dcterms:modified xsi:type="dcterms:W3CDTF">2020-01-16T02:25:06Z</dcterms:modified>
</cp:coreProperties>
</file>