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60" w:hanging="1352"/>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60" w:hanging="1352"/>
        <w:spacing w:after="0"/>
        <w:tabs>
          <w:tab w:leader="none" w:pos="1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1420"/>
        <w:spacing w:after="0"/>
        <w:tabs>
          <w:tab w:leader="none" w:pos="470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2401570</wp:posOffset>
            </wp:positionH>
            <wp:positionV relativeFrom="paragraph">
              <wp:posOffset>-7620</wp:posOffset>
            </wp:positionV>
            <wp:extent cx="129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001-37761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Nevada</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1440" w:type="dxa"/>
            <w:vAlign w:val="bottom"/>
          </w:tcPr>
          <w:p>
            <w:pPr>
              <w:spacing w:after="0"/>
              <w:rPr>
                <w:sz w:val="18"/>
                <w:szCs w:val="18"/>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3"/>
              </w:rPr>
              <w:t>(State or other jurisdiction of</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1440" w:type="dxa"/>
            <w:vAlign w:val="bottom"/>
          </w:tcPr>
          <w:p>
            <w:pPr>
              <w:spacing w:after="0"/>
              <w:rPr>
                <w:sz w:val="20"/>
                <w:szCs w:val="20"/>
                <w:color w:val="auto"/>
              </w:rPr>
            </w:pPr>
          </w:p>
        </w:tc>
        <w:tc>
          <w:tcPr>
            <w:tcW w:w="2840" w:type="dxa"/>
            <w:vAlign w:val="bottom"/>
            <w:gridSpan w:val="2"/>
          </w:tcPr>
          <w:p>
            <w:pPr>
              <w:jc w:val="center"/>
              <w:ind w:right="210"/>
              <w:spacing w:after="0"/>
              <w:rPr>
                <w:sz w:val="20"/>
                <w:szCs w:val="20"/>
                <w:color w:val="auto"/>
              </w:rPr>
            </w:pPr>
            <w:r>
              <w:rPr>
                <w:rFonts w:ascii="Arial" w:cs="Arial" w:eastAsia="Arial" w:hAnsi="Arial"/>
                <w:sz w:val="18"/>
                <w:szCs w:val="18"/>
                <w:i w:val="1"/>
                <w:iCs w:val="1"/>
                <w:color w:val="auto"/>
                <w:w w:val="94"/>
              </w:rPr>
              <w:t>incorporation or organization)</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343 Allerton Avenue</w:t>
            </w: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0"/>
        </w:trPr>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South San Francisco, CA 94080</w:t>
            </w:r>
          </w:p>
        </w:tc>
        <w:tc>
          <w:tcPr>
            <w:tcW w:w="1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20" w:type="dxa"/>
            <w:vAlign w:val="bottom"/>
            <w:gridSpan w:val="6"/>
          </w:tcPr>
          <w:p>
            <w:pPr>
              <w:jc w:val="center"/>
              <w:ind w:right="175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r>
      <w:tr>
        <w:trPr>
          <w:trHeight w:val="418"/>
        </w:trPr>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(650) 577-3600</w:t>
            </w: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20" w:type="dxa"/>
            <w:vAlign w:val="bottom"/>
            <w:gridSpan w:val="6"/>
          </w:tcPr>
          <w:p>
            <w:pPr>
              <w:jc w:val="center"/>
              <w:ind w:right="177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r>
      <w:tr>
        <w:trPr>
          <w:trHeight w:val="432"/>
        </w:trPr>
        <w:tc>
          <w:tcPr>
            <w:tcW w:w="428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91"/>
        </w:trPr>
        <w:tc>
          <w:tcPr>
            <w:tcW w:w="14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37"/>
        </w:trPr>
        <w:tc>
          <w:tcPr>
            <w:tcW w:w="4280" w:type="dxa"/>
            <w:vAlign w:val="bottom"/>
            <w:gridSpan w:val="3"/>
          </w:tcPr>
          <w:p>
            <w:pPr>
              <w:jc w:val="center"/>
              <w:ind w:right="30"/>
              <w:spacing w:after="0"/>
              <w:rPr>
                <w:sz w:val="20"/>
                <w:szCs w:val="20"/>
                <w:color w:val="auto"/>
              </w:rPr>
            </w:pPr>
            <w:r>
              <w:rPr>
                <w:rFonts w:ascii="Arial" w:cs="Arial" w:eastAsia="Arial" w:hAnsi="Arial"/>
                <w:sz w:val="18"/>
                <w:szCs w:val="18"/>
                <w:color w:val="auto"/>
                <w:w w:val="89"/>
              </w:rPr>
              <w:t>Common Stock, par value $0.001 per share</w:t>
            </w:r>
          </w:p>
        </w:tc>
        <w:tc>
          <w:tcPr>
            <w:tcW w:w="280" w:type="dxa"/>
            <w:vAlign w:val="bottom"/>
          </w:tcPr>
          <w:p>
            <w:pPr>
              <w:spacing w:after="0"/>
              <w:rPr>
                <w:sz w:val="20"/>
                <w:szCs w:val="20"/>
                <w:color w:val="auto"/>
              </w:rPr>
            </w:pPr>
          </w:p>
        </w:tc>
        <w:tc>
          <w:tcPr>
            <w:tcW w:w="244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VTGN</w:t>
            </w:r>
          </w:p>
        </w:tc>
        <w:tc>
          <w:tcPr>
            <w:tcW w:w="1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2022, 206,836,345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1"/>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40" w:type="dxa"/>
            <w:vAlign w:val="bottom"/>
            <w:gridSpan w:val="8"/>
          </w:tcPr>
          <w:p>
            <w:pPr>
              <w:jc w:val="center"/>
              <w:ind w:right="2820"/>
              <w:spacing w:after="0"/>
              <w:rPr>
                <w:sz w:val="20"/>
                <w:szCs w:val="20"/>
                <w:color w:val="auto"/>
              </w:rPr>
            </w:pPr>
            <w:r>
              <w:rPr>
                <w:rFonts w:ascii="Arial" w:cs="Arial" w:eastAsia="Arial" w:hAnsi="Arial"/>
                <w:sz w:val="18"/>
                <w:szCs w:val="18"/>
                <w:b w:val="1"/>
                <w:bCs w:val="1"/>
                <w:color w:val="auto"/>
                <w:w w:val="90"/>
              </w:rPr>
              <w:t>Vistagen Therapeutics, Inc.</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4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93"/>
              </w:rPr>
              <w:t>Quarterly Report on Form 10-Q</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4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91"/>
              </w:rPr>
              <w:t>for the Quarter Ended September 30, 2022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4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40" w:type="dxa"/>
            <w:vAlign w:val="bottom"/>
            <w:gridSpan w:val="8"/>
            <w:vMerge w:val="restart"/>
          </w:tcPr>
          <w:p>
            <w:pPr>
              <w:jc w:val="center"/>
              <w:ind w:right="3820"/>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gridSpan w:val="6"/>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40" w:type="dxa"/>
            <w:vAlign w:val="bottom"/>
            <w:gridSpan w:val="8"/>
            <w:vMerge w:val="continue"/>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560" w:type="dxa"/>
            <w:vAlign w:val="bottom"/>
            <w:gridSpan w:val="21"/>
            <w:shd w:val="clear" w:color="auto" w:fill="CCEEFF"/>
          </w:tcPr>
          <w:p>
            <w:pPr>
              <w:ind w:left="80"/>
              <w:spacing w:after="0" w:line="176" w:lineRule="exact"/>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EE"/>
              </w:rPr>
              <w:t>Condensed Consolidated Financial Statements (Unaudited)</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76" w:lineRule="exact"/>
              <w:rPr>
                <w:sz w:val="20"/>
                <w:szCs w:val="20"/>
                <w:color w:val="auto"/>
              </w:rPr>
            </w:pPr>
            <w:r>
              <w:rPr>
                <w:rFonts w:ascii="Arial" w:cs="Arial" w:eastAsia="Arial" w:hAnsi="Arial"/>
                <w:sz w:val="18"/>
                <w:szCs w:val="18"/>
                <w:color w:val="0000EE"/>
              </w:rPr>
              <w:t>Condensed Consolidated Balance Sheets at September 30, 2022 and March 31, 2022</w:t>
            </w:r>
          </w:p>
        </w:tc>
        <w:tc>
          <w:tcPr>
            <w:tcW w:w="280" w:type="dxa"/>
            <w:vAlign w:val="bottom"/>
            <w:gridSpan w:val="4"/>
          </w:tcPr>
          <w:p>
            <w:pPr>
              <w:jc w:val="center"/>
              <w:spacing w:after="0" w:line="176" w:lineRule="exact"/>
              <w:rPr>
                <w:sz w:val="20"/>
                <w:szCs w:val="20"/>
                <w:color w:val="auto"/>
              </w:rPr>
            </w:pPr>
            <w:r>
              <w:rPr>
                <w:rFonts w:ascii="Arial" w:cs="Arial" w:eastAsia="Arial" w:hAnsi="Arial"/>
                <w:sz w:val="18"/>
                <w:szCs w:val="18"/>
                <w:color w:val="0000EE"/>
                <w:w w:val="79"/>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Statements of Operations and Comprehensive Loss for the three and six months ended September 30, 2022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9380" w:type="dxa"/>
            <w:vAlign w:val="bottom"/>
            <w:tcBorders>
              <w:top w:val="single" w:sz="8" w:color="0000EE"/>
            </w:tcBorders>
            <w:gridSpan w:val="15"/>
            <w:shd w:val="clear" w:color="auto" w:fill="CCEEFF"/>
          </w:tcPr>
          <w:p>
            <w:pPr>
              <w:spacing w:after="0" w:line="196" w:lineRule="exact"/>
              <w:rPr>
                <w:sz w:val="20"/>
                <w:szCs w:val="20"/>
                <w:color w:val="auto"/>
              </w:rPr>
            </w:pPr>
            <w:r>
              <w:rPr>
                <w:rFonts w:ascii="Arial" w:cs="Arial" w:eastAsia="Arial" w:hAnsi="Arial"/>
                <w:sz w:val="18"/>
                <w:szCs w:val="18"/>
                <w:color w:val="0000EE"/>
              </w:rPr>
              <w:t>and 2021</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jc w:val="center"/>
              <w:spacing w:after="0" w:line="196" w:lineRule="exact"/>
              <w:rPr>
                <w:sz w:val="20"/>
                <w:szCs w:val="20"/>
                <w:color w:val="auto"/>
              </w:rPr>
            </w:pPr>
            <w:r>
              <w:rPr>
                <w:rFonts w:ascii="Arial" w:cs="Arial" w:eastAsia="Arial" w:hAnsi="Arial"/>
                <w:sz w:val="18"/>
                <w:szCs w:val="18"/>
                <w:color w:val="0000EE"/>
                <w:w w:val="79"/>
              </w:rPr>
              <w:t>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8"/>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September 30, 2022 and 2021</w:t>
            </w:r>
          </w:p>
        </w:tc>
        <w:tc>
          <w:tcPr>
            <w:tcW w:w="280" w:type="dxa"/>
            <w:vAlign w:val="bottom"/>
            <w:gridSpan w:val="4"/>
          </w:tcPr>
          <w:p>
            <w:pPr>
              <w:jc w:val="center"/>
              <w:spacing w:after="0" w:line="176" w:lineRule="exact"/>
              <w:rPr>
                <w:sz w:val="20"/>
                <w:szCs w:val="20"/>
                <w:color w:val="auto"/>
              </w:rPr>
            </w:pPr>
            <w:r>
              <w:rPr>
                <w:rFonts w:ascii="Arial" w:cs="Arial" w:eastAsia="Arial" w:hAnsi="Arial"/>
                <w:sz w:val="18"/>
                <w:szCs w:val="18"/>
                <w:color w:val="0000EE"/>
                <w:w w:val="79"/>
              </w:rPr>
              <w:t>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18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 of Changes in Stockholders’ Equity for the six months ended September 30, 2022 and 2021</w:t>
            </w:r>
          </w:p>
        </w:tc>
        <w:tc>
          <w:tcPr>
            <w:tcW w:w="720" w:type="dxa"/>
            <w:vAlign w:val="bottom"/>
            <w:gridSpan w:val="2"/>
            <w:shd w:val="clear" w:color="auto" w:fill="CCEEFF"/>
          </w:tcPr>
          <w:p>
            <w:pPr>
              <w:spacing w:after="0"/>
              <w:rPr>
                <w:sz w:val="15"/>
                <w:szCs w:val="15"/>
                <w:color w:val="auto"/>
              </w:rPr>
            </w:pPr>
          </w:p>
        </w:tc>
        <w:tc>
          <w:tcPr>
            <w:tcW w:w="280" w:type="dxa"/>
            <w:vAlign w:val="bottom"/>
            <w:gridSpan w:val="4"/>
            <w:shd w:val="clear" w:color="auto" w:fill="CCEEFF"/>
          </w:tcPr>
          <w:p>
            <w:pPr>
              <w:jc w:val="center"/>
              <w:spacing w:after="0" w:line="176" w:lineRule="exact"/>
              <w:rPr>
                <w:sz w:val="20"/>
                <w:szCs w:val="20"/>
                <w:color w:val="auto"/>
              </w:rPr>
            </w:pPr>
            <w:r>
              <w:rPr>
                <w:rFonts w:ascii="Arial" w:cs="Arial" w:eastAsia="Arial" w:hAnsi="Arial"/>
                <w:sz w:val="18"/>
                <w:szCs w:val="18"/>
                <w:color w:val="0000EE"/>
                <w:w w:val="79"/>
              </w:rPr>
              <w:t>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gridSpan w:val="16"/>
          </w:tcPr>
          <w:p>
            <w:pPr>
              <w:spacing w:after="0" w:line="176" w:lineRule="exact"/>
              <w:rPr>
                <w:sz w:val="20"/>
                <w:szCs w:val="20"/>
                <w:color w:val="auto"/>
              </w:rPr>
            </w:pPr>
            <w:r>
              <w:rPr>
                <w:rFonts w:ascii="Arial" w:cs="Arial" w:eastAsia="Arial" w:hAnsi="Arial"/>
                <w:sz w:val="18"/>
                <w:szCs w:val="18"/>
                <w:color w:val="0000EE"/>
              </w:rPr>
              <w:t>Notes to the Condensed Consolidated Financial Statements</w:t>
            </w:r>
          </w:p>
        </w:tc>
        <w:tc>
          <w:tcPr>
            <w:tcW w:w="720" w:type="dxa"/>
            <w:vAlign w:val="bottom"/>
            <w:gridSpan w:val="2"/>
          </w:tcPr>
          <w:p>
            <w:pPr>
              <w:spacing w:after="0"/>
              <w:rPr>
                <w:sz w:val="15"/>
                <w:szCs w:val="15"/>
                <w:color w:val="auto"/>
              </w:rPr>
            </w:pPr>
          </w:p>
        </w:tc>
        <w:tc>
          <w:tcPr>
            <w:tcW w:w="280" w:type="dxa"/>
            <w:vAlign w:val="bottom"/>
            <w:gridSpan w:val="4"/>
          </w:tcPr>
          <w:p>
            <w:pPr>
              <w:jc w:val="center"/>
              <w:spacing w:after="0" w:line="176" w:lineRule="exact"/>
              <w:rPr>
                <w:sz w:val="20"/>
                <w:szCs w:val="20"/>
                <w:color w:val="auto"/>
              </w:rPr>
            </w:pPr>
            <w:r>
              <w:rPr>
                <w:rFonts w:ascii="Arial" w:cs="Arial" w:eastAsia="Arial" w:hAnsi="Arial"/>
                <w:sz w:val="18"/>
                <w:szCs w:val="18"/>
                <w:color w:val="0000EE"/>
                <w:w w:val="79"/>
              </w:rPr>
              <w:t>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60" w:type="dxa"/>
            <w:vAlign w:val="bottom"/>
            <w:gridSpan w:val="21"/>
            <w:shd w:val="clear" w:color="auto" w:fill="CCEEFF"/>
          </w:tcPr>
          <w:p>
            <w:pPr>
              <w:ind w:left="80"/>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Management’s Discussion and Analysis of Financial Condition and Results of Operations</w:t>
            </w:r>
          </w:p>
        </w:tc>
        <w:tc>
          <w:tcPr>
            <w:tcW w:w="36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19</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1"/>
          </w:tcPr>
          <w:p>
            <w:pPr>
              <w:ind w:left="80"/>
              <w:spacing w:after="0" w:line="176" w:lineRule="exact"/>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EE"/>
              </w:rPr>
              <w:t>Controls and Procedures</w:t>
            </w:r>
          </w:p>
        </w:tc>
        <w:tc>
          <w:tcPr>
            <w:tcW w:w="360" w:type="dxa"/>
            <w:vAlign w:val="bottom"/>
            <w:gridSpan w:val="5"/>
          </w:tcPr>
          <w:p>
            <w:pPr>
              <w:jc w:val="center"/>
              <w:spacing w:after="0" w:line="176" w:lineRule="exact"/>
              <w:rPr>
                <w:sz w:val="20"/>
                <w:szCs w:val="20"/>
                <w:color w:val="auto"/>
              </w:rPr>
            </w:pPr>
            <w:r>
              <w:rPr>
                <w:rFonts w:ascii="Arial" w:cs="Arial" w:eastAsia="Arial" w:hAnsi="Arial"/>
                <w:sz w:val="18"/>
                <w:szCs w:val="18"/>
                <w:color w:val="0000EE"/>
                <w:w w:val="89"/>
              </w:rPr>
              <w:t>36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4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560" w:type="dxa"/>
            <w:vAlign w:val="bottom"/>
            <w:gridSpan w:val="21"/>
          </w:tcPr>
          <w:p>
            <w:pPr>
              <w:spacing w:after="0" w:line="176" w:lineRule="exact"/>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EE"/>
              </w:rPr>
              <w:t>Legal Proceedings</w:t>
            </w:r>
          </w:p>
        </w:tc>
        <w:tc>
          <w:tcPr>
            <w:tcW w:w="360" w:type="dxa"/>
            <w:vAlign w:val="bottom"/>
            <w:gridSpan w:val="5"/>
          </w:tcPr>
          <w:p>
            <w:pPr>
              <w:jc w:val="center"/>
              <w:spacing w:after="0" w:line="176" w:lineRule="exact"/>
              <w:rPr>
                <w:sz w:val="20"/>
                <w:szCs w:val="20"/>
                <w:color w:val="auto"/>
              </w:rPr>
            </w:pPr>
            <w:r>
              <w:rPr>
                <w:rFonts w:ascii="Arial" w:cs="Arial" w:eastAsia="Arial" w:hAnsi="Arial"/>
                <w:sz w:val="18"/>
                <w:szCs w:val="18"/>
                <w:color w:val="0000EE"/>
                <w:w w:val="89"/>
              </w:rPr>
              <w:t>36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EE"/>
              </w:rPr>
              <w:t>Risk Factors</w:t>
            </w:r>
          </w:p>
        </w:tc>
        <w:tc>
          <w:tcPr>
            <w:tcW w:w="36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36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1"/>
          </w:tcPr>
          <w:p>
            <w:pPr>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Unregistered Sales of Equity Securities and Use of Proceeds</w:t>
            </w:r>
          </w:p>
        </w:tc>
        <w:tc>
          <w:tcPr>
            <w:tcW w:w="360" w:type="dxa"/>
            <w:vAlign w:val="bottom"/>
            <w:gridSpan w:val="5"/>
          </w:tcPr>
          <w:p>
            <w:pPr>
              <w:jc w:val="center"/>
              <w:spacing w:after="0" w:line="176" w:lineRule="exact"/>
              <w:rPr>
                <w:sz w:val="20"/>
                <w:szCs w:val="20"/>
                <w:color w:val="auto"/>
              </w:rPr>
            </w:pPr>
            <w:r>
              <w:rPr>
                <w:rFonts w:ascii="Arial" w:cs="Arial" w:eastAsia="Arial" w:hAnsi="Arial"/>
                <w:sz w:val="18"/>
                <w:szCs w:val="18"/>
                <w:color w:val="0000EE"/>
                <w:w w:val="89"/>
              </w:rPr>
              <w:t>70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EE"/>
              </w:rPr>
              <w:t>Defaults Upon Senior Secured Securities</w:t>
            </w:r>
          </w:p>
        </w:tc>
        <w:tc>
          <w:tcPr>
            <w:tcW w:w="36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70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1"/>
          </w:tcPr>
          <w:p>
            <w:pPr>
              <w:spacing w:after="0" w:line="176" w:lineRule="exact"/>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color w:val="0000EE"/>
              </w:rPr>
              <w:t>Exhibits</w:t>
            </w:r>
          </w:p>
        </w:tc>
        <w:tc>
          <w:tcPr>
            <w:tcW w:w="360" w:type="dxa"/>
            <w:vAlign w:val="bottom"/>
            <w:gridSpan w:val="5"/>
          </w:tcPr>
          <w:p>
            <w:pPr>
              <w:jc w:val="center"/>
              <w:spacing w:after="0" w:line="176" w:lineRule="exact"/>
              <w:rPr>
                <w:sz w:val="20"/>
                <w:szCs w:val="20"/>
                <w:color w:val="auto"/>
              </w:rPr>
            </w:pPr>
            <w:r>
              <w:rPr>
                <w:rFonts w:ascii="Arial" w:cs="Arial" w:eastAsia="Arial" w:hAnsi="Arial"/>
                <w:sz w:val="18"/>
                <w:szCs w:val="18"/>
                <w:color w:val="0000EE"/>
                <w:w w:val="89"/>
              </w:rPr>
              <w:t>71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560" w:type="dxa"/>
            <w:vAlign w:val="bottom"/>
            <w:gridSpan w:val="21"/>
          </w:tcPr>
          <w:p>
            <w:pPr>
              <w:spacing w:after="0" w:line="176" w:lineRule="exact"/>
              <w:rPr>
                <w:sz w:val="20"/>
                <w:szCs w:val="20"/>
                <w:color w:val="auto"/>
              </w:rPr>
            </w:pPr>
            <w:r>
              <w:rPr>
                <w:rFonts w:ascii="Arial" w:cs="Arial" w:eastAsia="Arial" w:hAnsi="Arial"/>
                <w:sz w:val="18"/>
                <w:szCs w:val="18"/>
                <w:color w:val="0000EE"/>
              </w:rPr>
              <w:t>SIGNATURES</w:t>
            </w:r>
          </w:p>
        </w:tc>
        <w:tc>
          <w:tcPr>
            <w:tcW w:w="360" w:type="dxa"/>
            <w:vAlign w:val="bottom"/>
            <w:gridSpan w:val="5"/>
          </w:tcPr>
          <w:p>
            <w:pPr>
              <w:jc w:val="center"/>
              <w:spacing w:after="0" w:line="176" w:lineRule="exact"/>
              <w:rPr>
                <w:sz w:val="20"/>
                <w:szCs w:val="20"/>
                <w:color w:val="auto"/>
              </w:rPr>
            </w:pPr>
            <w:r>
              <w:rPr>
                <w:rFonts w:ascii="Arial" w:cs="Arial" w:eastAsia="Arial" w:hAnsi="Arial"/>
                <w:sz w:val="18"/>
                <w:szCs w:val="18"/>
                <w:color w:val="0000EE"/>
                <w:w w:val="89"/>
              </w:rPr>
              <w:t>72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0"/>
        </w:trPr>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VISTAGEN THERAPEUTICS,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28"/>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19"/>
                <w:szCs w:val="19"/>
                <w:color w:val="auto"/>
              </w:rPr>
            </w:pPr>
          </w:p>
        </w:tc>
      </w:tr>
      <w:tr>
        <w:trPr>
          <w:trHeight w:val="39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35,287,200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68,135,300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1,559,600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36,913,800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70,998,000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Right-of-use asset - operating lease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2,465,700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2,662,000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251,100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146,400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40,701,700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2,957,800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2,758,600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455,500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6,045,400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5,765,100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2,671,800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1,557,600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2,371,200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2,605,400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4,163,000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11,096,700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9,928,100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Preferred stock, $0.001 par value; 10,000,000 shares authorized at September 30, 2022 and March 31,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2022: no shares outstanding at September 30, 2022 and March 31, 2022</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September 30, 2022 and March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2022; 206,972,010 and 206,676,620 shares issued at September 30, 2022 and March 31, 2022,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338,229,600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336,080,700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Treasury stock, at cost, 135,665 shares of common stock held at September 30, 2022 and March 31, 2022</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(304,863,500)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(267,604,000)</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29,605,000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40,701,700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74,643,400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712,100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(892,500)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(582,500)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712,100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12,894,500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9,936,300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28,185,800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15,393,500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3,702,300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3,221,200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8,494,100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5,864,300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16,596,800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13,157,500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36,679,900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21,257,800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(17,489,300)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(12,799,500)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(37,262,400)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(20,545,700)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(12,794,400)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(37,254,000)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(20,535,500)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(12,794,400)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(37,259,500)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(20,538,900)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(375,200)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(737,000)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(17,483,200)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(13,169,600)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(37,259,500)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(21,275,900)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5"/>
              </w:rPr>
              <w:t>Basic and diluted net loss attributable to common stockholders per common</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(0.08)</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0"/>
        </w:trPr>
        <w:tc>
          <w:tcPr>
            <w:tcW w:w="5980" w:type="dxa"/>
            <w:vAlign w:val="bottom"/>
          </w:tcPr>
          <w:p>
            <w:pPr>
              <w:ind w:left="180"/>
              <w:spacing w:after="0" w:line="190" w:lineRule="exact"/>
              <w:rPr>
                <w:sz w:val="20"/>
                <w:szCs w:val="20"/>
                <w:color w:val="auto"/>
              </w:rPr>
            </w:pPr>
            <w:r>
              <w:rPr>
                <w:rFonts w:ascii="Arial" w:cs="Arial" w:eastAsia="Arial" w:hAnsi="Arial"/>
                <w:sz w:val="18"/>
                <w:szCs w:val="18"/>
                <w:color w:val="auto"/>
              </w:rPr>
              <w:t>share</w:t>
            </w: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3"/>
              </w:rPr>
              <w:t>206,811,249</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3"/>
              </w:rPr>
              <w:t>193,227,841</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206,704,573</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3"/>
              </w:rPr>
              <w:t>191,585,026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2"/>
              </w:rPr>
              <w:t>Six Months Ended September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(37,259,500)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(20,538,900)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1,988,600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1,354,900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 of use asset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Expense related to write-off of deferred offering costs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2,431,400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(1,801,100)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(174,700)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527,700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(645,200)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3,688,800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(32,309,100)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(17,622,500)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(199,500)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(200,400)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 and warrants, including option exercises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exercise of warrants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4,254,800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Net proceeds (expense) from sale of common stock under At the Market (ATM) facility, net of deferred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costs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3,999,100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sale of common stock under Employee Stock Purchase Plan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financing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notes payable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(409,700)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8,341,700</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(32,848,100)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(9,481,200)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68,135,300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103,108,300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35,287,200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93,627,100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1,139,700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737,000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Borders>
              <w:right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1"/>
              </w:rPr>
              <w:t>Series A Preferred</w:t>
            </w:r>
          </w:p>
        </w:tc>
        <w:tc>
          <w:tcPr>
            <w:tcW w:w="40" w:type="dxa"/>
            <w:vAlign w:val="bottom"/>
          </w:tcPr>
          <w:p>
            <w:pPr>
              <w:spacing w:after="0"/>
              <w:rPr>
                <w:sz w:val="23"/>
                <w:szCs w:val="23"/>
                <w:color w:val="auto"/>
              </w:rPr>
            </w:pPr>
          </w:p>
        </w:tc>
        <w:tc>
          <w:tcPr>
            <w:tcW w:w="128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Series B Preferred</w:t>
            </w:r>
          </w:p>
        </w:tc>
        <w:tc>
          <w:tcPr>
            <w:tcW w:w="40" w:type="dxa"/>
            <w:vAlign w:val="bottom"/>
          </w:tcPr>
          <w:p>
            <w:pPr>
              <w:spacing w:after="0"/>
              <w:rPr>
                <w:sz w:val="23"/>
                <w:szCs w:val="23"/>
                <w:color w:val="auto"/>
              </w:rPr>
            </w:pPr>
          </w:p>
        </w:tc>
        <w:tc>
          <w:tcPr>
            <w:tcW w:w="128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Series C Preferred</w:t>
            </w:r>
          </w:p>
        </w:tc>
        <w:tc>
          <w:tcPr>
            <w:tcW w:w="40" w:type="dxa"/>
            <w:vAlign w:val="bottom"/>
          </w:tcPr>
          <w:p>
            <w:pPr>
              <w:spacing w:after="0"/>
              <w:rPr>
                <w:sz w:val="23"/>
                <w:szCs w:val="23"/>
                <w:color w:val="auto"/>
              </w:rPr>
            </w:pPr>
          </w:p>
        </w:tc>
        <w:tc>
          <w:tcPr>
            <w:tcW w:w="1260" w:type="dxa"/>
            <w:vAlign w:val="bottom"/>
            <w:tcBorders>
              <w:right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3"/>
              </w:rPr>
              <w:t>Series D Preferred</w:t>
            </w:r>
          </w:p>
        </w:tc>
        <w:tc>
          <w:tcPr>
            <w:tcW w:w="40" w:type="dxa"/>
            <w:vAlign w:val="bottom"/>
          </w:tcPr>
          <w:p>
            <w:pPr>
              <w:spacing w:after="0"/>
              <w:rPr>
                <w:sz w:val="23"/>
                <w:szCs w:val="23"/>
                <w:color w:val="auto"/>
              </w:rPr>
            </w:pPr>
          </w:p>
        </w:tc>
        <w:tc>
          <w:tcPr>
            <w:tcW w:w="1480" w:type="dxa"/>
            <w:vAlign w:val="bottom"/>
            <w:tcBorders>
              <w:right w:val="single" w:sz="8" w:color="auto"/>
            </w:tcBorders>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8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3"/>
                <w:szCs w:val="2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89"/>
              </w:rPr>
              <w:t>Stock</w:t>
            </w: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89"/>
              </w:rPr>
              <w:t>Stock</w:t>
            </w: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Stock</w:t>
            </w: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Borders>
              <w:right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right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right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right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500,000</w:t>
            </w:r>
          </w:p>
        </w:tc>
        <w:tc>
          <w:tcPr>
            <w:tcW w:w="200" w:type="dxa"/>
            <w:vAlign w:val="bottom"/>
            <w:vMerge w:val="restart"/>
            <w:shd w:val="clear" w:color="auto" w:fill="CCEEFF"/>
          </w:tcPr>
          <w:p>
            <w:pPr>
              <w:jc w:val="right"/>
              <w:ind w:right="75"/>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1,131,669</w:t>
            </w: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1,100</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2,318,012</w:t>
            </w: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2,300</w:t>
            </w:r>
          </w:p>
        </w:tc>
        <w:tc>
          <w:tcPr>
            <w:tcW w:w="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402,149</w:t>
            </w:r>
          </w:p>
        </w:tc>
        <w:tc>
          <w:tcPr>
            <w:tcW w:w="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400</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5"/>
              </w:rPr>
              <w:t>180,751,234</w:t>
            </w:r>
          </w:p>
        </w:tc>
        <w:tc>
          <w:tcPr>
            <w:tcW w:w="6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$ 180,800</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$ 315,603,100</w:t>
            </w:r>
          </w:p>
        </w:tc>
        <w:tc>
          <w:tcPr>
            <w:tcW w:w="86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4"/>
                <w:szCs w:val="14"/>
                <w:b w:val="1"/>
                <w:bCs w:val="1"/>
                <w:color w:val="auto"/>
                <w:w w:val="91"/>
              </w:rPr>
              <w:t>$ (3,968,100)</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(219,841,700)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6"/>
              </w:rPr>
              <w:t>91,978,500</w:t>
            </w: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2021</w:t>
            </w:r>
          </w:p>
        </w:tc>
        <w:tc>
          <w:tcPr>
            <w:tcW w:w="6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8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4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tcBorders>
              <w:right w:val="single" w:sz="8" w:color="auto"/>
            </w:tcBorders>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Preferred</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(361,800)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(361,800)</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compensation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590,400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590,400</w:t>
            </w: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w w:val="97"/>
              </w:rPr>
              <w:t>from exercise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of warrants</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1,516,768</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1,500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1,108,200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1,109,700</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Series D</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into</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(402,149)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9,249,427</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Stock</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16,251</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31,600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31,600</w:t>
            </w: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options</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82,504</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15,824</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12,900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quarter ended</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(7,744,500)</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(7,744,500)</w:t>
            </w:r>
          </w:p>
        </w:tc>
        <w:tc>
          <w:tcPr>
            <w:tcW w:w="0" w:type="dxa"/>
            <w:vAlign w:val="bottom"/>
          </w:tcPr>
          <w:p>
            <w:pPr>
              <w:spacing w:after="0"/>
              <w:rPr>
                <w:sz w:val="1"/>
                <w:szCs w:val="1"/>
                <w:color w:val="auto"/>
              </w:rPr>
            </w:pPr>
          </w:p>
        </w:tc>
      </w:tr>
      <w:tr>
        <w:trPr>
          <w:trHeight w:val="154"/>
        </w:trPr>
        <w:tc>
          <w:tcPr>
            <w:tcW w:w="8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w w:val="92"/>
              </w:rPr>
              <w:t>June 30, 2021</w:t>
            </w:r>
          </w:p>
        </w:tc>
        <w:tc>
          <w:tcPr>
            <w:tcW w:w="660" w:type="dxa"/>
            <w:vAlign w:val="bottom"/>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80" w:type="dxa"/>
            <w:vAlign w:val="bottom"/>
            <w:tcBorders>
              <w:right w:val="single" w:sz="8" w:color="auto"/>
            </w:tcBorders>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4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2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500,000</w:t>
            </w:r>
          </w:p>
        </w:tc>
        <w:tc>
          <w:tcPr>
            <w:tcW w:w="200" w:type="dxa"/>
            <w:vAlign w:val="bottom"/>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500</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1,131,669</w:t>
            </w:r>
          </w:p>
        </w:tc>
        <w:tc>
          <w:tcPr>
            <w:tcW w:w="160" w:type="dxa"/>
            <w:vAlign w:val="bottom"/>
          </w:tcPr>
          <w:p>
            <w:pPr>
              <w:spacing w:after="0"/>
              <w:rPr>
                <w:sz w:val="12"/>
                <w:szCs w:val="12"/>
                <w:color w:val="auto"/>
              </w:rPr>
            </w:pP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1,100</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2,318,012</w:t>
            </w:r>
          </w:p>
        </w:tc>
        <w:tc>
          <w:tcPr>
            <w:tcW w:w="160" w:type="dxa"/>
            <w:vAlign w:val="bottom"/>
          </w:tcPr>
          <w:p>
            <w:pPr>
              <w:spacing w:after="0"/>
              <w:rPr>
                <w:sz w:val="12"/>
                <w:szCs w:val="12"/>
                <w:color w:val="auto"/>
              </w:rPr>
            </w:pP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2,300</w:t>
            </w:r>
          </w:p>
        </w:tc>
        <w:tc>
          <w:tcPr>
            <w:tcW w:w="40" w:type="dxa"/>
            <w:vAlign w:val="bottom"/>
          </w:tcPr>
          <w:p>
            <w:pPr>
              <w:spacing w:after="0"/>
              <w:rPr>
                <w:sz w:val="12"/>
                <w:szCs w:val="12"/>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5"/>
              </w:rPr>
              <w:t>191,632,008</w:t>
            </w:r>
          </w:p>
        </w:tc>
        <w:tc>
          <w:tcPr>
            <w:tcW w:w="6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191,600</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316,975,600</w:t>
            </w:r>
          </w:p>
        </w:tc>
        <w:tc>
          <w:tcPr>
            <w:tcW w:w="8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(3,968,100)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(227,586,200)</w:t>
            </w:r>
          </w:p>
        </w:tc>
        <w:tc>
          <w:tcPr>
            <w:tcW w:w="14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85,616,900</w:t>
            </w:r>
          </w:p>
        </w:tc>
        <w:tc>
          <w:tcPr>
            <w:tcW w:w="0" w:type="dxa"/>
            <w:vAlign w:val="bottom"/>
          </w:tcPr>
          <w:p>
            <w:pPr>
              <w:spacing w:after="0"/>
              <w:rPr>
                <w:sz w:val="1"/>
                <w:szCs w:val="1"/>
                <w:color w:val="auto"/>
              </w:rPr>
            </w:pPr>
          </w:p>
        </w:tc>
      </w:tr>
      <w:tr>
        <w:trPr>
          <w:trHeight w:val="158"/>
        </w:trPr>
        <w:tc>
          <w:tcPr>
            <w:tcW w:w="840" w:type="dxa"/>
            <w:vAlign w:val="bottom"/>
          </w:tcPr>
          <w:p>
            <w:pPr>
              <w:spacing w:after="0" w:line="158" w:lineRule="exact"/>
              <w:rPr>
                <w:sz w:val="20"/>
                <w:szCs w:val="20"/>
                <w:color w:val="auto"/>
              </w:rPr>
            </w:pPr>
            <w:r>
              <w:rPr>
                <w:rFonts w:ascii="Arial" w:cs="Arial" w:eastAsia="Arial" w:hAnsi="Arial"/>
                <w:sz w:val="14"/>
                <w:szCs w:val="14"/>
                <w:b w:val="1"/>
                <w:bCs w:val="1"/>
                <w:color w:val="auto"/>
              </w:rPr>
              <w:t>2021</w:t>
            </w:r>
          </w:p>
        </w:tc>
        <w:tc>
          <w:tcPr>
            <w:tcW w:w="6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tcBorders>
              <w:right w:val="single" w:sz="8" w:color="auto"/>
            </w:tcBorders>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Preferred</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(375,200)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(375,200)</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compensation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764,500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764,500</w:t>
            </w: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w w:val="97"/>
              </w:rPr>
              <w:t>from exercise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of warrants</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3,297,777</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3,300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3,141,800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3,145,100</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Net proceeds</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from issuance</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common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under</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ATM facility</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1,502,378</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4,256,300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4,257,800</w:t>
            </w:r>
          </w:p>
        </w:tc>
        <w:tc>
          <w:tcPr>
            <w:tcW w:w="0" w:type="dxa"/>
            <w:vAlign w:val="bottom"/>
          </w:tcPr>
          <w:p>
            <w:pPr>
              <w:spacing w:after="0"/>
              <w:rPr>
                <w:sz w:val="1"/>
                <w:szCs w:val="1"/>
                <w:color w:val="auto"/>
              </w:rPr>
            </w:pPr>
          </w:p>
        </w:tc>
      </w:tr>
      <w:tr>
        <w:trPr>
          <w:trHeight w:val="130"/>
        </w:trPr>
        <w:tc>
          <w:tcPr>
            <w:tcW w:w="84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4"/>
                <w:szCs w:val="14"/>
                <w:color w:val="auto"/>
              </w:rPr>
              <w:t>options</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43,622</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83,000</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45,000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45,100</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quarter ended</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w:t>
            </w:r>
          </w:p>
        </w:tc>
        <w:tc>
          <w:tcPr>
            <w:tcW w:w="6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(12,794,400)</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(12,794,400)</w:t>
            </w:r>
          </w:p>
        </w:tc>
        <w:tc>
          <w:tcPr>
            <w:tcW w:w="0" w:type="dxa"/>
            <w:vAlign w:val="bottom"/>
          </w:tcPr>
          <w:p>
            <w:pPr>
              <w:spacing w:after="0"/>
              <w:rPr>
                <w:sz w:val="1"/>
                <w:szCs w:val="1"/>
                <w:color w:val="auto"/>
              </w:rPr>
            </w:pPr>
          </w:p>
        </w:tc>
      </w:tr>
      <w:tr>
        <w:trPr>
          <w:trHeight w:val="154"/>
        </w:trPr>
        <w:tc>
          <w:tcPr>
            <w:tcW w:w="8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30, 2021</w:t>
            </w:r>
          </w:p>
        </w:tc>
        <w:tc>
          <w:tcPr>
            <w:tcW w:w="660" w:type="dxa"/>
            <w:vAlign w:val="bottom"/>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80" w:type="dxa"/>
            <w:vAlign w:val="bottom"/>
            <w:tcBorders>
              <w:right w:val="single" w:sz="8" w:color="auto"/>
            </w:tcBorders>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500,000</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1,131,669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1,100</w:t>
            </w:r>
          </w:p>
        </w:tc>
        <w:tc>
          <w:tcPr>
            <w:tcW w:w="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2,318,012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2,300</w:t>
            </w:r>
          </w:p>
        </w:tc>
        <w:tc>
          <w:tcPr>
            <w:tcW w:w="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196,558,785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196,500</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324,808,000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(3,968,100</w:t>
            </w:r>
          </w:p>
        </w:tc>
        <w:tc>
          <w:tcPr>
            <w:tcW w:w="120" w:type="dxa"/>
            <w:vAlign w:val="bottom"/>
            <w:vMerge w:val="restart"/>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(240,380,600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80,659,800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30, 2021</w:t>
            </w:r>
          </w:p>
        </w:tc>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Balances at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2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206,676,620</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$ 206,700</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$ 336,080,700</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1"/>
              </w:rPr>
              <w:t>$ (3,968,100)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 (267,604,000)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64,715,300</w:t>
            </w: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compensation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expense</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956,900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956,900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99,900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75,000</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56,000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loss for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quarter ended</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(19,776,300)</w:t>
            </w: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w w:val="95"/>
              </w:rPr>
              <w:t>(19,776,300)</w:t>
            </w:r>
          </w:p>
        </w:tc>
        <w:tc>
          <w:tcPr>
            <w:tcW w:w="0" w:type="dxa"/>
            <w:vAlign w:val="bottom"/>
          </w:tcPr>
          <w:p>
            <w:pPr>
              <w:spacing w:after="0"/>
              <w:rPr>
                <w:sz w:val="1"/>
                <w:szCs w:val="1"/>
                <w:color w:val="auto"/>
              </w:rPr>
            </w:pPr>
          </w:p>
        </w:tc>
      </w:tr>
      <w:tr>
        <w:trPr>
          <w:trHeight w:val="154"/>
        </w:trPr>
        <w:tc>
          <w:tcPr>
            <w:tcW w:w="860" w:type="dxa"/>
            <w:vAlign w:val="bottom"/>
          </w:tcPr>
          <w:p>
            <w:pPr>
              <w:spacing w:after="0" w:line="154" w:lineRule="exact"/>
              <w:rPr>
                <w:sz w:val="20"/>
                <w:szCs w:val="20"/>
                <w:color w:val="auto"/>
              </w:rPr>
            </w:pPr>
            <w:r>
              <w:rPr>
                <w:rFonts w:ascii="Arial" w:cs="Arial" w:eastAsia="Arial" w:hAnsi="Arial"/>
                <w:sz w:val="14"/>
                <w:szCs w:val="14"/>
                <w:color w:val="auto"/>
                <w:w w:val="94"/>
              </w:rPr>
              <w:t>June 30, 2022</w:t>
            </w: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tcBorders>
              <w:right w:val="single" w:sz="8" w:color="auto"/>
            </w:tcBorders>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5"/>
              </w:rPr>
              <w:t>206,851,620</w:t>
            </w:r>
          </w:p>
        </w:tc>
        <w:tc>
          <w:tcPr>
            <w:tcW w:w="6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206,900</w:t>
            </w: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337,193,500</w:t>
            </w:r>
          </w:p>
        </w:tc>
        <w:tc>
          <w:tcPr>
            <w:tcW w:w="8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(3,968,100)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(287,380,300)</w:t>
            </w:r>
          </w:p>
        </w:tc>
        <w:tc>
          <w:tcPr>
            <w:tcW w:w="12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9"/>
              </w:rPr>
              <w:t>46,052,000</w:t>
            </w:r>
          </w:p>
        </w:tc>
        <w:tc>
          <w:tcPr>
            <w:tcW w:w="0" w:type="dxa"/>
            <w:vAlign w:val="bottom"/>
          </w:tcPr>
          <w:p>
            <w:pPr>
              <w:spacing w:after="0"/>
              <w:rPr>
                <w:sz w:val="1"/>
                <w:szCs w:val="1"/>
                <w:color w:val="auto"/>
              </w:rPr>
            </w:pPr>
          </w:p>
        </w:tc>
      </w:tr>
      <w:tr>
        <w:trPr>
          <w:trHeight w:val="158"/>
        </w:trPr>
        <w:tc>
          <w:tcPr>
            <w:tcW w:w="860" w:type="dxa"/>
            <w:vAlign w:val="bottom"/>
          </w:tcPr>
          <w:p>
            <w:pPr>
              <w:spacing w:after="0" w:line="158" w:lineRule="exact"/>
              <w:rPr>
                <w:sz w:val="20"/>
                <w:szCs w:val="20"/>
                <w:color w:val="auto"/>
              </w:rPr>
            </w:pPr>
            <w:r>
              <w:rPr>
                <w:rFonts w:ascii="Arial" w:cs="Arial" w:eastAsia="Arial" w:hAnsi="Arial"/>
                <w:sz w:val="14"/>
                <w:szCs w:val="14"/>
                <w:b w:val="1"/>
                <w:bCs w:val="1"/>
                <w:color w:val="auto"/>
              </w:rPr>
              <w:t>2022</w:t>
            </w: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tcBorders>
              <w:right w:val="single" w:sz="8" w:color="auto"/>
            </w:tcBorders>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compensation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expense</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1,031,800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1,031,800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11,000</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4,400</w:t>
            </w: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109,390</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100</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(100)</w:t>
            </w:r>
          </w:p>
        </w:tc>
        <w:tc>
          <w:tcPr>
            <w:tcW w:w="8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quarter ended</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(17,483,200)</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(17,483,200)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30, 2022</w:t>
            </w:r>
          </w:p>
        </w:tc>
        <w:tc>
          <w:tcPr>
            <w:tcW w:w="6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80" w:type="dxa"/>
            <w:vAlign w:val="bottom"/>
            <w:tcBorders>
              <w:right w:val="single" w:sz="8" w:color="auto"/>
            </w:tcBorders>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520"/>
              <w:spacing w:after="0"/>
              <w:rPr>
                <w:sz w:val="20"/>
                <w:szCs w:val="20"/>
                <w:color w:val="auto"/>
              </w:rPr>
            </w:pPr>
            <w:r>
              <w:rPr>
                <w:rFonts w:ascii="Arial" w:cs="Arial" w:eastAsia="Arial" w:hAnsi="Arial"/>
                <w:sz w:val="8"/>
                <w:szCs w:val="8"/>
                <w:b w:val="1"/>
                <w:bCs w:val="1"/>
                <w:color w:val="auto"/>
                <w:w w:val="73"/>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right w:val="single" w:sz="8" w:color="auto"/>
            </w:tcBorders>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206,972,010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$ 207,000</w:t>
            </w: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$ 338,229,600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120" w:type="dxa"/>
            <w:vAlign w:val="bottom"/>
            <w:vMerge w:val="restart"/>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(304,863,500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29,605,000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30, 2022</w:t>
            </w: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advancing therapeutics with the potential to be faster-acting, and with fewer side effects and safety concerns, than those that are currently available for neuropsychiatric disorders with high unmet need. Our most-advanced clinical-stage candidates, PH94B and PH10, are targeting multiple forms of anxiety and depression. Both PH94B and PH10 belong to a new class of drugs known as pherines. At microgram level doses, these investigational neuroactive steroids are formulated as nasal sprays designed to achieve rapid-onset anti-anxiety (PH94B) or antidepressant (PH10</w:t>
      </w:r>
      <w:r>
        <w:rPr>
          <w:rFonts w:ascii="Arial" w:cs="Arial" w:eastAsia="Arial" w:hAnsi="Arial"/>
          <w:sz w:val="16"/>
          <w:szCs w:val="16"/>
          <w:i w:val="1"/>
          <w:iCs w:val="1"/>
          <w:color w:val="auto"/>
        </w:rPr>
        <w:t>)</w:t>
      </w:r>
      <w:r>
        <w:rPr>
          <w:rFonts w:ascii="Arial" w:cs="Arial" w:eastAsia="Arial" w:hAnsi="Arial"/>
          <w:sz w:val="16"/>
          <w:szCs w:val="16"/>
          <w:color w:val="auto"/>
        </w:rPr>
        <w:t xml:space="preserve"> effects by directly activating chemosensory neurons located in the nasal passages, which neurons then impact olfactory amygdala “fear off” and “fear on” neural circuits in the brain, without requiring systemic uptake or direct activity on CNS neurons in the brain. Our goal is to become a biopharmaceutical company that develops and commercializes innovative therapies for highly prevalent CNS indications where current treatment options are inadequate to meet the needs of millions of patients in the U.S. and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PH94B is a first-in-class synthetic investigational pherine nasal spray designed with a novel rapid-onset mechanism of action (</w:t>
      </w:r>
      <w:r>
        <w:rPr>
          <w:rFonts w:ascii="Arial" w:cs="Arial" w:eastAsia="Arial" w:hAnsi="Arial"/>
          <w:sz w:val="17"/>
          <w:szCs w:val="17"/>
          <w:i w:val="1"/>
          <w:iCs w:val="1"/>
          <w:color w:val="auto"/>
        </w:rPr>
        <w:t>MOA</w:t>
      </w:r>
      <w:r>
        <w:rPr>
          <w:rFonts w:ascii="Arial" w:cs="Arial" w:eastAsia="Arial" w:hAnsi="Arial"/>
          <w:sz w:val="17"/>
          <w:szCs w:val="17"/>
          <w:color w:val="auto"/>
        </w:rPr>
        <w:t>) that regulates the neural circuits of fear and anxiety and attenuates the tone of the sympathetic autonomic nervous system. PH94B is administered intranasally in microgram doses directly onto receptors for chemosensory neurons located in the nasal passages, which neurons then impact olfactory amygdala “fear off” neural circuits in the brain. The proposed MOA of PH94B is fundamentally differentiated from all currently approved anti-anxiety medications, including the antidepressants approved by the FDA for the treatment of Social Anxiety Disorder (</w:t>
      </w:r>
      <w:r>
        <w:rPr>
          <w:rFonts w:ascii="Arial" w:cs="Arial" w:eastAsia="Arial" w:hAnsi="Arial"/>
          <w:sz w:val="17"/>
          <w:szCs w:val="17"/>
          <w:i w:val="1"/>
          <w:iCs w:val="1"/>
          <w:color w:val="auto"/>
        </w:rPr>
        <w:t>SAD</w:t>
      </w:r>
      <w:r>
        <w:rPr>
          <w:rFonts w:ascii="Arial" w:cs="Arial" w:eastAsia="Arial" w:hAnsi="Arial"/>
          <w:sz w:val="17"/>
          <w:szCs w:val="17"/>
          <w:color w:val="auto"/>
        </w:rPr>
        <w:t>), as well as all benzodiazepines and beta blockers prescribed for treatment of SAD on an off-label basis. The proposed MOA for PH94B does not involve systemic uptake, direct activation of GABA-A receptors in the brain, or direct activation of CNS neurons in the brain. Rather, when administered intranasally, PH94B activates chemosensory neurons in the nose that activate neural circuits involving olfactory bulb neurons and the limbic amygdala, a region in the brain that is involved in the pathophysiology of SAD and potentially several other anxiety and mood disorders.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evaluating PH94B for the potential treatment of multiple anxiety disorders, including for adults with SAD and for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Both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 including SAD, AjDA and many others.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2021, we initiated our PALISADE Phase 3 Program for PH94B in SAD with PALISADE-1, our single-administration assessment Phase 3 clinical study of PH94B for the acute treatment of anxiety in adults with SAD. In July 2022, we announced that PALISADE-1 did not achieve its primary endpoint, as measured by change from baseline using the Subjective Units of Distress Scale (</w:t>
      </w:r>
      <w:r>
        <w:rPr>
          <w:rFonts w:ascii="Arial" w:cs="Arial" w:eastAsia="Arial" w:hAnsi="Arial"/>
          <w:sz w:val="18"/>
          <w:szCs w:val="18"/>
          <w:i w:val="1"/>
          <w:iCs w:val="1"/>
          <w:color w:val="auto"/>
        </w:rPr>
        <w:t>SUDS</w:t>
      </w:r>
      <w:r>
        <w:rPr>
          <w:rFonts w:ascii="Arial" w:cs="Arial" w:eastAsia="Arial" w:hAnsi="Arial"/>
          <w:sz w:val="18"/>
          <w:szCs w:val="18"/>
          <w:color w:val="auto"/>
        </w:rPr>
        <w:t>) as compared to placebo. Although PALISADE-1 did not meet its primary efficacy endpoint, the safety and tolerability of PH94B in PALISADE-1 were favorable and consistent with previously reported results from previous clinical trials.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2021, we initiated PALISADE-2, which involves the same study design as PALISADE-1 but primarily involves different clinical sites.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Although we did not and do not have access to any unblinded data from PALISADE-2, based on the outcome of the interim analysis and the recommendation from the independent biostatisticians, we are preparing to restart PALISADE-2 as soon as practicable and continue the study to full targeted enrollment of 208 subjects. In addition to preparing to restart PALISADE-2, we are planning to meet with the FDA as soon as possible in the near term to discuss and reach consensus with the FDA on the next step in our Phase 3 development program for PH94B as a potential treatment for adults with SAD.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PH10 Nasal Spray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PH10 is an investigational pherine nasal spray with a potential rapid-onset MOA that is fundamentally differentiated from the MOA of all currently approved treatments for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w:t>
      </w:r>
      <w:r>
        <w:rPr>
          <w:rFonts w:ascii="Arial" w:cs="Arial" w:eastAsia="Arial" w:hAnsi="Arial"/>
          <w:sz w:val="18"/>
          <w:szCs w:val="18"/>
          <w:i w:val="1"/>
          <w:iCs w:val="1"/>
          <w:color w:val="auto"/>
        </w:rPr>
        <w:t>Ads</w:t>
      </w:r>
      <w:r>
        <w:rPr>
          <w:rFonts w:ascii="Arial" w:cs="Arial" w:eastAsia="Arial" w:hAnsi="Arial"/>
          <w:sz w:val="18"/>
          <w:szCs w:val="18"/>
          <w:color w:val="auto"/>
        </w:rPr>
        <w:t>) and rapid-onset ketamine-based therapy (</w:t>
      </w:r>
      <w:r>
        <w:rPr>
          <w:rFonts w:ascii="Arial" w:cs="Arial" w:eastAsia="Arial" w:hAnsi="Arial"/>
          <w:sz w:val="18"/>
          <w:szCs w:val="18"/>
          <w:i w:val="1"/>
          <w:iCs w:val="1"/>
          <w:color w:val="auto"/>
        </w:rPr>
        <w:t>KBT</w:t>
      </w:r>
      <w:r>
        <w:rPr>
          <w:rFonts w:ascii="Arial" w:cs="Arial" w:eastAsia="Arial" w:hAnsi="Arial"/>
          <w:sz w:val="18"/>
          <w:szCs w:val="18"/>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 small (n=30) exploratory randomized, double-blind, placebo-controlled parallel design Phase 2A study in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conducted in Mexico, at a 6.4 μg dose administered intranasally twice daily for 8 weeks, PH10 significantly reduced depressive symptoms as early as one week based on the 17-item Hamilton Depression Scale (</w:t>
      </w:r>
      <w:r>
        <w:rPr>
          <w:rFonts w:ascii="Arial" w:cs="Arial" w:eastAsia="Arial" w:hAnsi="Arial"/>
          <w:sz w:val="16"/>
          <w:szCs w:val="16"/>
          <w:i w:val="1"/>
          <w:iCs w:val="1"/>
          <w:color w:val="auto"/>
        </w:rPr>
        <w:t>HAM-D-17</w:t>
      </w:r>
      <w:r>
        <w:rPr>
          <w:rFonts w:ascii="Arial" w:cs="Arial" w:eastAsia="Arial" w:hAnsi="Arial"/>
          <w:sz w:val="16"/>
          <w:szCs w:val="16"/>
          <w:color w:val="auto"/>
        </w:rPr>
        <w:t>) scores compared to placebo (p = 0.022). PH10 was well-tolerated and did not cause psychological side effects (such as dissociation and hallucinations) or other safety concerns that may be associated with KBT. We recently submitted our U.S.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to enable us to initiate a small Phase 1 clinical study of PH10 in the U.S. in healthy volunteers. Should the FDA permit us to proceed with the Phase 1 study, we plan to initiate the study before the end of calendar 2022. This small and brief Phase 1 study is intended to facilitate Phase 2B development of PH10 in the U.S., on our own or with a collaborator, as an innovative potential fast-acting stand-alone rapid-onset treatment of MDD. We may also have potential opportunities to develop PH10 for other several additional depression-related disorders.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is an oral prodrug of 7-chloro-kynurenic acid (7-Cl-KYNA), which is a potent and selective antagonist of the glycine co-agonist site of the NMDAR that inhibits the function of the NMDAR. Unlike ketamine and many other NMDAR antagonists, 7-Cl-KYNA is not an ion channel blocker. At doses administered in the Company’s studies completed to date, AV-101 has been observed to be well tolerated and has not exhibited dissociative or hallucinogenic psychological side effects or safety concerns, unlike KBT and certain other therapies targeting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which was dissolved in April 2022,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 which was dissolved in June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2022 has been derived from our audited consolidated financial statements at that date but does not include all disclosures required by U.S. GAAP. The operating results for the six months ended September 30, 2022 are not necessarily indicative of the operating results to be expected for our fiscal year ending March 31, 2023, or for any other future interim or other period.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2022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23, 2022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$304.9 million accumulated from inception ( May 1998) through September 30, 2022. We expect losses and negative cash flows from operations to continue for the foreseeable future as we engage in further development of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September 30,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our fiscal year ended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xml:space="preserve">),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w:t>
      </w:r>
      <w:r>
        <w:rPr>
          <w:rFonts w:ascii="Arial" w:cs="Arial" w:eastAsia="Arial" w:hAnsi="Arial"/>
          <w:sz w:val="16"/>
          <w:szCs w:val="16"/>
          <w:i w:val="1"/>
          <w:iCs w:val="1"/>
          <w:color w:val="auto"/>
        </w:rPr>
        <w:t>Sales Agreement</w:t>
      </w:r>
      <w:r>
        <w:rPr>
          <w:rFonts w:ascii="Arial" w:cs="Arial" w:eastAsia="Arial" w:hAnsi="Arial"/>
          <w:sz w:val="16"/>
          <w:szCs w:val="16"/>
          <w:color w:val="auto"/>
        </w:rPr>
        <w:t xml:space="preserve">) with respect to an at-the-market offering program (the </w:t>
      </w:r>
      <w:r>
        <w:rPr>
          <w:rFonts w:ascii="Arial" w:cs="Arial" w:eastAsia="Arial" w:hAnsi="Arial"/>
          <w:sz w:val="16"/>
          <w:szCs w:val="16"/>
          <w:i w:val="1"/>
          <w:iCs w:val="1"/>
          <w:color w:val="auto"/>
        </w:rPr>
        <w:t>ATM</w:t>
      </w:r>
      <w:r>
        <w:rPr>
          <w:rFonts w:ascii="Arial" w:cs="Arial" w:eastAsia="Arial" w:hAnsi="Arial"/>
          <w:sz w:val="16"/>
          <w:szCs w:val="16"/>
          <w:color w:val="auto"/>
        </w:rPr>
        <w:t>) under which we may offer and sell, from time to time, shares of our common 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 xml:space="preserve">), we received approximately $119 million in net cash proceeds, primarily from public offerings conducted in August 2020 and December 2020, the exercise of approximately 6.6 million outstanding warrants and the upfront license payment pursuant to our sublicense and collaboration agreement for PH94B (the </w:t>
      </w:r>
      <w:r>
        <w:rPr>
          <w:rFonts w:ascii="Arial" w:cs="Arial" w:eastAsia="Arial" w:hAnsi="Arial"/>
          <w:sz w:val="16"/>
          <w:szCs w:val="16"/>
          <w:i w:val="1"/>
          <w:iCs w:val="1"/>
          <w:color w:val="auto"/>
        </w:rPr>
        <w:t>AffaMed Agreement</w:t>
      </w:r>
      <w:r>
        <w:rPr>
          <w:rFonts w:ascii="Arial" w:cs="Arial" w:eastAsia="Arial" w:hAnsi="Arial"/>
          <w:sz w:val="16"/>
          <w:szCs w:val="16"/>
          <w:color w:val="auto"/>
        </w:rPr>
        <w:t xml:space="preserve">), which is described more completely in Note 11, </w:t>
      </w:r>
      <w:r>
        <w:rPr>
          <w:rFonts w:ascii="Arial" w:cs="Arial" w:eastAsia="Arial" w:hAnsi="Arial"/>
          <w:sz w:val="16"/>
          <w:szCs w:val="16"/>
          <w:i w:val="1"/>
          <w:iCs w:val="1"/>
          <w:color w:val="auto"/>
        </w:rPr>
        <w:t>Sublicensing and 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financings and other transactions consummated during Fiscal 2022 and Fiscal 2021 have been the primary sources of our liquidity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Fiscal 2022 and through the date of this Report in our current fiscal year. During the six months ended September 30, 2022, we received approximately $160,500 in proceeds from the exercise of outstanding stock options and sales under our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had cash and cash equivalents of approximately $35.3 million at September 30, 2022, which we believe is probable not to be sufficient to fund our planned operations for the twelve months following the issuance of these consolidated financial statements, which raises substantial doubt that we can continue as a going concern. We are continuing to evaluate our cash resources given the results of PALISADE-1 and our decisions to (i) resume recruitment and enrollment in PALISADE-2 following the independent third-party interim analysis of data from subjects randomized in PALISADE-2 to date, (ii) end recruitment and enrollment in the PALISADE Open-Label Safety Study (</w:t>
      </w:r>
      <w:r>
        <w:rPr>
          <w:rFonts w:ascii="Arial" w:cs="Arial" w:eastAsia="Arial" w:hAnsi="Arial"/>
          <w:sz w:val="16"/>
          <w:szCs w:val="16"/>
          <w:i w:val="1"/>
          <w:iCs w:val="1"/>
          <w:color w:val="auto"/>
        </w:rPr>
        <w:t>PALISADE OLS</w:t>
      </w:r>
      <w:r>
        <w:rPr>
          <w:rFonts w:ascii="Arial" w:cs="Arial" w:eastAsia="Arial" w:hAnsi="Arial"/>
          <w:sz w:val="16"/>
          <w:szCs w:val="16"/>
          <w:color w:val="auto"/>
        </w:rPr>
        <w:t>), a multiple-use, multiple-assessment long-term safety study of PH94B for the treatment of SAD, (iii) continue our small exploratory Phase 2A clinical study of PH94B in adults experiencing AjDA and (iv) prepare to conduct a small and brief Phase 1 clinical safety study of PH10 to facilitate potential Phase 2B development, on our own or with a collaborator, of PH10 as a potential stand-alone rapid-onset treatment for MDD. We are continuing to evaluate the resulting implications for the conduct and timing of other clinical trials and strategies and opportunities for the development and commercialization, on our own or with collaborators, all of our product candidates. However, as we have not yet developed products that generate recurring revenue and, in the event we successfully complete future clinical and/or nonclinical programs, we will need to invest substantial additional capital resources to develop and commercialize our drug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necessary and advantageous, we will seek additional financial resources to fund our planned operations through (i) sales of our equity and/or debt securities in one or more public offerings and/or private placements, (ii) non-dilutive government grants and research awards and (iii) non-dilutive strategic collaborations to advance development and commercialization of our product candidates. For example, we may seek to enter research, development and/or commercialization collaborations similar to the AffaMed Agreement, which applies to development of PH94B in certain Pacific-Asian territories,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the on-going COVID-19 pandemic,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collaborations on terms acceptable to us. To further advance the clinical development of PH94B, PH10, and AV-101, as well as support our operating activities, we plan to continue to carefully manage our operating costs, including, but not limited to, our clinical and nonclinical programs.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the foregoing, there can be no assurance that future financings will be available to us in sufficient amounts, in a timely manner, or on terms acceptable to us, if at all, or that our current strategic collaboration under the AffaMed Agreement or other strategic collaborations will generate revenue from future potential milestone payments. Further, on September 6, 2022, we received a letter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could potentially result in a delisting of our common stock, which could materially reduce the liquidity of our common stock, result in a further reduction in the price of our common stock, require us to implement a reverse stock split, and/or impair our ability to raise capital through alternative financing sources on terms acceptable to us, or at all. If we are unable to obtain additional financing on a timely basis when needed, our business, financial condition, and results of operations may be harmed, the price of our common stock may decline, we may be required to reduce, defer, or discontinue certain of our research and development activities, and we may not be able to continue as a going concern. The Condensed Consolidated Financial Statements included in this Report do not include any adjustments that might result from the negative outcome of this uncertainty.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AffaMed Agreement, involving clinical development and commercialization of PH94B for acute treatment of anxiety in adults with SAD, and potentially other anxiety-related disorders, in Greater China, South Korea, and Southeast Asia, has been our only source of revenue for the six months ended September 30, 2022 and during both Fiscal 2022 and Fiscal 2021. The terms of the AffaMed Agreement include a $5.0 million non-refundable upfront license fee which we received in August 2020, potential payments based upon achievement of certain development and commercial milestones, and royalties on product sales. In prior years, we have occasionally generated revenue from collaborative research and development arrangements, licensing and technology transfer agreements, including strategic licenses or sublicenses, and government grants.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Once a contract is determined to be within the scope of Topic 606, we assess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ASC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transaction price is then determined and allocated to the identified performance obligations in proportion to their standalone selling prices (</w:t>
      </w:r>
      <w:r>
        <w:rPr>
          <w:rFonts w:ascii="Arial" w:cs="Arial" w:eastAsia="Arial" w:hAnsi="Arial"/>
          <w:sz w:val="18"/>
          <w:szCs w:val="18"/>
          <w:i w:val="1"/>
          <w:iCs w:val="1"/>
          <w:color w:val="auto"/>
        </w:rPr>
        <w:t>SSP</w:t>
      </w:r>
      <w:r>
        <w:rPr>
          <w:rFonts w:ascii="Arial" w:cs="Arial" w:eastAsia="Arial" w:hAnsi="Arial"/>
          <w:sz w:val="18"/>
          <w:szCs w:val="18"/>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 For the single combined performance obligation under the AffaMed Agreement, the measure of progress is stand-ready straight-line over the period in which we expect to perform the services related to the license of PH94B. Accordingly, we recognize revenue on a straight-line basis over the period in which we expect to perform the services. Revenue related to performance obligation satisfied over time could be materially impacted as a result of changes in the estimated time or effort necessary to satisfy the performance obligation.</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difference between revenue recognized to-date and the consideration invoiced or received to-date is recognized as either a contract asset/unbilled revenue (revenue earned exceeds cash received) or a contract liability/deferred revenue (cash received exceeds revenue earned). As described more completely in Note 11, </w:t>
      </w:r>
      <w:r>
        <w:rPr>
          <w:rFonts w:ascii="Arial" w:cs="Arial" w:eastAsia="Arial" w:hAnsi="Arial"/>
          <w:sz w:val="16"/>
          <w:szCs w:val="16"/>
          <w:i w:val="1"/>
          <w:iCs w:val="1"/>
          <w:color w:val="auto"/>
        </w:rPr>
        <w:t>Sublicensing and Collaborative Agreements</w:t>
      </w:r>
      <w:r>
        <w:rPr>
          <w:rFonts w:ascii="Arial" w:cs="Arial" w:eastAsia="Arial" w:hAnsi="Arial"/>
          <w:sz w:val="16"/>
          <w:szCs w:val="16"/>
          <w:color w:val="auto"/>
        </w:rPr>
        <w:t>, as a result of the outcome of PALISADE-1, we extended our estimate of the time necessary to complete our performance obligation under the AffaMed Agreement. In accordance with the guidance of ASC 606, the extension of the estimated time to complete our performance obligation required recording a cumulative catch-up adjustment in which we derecognized $892,500 and $582,500 of previously recognized revenue during the three and six months ended September 30, 2022, respectively, including $310,000 of revenue that had been recognized in the quarter ended June 30, 2022. Following the cumulative catch-up adjustment, through September 30, 2022, we have recognized an aggregate of $1,615,900 in revenue under the AffaMed Agreement and, at that date, we have recorded $3,384,100 as deferred revenue. The following table presents changes in our contract liabilities for the six months ended September 30, 2022 after giving effect to the cumulative catch-up adjustment: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1,244,000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(531,700)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1,557,600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1,114,200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2,671,800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2,801,600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(531,700)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3,384,100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September 30, 2022, we derecognized $892,500 and $582,500, respectively, resulting in negative revenue related to the AffaMed Agreement following the cumulative catch-up adjustment, compared to recognizing $358,000 and $712,100 of revenue for the three and six-months ended September 30,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quarter ended September 30, 2020, we made cash payments aggregating $345,000 for sublicense fees, which we were obligated to make pursuant to our PH94B license agreement with Pherin Pharmaceuticals, Inc. (</w:t>
      </w:r>
      <w:r>
        <w:rPr>
          <w:rFonts w:ascii="Arial" w:cs="Arial" w:eastAsia="Arial" w:hAnsi="Arial"/>
          <w:sz w:val="17"/>
          <w:szCs w:val="17"/>
          <w:i w:val="1"/>
          <w:iCs w:val="1"/>
          <w:color w:val="auto"/>
        </w:rPr>
        <w:t>Pherin</w:t>
      </w:r>
      <w:r>
        <w:rPr>
          <w:rFonts w:ascii="Arial" w:cs="Arial" w:eastAsia="Arial" w:hAnsi="Arial"/>
          <w:sz w:val="17"/>
          <w:szCs w:val="17"/>
          <w:color w:val="auto"/>
        </w:rPr>
        <w:t>),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 Capitalized contract acquisition costs are amortized over the period in which we expect to satisfy the performance obligation under the AffaMed Agreement and the amortization expense has been included in general and administrative expense in our Condensed Consolidated Statement of Operations and Comprehensive Loss. As described above, we have extended our estimate for the time required to satisfy our performance obligation under the AffaMed Agreement. Accordingly, our amortization of the contract acquisition costs is also subject to a cumulative catch-up adjustment. During the three and six months ended September 30, 2022, we recorded a cumulative catch-up adjustment pursuant to which we reversed previously recorded expense of $83,900 and $54,800, respectively, including $29,100 which had been recognized in the quarter ended June 30, 2022, to general and administrative expense in recognition of the services performed under the arrangement, compared to recording expense of $33,600 and $66,900 for the three and six months ended September 30, 2021, respectively. There has been no impairment loss in relation to the costs capitalized.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 acquisition costs for the six months ended September 30, 2022 after giving effect to the cumulative catch-up adjustment.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116,900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146,400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104,700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251,100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 is composed of both internal and external costs. Internal costs include salaries and employment-related expense, including stock-based compensation expense, of scientific personnel and direct project costs. External research and development expense consists primarily of costs associated with clinical and nonclinical development of PH94B, PH10, AV-101. All such costs are charged to expense as incurred.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565,600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450,900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1,192,900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800,500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1,354,900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Expense amounts reported above include $9,500 and $25,400 in research and development expense for the three and six months ended September 30, 2022, respectively, and $4,100 and $9,000 in general and administrative expense for the three and six months ended September 30, 2022, respectively, attributable to employee participation in our 2019 ESPP. Expense amounts reported above include $14,400 and $16,700 in research and development expense for the three and six months ended September 30, 2021, respectively, and $5,900 and $8,600 in general and administrative expense for the three and six months ended September 30, 2021, respectively, attributable to employee participation in our 2019 ESPP.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nts</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six months ended September 30, 2022, we granted from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options to purchase an aggregate of 1,222,000 shares of our common stock at exercise prices equal to the closing market price of our common stock on the date of grant, primarily to newly-hired employees. The options to newly hired employees vest 25% on the first anniversary of the grant date with the remaining shares vesting ratably monthly over the next three years. Options granted to consultants generally vest 25% on the grant date and ratably monthly over the next twelve months. We valued the options granted during the six months ended September 30, 2022 using the Black-Scholes Option Pricing Model and the following assumptions: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Weighted Average</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0.14 to 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0.82</w:t>
            </w:r>
          </w:p>
        </w:tc>
        <w:tc>
          <w:tcPr>
            <w:tcW w:w="7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960" w:type="dxa"/>
            <w:vAlign w:val="bottom"/>
          </w:tcPr>
          <w:p>
            <w:pPr>
              <w:ind w:left="880"/>
              <w:spacing w:after="0"/>
              <w:rPr>
                <w:sz w:val="20"/>
                <w:szCs w:val="20"/>
                <w:color w:val="auto"/>
              </w:rPr>
            </w:pPr>
            <w:r>
              <w:rPr>
                <w:rFonts w:ascii="Arial" w:cs="Arial" w:eastAsia="Arial" w:hAnsi="Arial"/>
                <w:sz w:val="18"/>
                <w:szCs w:val="18"/>
                <w:color w:val="auto"/>
              </w:rPr>
              <w:t>0.14 to 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2"/>
              </w:rPr>
              <w:t>2.63%to3.70%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60" w:type="dxa"/>
            <w:vAlign w:val="bottom"/>
          </w:tcPr>
          <w:p>
            <w:pPr>
              <w:jc w:val="center"/>
              <w:ind w:left="570"/>
              <w:spacing w:after="0"/>
              <w:rPr>
                <w:sz w:val="20"/>
                <w:szCs w:val="20"/>
                <w:color w:val="auto"/>
              </w:rPr>
            </w:pPr>
            <w:r>
              <w:rPr>
                <w:rFonts w:ascii="Arial" w:cs="Arial" w:eastAsia="Arial" w:hAnsi="Arial"/>
                <w:sz w:val="18"/>
                <w:szCs w:val="18"/>
                <w:color w:val="auto"/>
                <w:w w:val="91"/>
              </w:rPr>
              <w:t>5.20to6.08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79.14%to81.83%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Dividend rate</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September 12, 2022, the Compensation Committee (the </w:t>
      </w:r>
      <w:r>
        <w:rPr>
          <w:rFonts w:ascii="Arial" w:cs="Arial" w:eastAsia="Arial" w:hAnsi="Arial"/>
          <w:sz w:val="17"/>
          <w:szCs w:val="17"/>
          <w:i w:val="1"/>
          <w:iCs w:val="1"/>
          <w:color w:val="auto"/>
        </w:rPr>
        <w:t>Committee</w:t>
      </w:r>
      <w:r>
        <w:rPr>
          <w:rFonts w:ascii="Arial" w:cs="Arial" w:eastAsia="Arial" w:hAnsi="Arial"/>
          <w:sz w:val="17"/>
          <w:szCs w:val="17"/>
          <w:color w:val="auto"/>
        </w:rPr>
        <w:t xml:space="preserve">) of our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modified outstanding options to purchase an aggregate of 1,322,118 shares of our common stock exercisable at prices between $0.398 per share and $1.77 per share previously granted to a terminated employee and otherwise set to expire on September 13, 2022 to extend the exercisability of such options for a period of 90 days. No other term of the options, including exercise price, was modified. We calculated the fair value of the modified options immediately before and after the modification using the Black Scholes Option Pricing Model and the weighted average assumptions indicated in the table below. We recognized the incremental fair value, $108,600, as an additional component of research and development stock compensation expense in our Condensed Consolidated Statement of Operations and Comprehensive Loss for the three and six months ended September 30,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Assumption:</w:t>
            </w: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Pre-modification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Post-modification</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0.2052</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0.2052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0.003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0.249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Dividend rate</w:t>
            </w:r>
          </w:p>
        </w:tc>
        <w:tc>
          <w:tcPr>
            <w:tcW w:w="4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4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1,322,118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1,322,118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six months ended September 30, 2022, unvested options to purchase an aggregate of 382,812 shares of our common stock were cancelled due to employee terminations and options to purchase 4,250 shares of our common stock expired unexercised; such options were returned to the 2019 Plan to be available for future issuance. At September 30, 2022, there were stock options outstanding under our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our 2019 Plan to purchase 19,935,327 shares of our common stock at a weighted average exercise price of $1.44 per share. At that date, there were 6,518,829 shares of our common stock available for future issuance under the 2019 Plan. There are no additional shares available for issuance under our 2016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Operating Lease Obligations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leases following the guidance of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t>
      </w:r>
      <w:r>
        <w:rPr>
          <w:rFonts w:ascii="Arial" w:cs="Arial" w:eastAsia="Arial" w:hAnsi="Arial"/>
          <w:sz w:val="17"/>
          <w:szCs w:val="17"/>
          <w:i w:val="1"/>
          <w:iCs w:val="1"/>
          <w:color w:val="auto"/>
        </w:rPr>
        <w:t>ASU 2016-02</w:t>
      </w:r>
      <w:r>
        <w:rPr>
          <w:rFonts w:ascii="Arial" w:cs="Arial" w:eastAsia="Arial" w:hAnsi="Arial"/>
          <w:sz w:val="17"/>
          <w:szCs w:val="17"/>
          <w:color w:val="auto"/>
        </w:rPr>
        <w:t>).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7"/>
          <w:szCs w:val="17"/>
          <w:i w:val="1"/>
          <w:iCs w:val="1"/>
          <w:color w:val="auto"/>
        </w:rPr>
        <w:t>Right-of-use assets</w:t>
      </w:r>
      <w:r>
        <w:rPr>
          <w:rFonts w:ascii="Arial" w:cs="Arial" w:eastAsia="Arial" w:hAnsi="Arial"/>
          <w:sz w:val="17"/>
          <w:szCs w:val="17"/>
          <w:color w:val="auto"/>
        </w:rPr>
        <w:t>) and operating lease liabilities represent our obligation to make lease payments arising from the lease. Right-of-use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Right-of-use assets. Our operating lease is reflected in the Right-of-use asset – operating lease; Operating lease obligation – current portion; and Operating lease obligation – non-current portion in our Condensed Consolidated Balance Sheets.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prior to its conversion during Fiscal 2022,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net loss for both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At September 30,</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At September 30,</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A Preferred stock issued and outstanding </w:t>
            </w:r>
            <w:r>
              <w:rPr>
                <w:rFonts w:ascii="Arial" w:cs="Arial" w:eastAsia="Arial" w:hAnsi="Arial"/>
                <w:sz w:val="25"/>
                <w:szCs w:val="25"/>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B Preferred stock issued and outstanding </w:t>
            </w:r>
            <w:r>
              <w:rPr>
                <w:rFonts w:ascii="Arial" w:cs="Arial" w:eastAsia="Arial" w:hAnsi="Arial"/>
                <w:sz w:val="25"/>
                <w:szCs w:val="25"/>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1,131,669</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C Preferred stock issued and outstanding </w:t>
            </w:r>
            <w:r>
              <w:rPr>
                <w:rFonts w:ascii="Arial" w:cs="Arial" w:eastAsia="Arial" w:hAnsi="Arial"/>
                <w:sz w:val="25"/>
                <w:szCs w:val="25"/>
                <w:color w:val="auto"/>
                <w:vertAlign w:val="superscript"/>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2,318,012</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Outstanding options under the Company's Amended and Restated 2016 (formerly 2008) Stock Incentive</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Plan and 2019 Omnibus Equity Incentive Plan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19,935,327</w:t>
            </w: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15,478,639</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9,275,858</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11,842,104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29,211,185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31,520,424</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181"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16"/>
          <w:szCs w:val="16"/>
          <w:color w:val="auto"/>
        </w:rPr>
        <w:t>Assumes exchange under the terms of the October 11, 2012 Note Exchange and Purchase Agreement, as amended.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2</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Certificate of Designation of the Relative Rights and Preferences of the Series B 10% Convertible Preferred</w:t>
      </w:r>
      <w:r>
        <w:rPr>
          <w:rFonts w:ascii="Arial" w:cs="Arial" w:eastAsia="Arial" w:hAnsi="Arial"/>
          <w:sz w:val="15"/>
          <w:szCs w:val="15"/>
          <w:color w:val="auto"/>
        </w:rPr>
        <w:t xml:space="preserve"> </w:t>
      </w:r>
      <w:r>
        <w:rPr>
          <w:rFonts w:ascii="Arial" w:cs="Arial" w:eastAsia="Arial" w:hAnsi="Arial"/>
          <w:sz w:val="17"/>
          <w:szCs w:val="17"/>
          <w:color w:val="auto"/>
        </w:rPr>
        <w:t>Stock, effective May 5, 2015; excludes shares of unregistered common stock issuable in payment of dividends on Series B Preferred upon conversion. We issued 3,295,778 unregistered shares of our common stock upon conversion of the Series B Preferred in November 2021.</w:t>
      </w:r>
    </w:p>
    <w:p>
      <w:pPr>
        <w:spacing w:after="0" w:line="1" w:lineRule="exact"/>
        <w:rPr>
          <w:sz w:val="20"/>
          <w:szCs w:val="20"/>
          <w:color w:val="auto"/>
        </w:rPr>
      </w:pPr>
    </w:p>
    <w:p>
      <w:pPr>
        <w:ind w:right="40"/>
        <w:spacing w:after="0" w:line="196"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3</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Certificate of Designation of the Relative Rights and Preferences of the Series C Convertible Preferred Stock,</w:t>
      </w:r>
      <w:r>
        <w:rPr>
          <w:rFonts w:ascii="Arial" w:cs="Arial" w:eastAsia="Arial" w:hAnsi="Arial"/>
          <w:sz w:val="15"/>
          <w:szCs w:val="15"/>
          <w:color w:val="auto"/>
        </w:rPr>
        <w:t xml:space="preserve"> </w:t>
      </w:r>
      <w:r>
        <w:rPr>
          <w:rFonts w:ascii="Arial" w:cs="Arial" w:eastAsia="Arial" w:hAnsi="Arial"/>
          <w:sz w:val="17"/>
          <w:szCs w:val="17"/>
          <w:color w:val="auto"/>
        </w:rPr>
        <w:t>effective January 25, 2016.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Our only financial assets that are measured on a recurring basis at fair value were $30,116,900 and $65,094,900 held in money market funds and classified as cash equivalents at September 30, 2022 and March 31, 2022, respectively. Our money market funds are classified within Level 1 of the fair value hierarchy and are valued based on quoted prices in active markets for identical securities. We had no financial liabilities that are measured on a recurring basis at fair value at September 30, 2022 or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Issued in Connection with Equity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evaluate the appropriate balance sheet classification of warrants we issue as either equity or as a derivative liability. In accordance with ASC 815-40, </w:t>
      </w:r>
      <w:r>
        <w:rPr>
          <w:rFonts w:ascii="Arial" w:cs="Arial" w:eastAsia="Arial" w:hAnsi="Arial"/>
          <w:sz w:val="18"/>
          <w:szCs w:val="18"/>
          <w:i w:val="1"/>
          <w:iCs w:val="1"/>
          <w:color w:val="auto"/>
        </w:rPr>
        <w:t>Derivatives and Hedging-Contracts in the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ASC 815-40</w:t>
      </w:r>
      <w:r>
        <w:rPr>
          <w:rFonts w:ascii="Arial" w:cs="Arial" w:eastAsia="Arial" w:hAnsi="Arial"/>
          <w:sz w:val="18"/>
          <w:szCs w:val="18"/>
          <w:color w:val="auto"/>
        </w:rPr>
        <w:t>), we classify a warrant as equity if it is “indexed to the Company’s equity”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or ASC 815-40, it is classified as a derivative liability which is carried on the Consolidated Balance Sheet at fair value with any changes in its fair value recognized immediately in the Statement of Operations and Comprehensive Loss. At September 30, 2022 and March 31, 2022, we had both investor warrants and stock-based compensation warrants outstanding that were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xml:space="preserve">) issued ASU 2020-06, </w:t>
      </w:r>
      <w:r>
        <w:rPr>
          <w:rFonts w:ascii="Arial" w:cs="Arial" w:eastAsia="Arial" w:hAnsi="Arial"/>
          <w:sz w:val="16"/>
          <w:szCs w:val="16"/>
          <w:i w:val="1"/>
          <w:iCs w:val="1"/>
          <w:color w:val="auto"/>
        </w:rPr>
        <w:t>Debt</w:t>
      </w:r>
      <w:r>
        <w:rPr>
          <w:rFonts w:ascii="Arial" w:cs="Arial" w:eastAsia="Arial" w:hAnsi="Arial"/>
          <w:sz w:val="16"/>
          <w:szCs w:val="16"/>
          <w:color w:val="auto"/>
        </w:rPr>
        <w:t xml:space="preserve"> – </w:t>
      </w:r>
      <w:r>
        <w:rPr>
          <w:rFonts w:ascii="Arial" w:cs="Arial" w:eastAsia="Arial" w:hAnsi="Arial"/>
          <w:sz w:val="16"/>
          <w:szCs w:val="16"/>
          <w:i w:val="1"/>
          <w:iCs w:val="1"/>
          <w:color w:val="auto"/>
        </w:rPr>
        <w:t>Debt with Conversion and Other Options (Subtopic 470-</w:t>
      </w:r>
    </w:p>
    <w:p>
      <w:pPr>
        <w:spacing w:after="0" w:line="46" w:lineRule="exact"/>
        <w:rPr>
          <w:sz w:val="20"/>
          <w:szCs w:val="20"/>
          <w:color w:val="auto"/>
        </w:rPr>
      </w:pPr>
    </w:p>
    <w:p>
      <w:pPr>
        <w:jc w:val="both"/>
        <w:ind w:firstLine="8"/>
        <w:spacing w:after="0" w:line="255" w:lineRule="auto"/>
        <w:tabs>
          <w:tab w:leader="none" w:pos="30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(Subtopic 815-40): Accounting for Convertible Instruments and Contracts in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Own Equity (</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U.S. GAAP to certain financial instruments with characteristics of liabilities and equity.</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guidance in ASU 2020-06 simplifies the accounting for convertible debt instruments and convertible preferred stock by removing the existing guidance in ASC 470-20, </w:t>
      </w:r>
      <w:r>
        <w:rPr>
          <w:rFonts w:ascii="Arial" w:cs="Arial" w:eastAsia="Arial" w:hAnsi="Arial"/>
          <w:sz w:val="17"/>
          <w:szCs w:val="17"/>
          <w:i w:val="1"/>
          <w:iCs w:val="1"/>
          <w:color w:val="auto"/>
        </w:rPr>
        <w:t>Debt: Debt with Conversion and Other Options</w:t>
      </w:r>
      <w:r>
        <w:rPr>
          <w:rFonts w:ascii="Arial" w:cs="Arial" w:eastAsia="Arial" w:hAnsi="Arial"/>
          <w:sz w:val="17"/>
          <w:szCs w:val="17"/>
          <w:color w:val="auto"/>
        </w:rPr>
        <w:t>,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amendments in ASU 2020-06 further revise the guidance in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4. Prepaid Expense and Other Current Assets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Prepaid expense and other current assets are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and nonclinical materials and contract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2,139,600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879,900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196,500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CRO for cancelled project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Receivable from collaboration partner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1,559,600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2,745,800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reported as receivable from CRO for cancelled project at March 31, 2022 represents the amount of prepayments on a cancelled project net of expense incurred by the CRO prior to project cancellation and was refunded to us in July 2022. The amount reported as receivable from collaboration partner at September 30, 2022 represents payments we made to a CRO and another service provider for project and clinical trial services on behalf of our collaboration partner. Our collaboration partner has not reimbursed us for these amounts as of the date of this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Property and equipment is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1,380,800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1,181,300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Tenant improvements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214,400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214,400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1,683,100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(1,319,700)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(1,268,800)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depreciation and amortization expense of $33,300 and $65,600 for the three and six months ended September 30, 2022, respectively, compared to $36,700 and $71,200 for the three and six months ended September 30, 2021, respectively. Included in amounts reported above for office furniture and equipment is the right-of-use asset related to a financing lease of certain office equipment. Amounts associated with assets subject to the financing lease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(14,700)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 of office equipment subject to financing lease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fully-depreciated office equipment reported at March 31, 2022 was subject to a lease that expired in January 2022. That equipment was replaced subject to a new lease in April 2022. The new lease requires a monthly payment of approximately $200 through June 2027.</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6. Accrued Expense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Accrued expense is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for clinical and nonclinical materials, development and contract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1,070,800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310,900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66,200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696"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96"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notes payable at September 30, 2022 and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 2022</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3"/>
              </w:rPr>
              <w:t>March 31, 2022</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600"/>
              <w:spacing w:after="0" w:line="195" w:lineRule="exact"/>
              <w:rPr>
                <w:sz w:val="20"/>
                <w:szCs w:val="20"/>
                <w:color w:val="auto"/>
              </w:rPr>
            </w:pPr>
            <w:r>
              <w:rPr>
                <w:rFonts w:ascii="Arial" w:cs="Arial" w:eastAsia="Arial" w:hAnsi="Arial"/>
                <w:sz w:val="18"/>
                <w:szCs w:val="18"/>
                <w:color w:val="auto"/>
                <w:w w:val="93"/>
              </w:rPr>
              <w:t>Accrued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90"/>
              </w:rPr>
              <w:t>Accrued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right="640"/>
              <w:spacing w:after="0"/>
              <w:rPr>
                <w:sz w:val="20"/>
                <w:szCs w:val="20"/>
                <w:color w:val="auto"/>
              </w:rPr>
            </w:pPr>
            <w:r>
              <w:rPr>
                <w:rFonts w:ascii="Arial" w:cs="Arial" w:eastAsia="Arial" w:hAnsi="Arial"/>
                <w:sz w:val="18"/>
                <w:szCs w:val="18"/>
                <w:color w:val="auto"/>
                <w:w w:val="89"/>
              </w:rPr>
              <w:t>Interest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3.88% Note payable to insurance premium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730,000</w:t>
            </w:r>
          </w:p>
        </w:tc>
        <w:tc>
          <w:tcPr>
            <w:tcW w:w="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730,000</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financing company (current)</w:t>
            </w: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80" w:type="dxa"/>
            <w:vAlign w:val="bottom"/>
            <w:gridSpan w:val="3"/>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May 2022, we executed a 3.88% promissory note in the principal amount of $1,139,700 in connection with certain insurance policy premiums. The note is payable in monthly installments of $105,600, including principal and interest, through April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May 2021, we entered into an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in our sole discretion, offer and sell, from time to time, shares of our common stock having an aggregate offering price of up to $75.0 million (the </w:t>
      </w:r>
      <w:r>
        <w:rPr>
          <w:rFonts w:ascii="Arial" w:cs="Arial" w:eastAsia="Arial" w:hAnsi="Arial"/>
          <w:sz w:val="17"/>
          <w:szCs w:val="17"/>
          <w:i w:val="1"/>
          <w:iCs w:val="1"/>
          <w:color w:val="auto"/>
        </w:rPr>
        <w:t>Shares</w:t>
      </w:r>
      <w:r>
        <w:rPr>
          <w:rFonts w:ascii="Arial" w:cs="Arial" w:eastAsia="Arial" w:hAnsi="Arial"/>
          <w:sz w:val="17"/>
          <w:szCs w:val="17"/>
          <w:color w:val="auto"/>
        </w:rPr>
        <w:t>) through Jefferies. In transactions occurring during September and October 2021, we sold an aggregate of 1,517,798 shares of our common stock and received net cash proceeds of approximately $4.3 million under the ATM. We have not sold any additional shares of our common stock under the ATM from October 2, 2021 through the date of this Report.</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March 31, 2022, we incurred legal fees and accounting expenses aggregating approximately $276,500 in connection with the Sales Agreement. During the six months ended September 30, 2022, we incurred additional legal fees and accounting expenses aggregating $89,600 related to the Sales Agreement. The Sales Agreement will terminate upon the earlier of (i) the sale of all Shares subject to the Sales Agreement or (ii) the termination of the Sales Agreement by Jefferies or by us, as permitted.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Employee Stock Purchase Plan Purchases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September 30, 2022, the holders of outstanding stock options exercised such options to purchase an aggregate of 286,000 shares of our common stock and we received cash proceeds of $104,400. Certain of the options were exercised on a net exercise basis and we issued an aggregate of 220,390 shares of our common stock pursuant to the exercises. During the six months ended September 30, 2021, holders of an aggregate of 274,449 shares of our common stock exercised such options and we received cash proceeds of $58,000. Certain of the options were exercised on a net exercise basis and we issued an aggregate of 224,590 shares of our common stock pursuant to the exercises. On June 30, 2022, participants in our 2019 ESPP completed a purchase period pursuant to which we issued 75,000 shares of our registered common stock and received proceeds of $56,100. On June 30, 2021, participants in our 2019 ESPP completed a purchase period pursuant to which we issued 16,251 shares of common stock and received proceeds of $31,600.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September 30, 2022 and March 31, 2022. All outstanding warrants are currently exercisable and the weighted average exercise price of such warrants at September 30, 2022 is $1.47 per share.</w:t>
      </w:r>
    </w:p>
    <w:p>
      <w:pPr>
        <w:spacing w:after="0" w:line="166"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Exercisable and</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Outstanding at</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60" w:type="dxa"/>
            <w:vAlign w:val="bottom"/>
          </w:tcPr>
          <w:p>
            <w:pPr>
              <w:spacing w:after="0"/>
              <w:rPr>
                <w:sz w:val="18"/>
                <w:szCs w:val="18"/>
                <w:color w:val="auto"/>
              </w:rPr>
            </w:pPr>
          </w:p>
        </w:tc>
        <w:tc>
          <w:tcPr>
            <w:tcW w:w="2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September 30, 2022</w:t>
            </w:r>
          </w:p>
        </w:tc>
        <w:tc>
          <w:tcPr>
            <w:tcW w:w="0" w:type="dxa"/>
            <w:vAlign w:val="bottom"/>
          </w:tcPr>
          <w:p>
            <w:pPr>
              <w:spacing w:after="0"/>
              <w:rPr>
                <w:sz w:val="1"/>
                <w:szCs w:val="1"/>
                <w:color w:val="auto"/>
              </w:rPr>
            </w:pPr>
          </w:p>
        </w:tc>
      </w:tr>
      <w:tr>
        <w:trPr>
          <w:trHeight w:val="234"/>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and March 31, 2022</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17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12/9/2022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8"/>
              </w:rPr>
              <w:t>$0.73</w:t>
            </w:r>
          </w:p>
        </w:tc>
        <w:tc>
          <w:tcPr>
            <w:tcW w:w="178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7/25/2025</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370,544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$0.805</w:t>
            </w:r>
          </w:p>
        </w:tc>
        <w:tc>
          <w:tcPr>
            <w:tcW w:w="17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12/31/2022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$1.50</w:t>
            </w:r>
          </w:p>
        </w:tc>
        <w:tc>
          <w:tcPr>
            <w:tcW w:w="17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12/13/2022</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6,789,243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$1.70</w:t>
            </w:r>
          </w:p>
        </w:tc>
        <w:tc>
          <w:tcPr>
            <w:tcW w:w="17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10/5/2022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$1.82</w:t>
            </w:r>
          </w:p>
        </w:tc>
        <w:tc>
          <w:tcPr>
            <w:tcW w:w="17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3/7/2023</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880,050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17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3/3/2023</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9,275,858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12"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12"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2020, we filed a Registration Statement on Form S-3 covering the resale of the shares underlying substantially all of the currently outstanding warrants (the </w:t>
      </w:r>
      <w:r>
        <w:rPr>
          <w:rFonts w:ascii="Arial" w:cs="Arial" w:eastAsia="Arial" w:hAnsi="Arial"/>
          <w:sz w:val="18"/>
          <w:szCs w:val="18"/>
          <w:i w:val="1"/>
          <w:iCs w:val="1"/>
          <w:color w:val="auto"/>
        </w:rPr>
        <w:t>Warrant Registration Statement</w:t>
      </w:r>
      <w:r>
        <w:rPr>
          <w:rFonts w:ascii="Arial" w:cs="Arial" w:eastAsia="Arial" w:hAnsi="Arial"/>
          <w:sz w:val="18"/>
          <w:szCs w:val="18"/>
          <w:color w:val="auto"/>
        </w:rPr>
        <w:t>), except those having an exercise price of $7.00 per share. The SEC declared the Warrant Registration Statement effective on May 13, 2020. No outstanding warrant is subject to any down round anti-dilution protection feature. All of the outstanding warrants are exercisable by the holders only by payment in cash of the stated exercise price per share.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have been no warrant exercises during the six months ended September 30, 2022. During the six months ended September 30, 2021, holders of outstanding warrants exercised such warrants to purchase an aggregate of 4,814,545 shares of our common stock and we received cash proceeds of approximately $4,254,800. Unless exercised prior to the expiration dates indicated above, outstanding warrants to purchase an aggregate of 7,878,264 shares of our common stock at a weighted average exercise price of $1.37 will expire on or prior to December 31,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 of Fiscal 2022, we entered into a consulting agreement with an independent member of our Board to provide corporate development and public relations advisory services. We recorded expense of $45,000 during the quarter ended March 31, 2022 related to this agreement, all of which was included in accounts payable at that date. The agreement has continued throughout our current fiscal year, during which we recorded expense of $45,000 and $90,000 for the three and six months ended September 30, 2022, respectively, of which $15,000 was included in accrued expense at September 30, 2022. We did not have any related party transactions during the six months ended September 30,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lease our headquarters office and laboratory space in South San Francisco, California under the terms of a lease that was set to expire on July 31, 2022, but which provided an option to renew for an additional five years at then-current market rates. For the purpose of determining the right-of-use asset and associated lease liability, we determined that the renewal of this lease for the period from August 2022 through July 2027 was reasonably probable at the time we adopted ASC 842. On October 14, 2021, we entered into an amendment to the lease (the </w:t>
      </w:r>
      <w:r>
        <w:rPr>
          <w:rFonts w:ascii="Arial" w:cs="Arial" w:eastAsia="Arial" w:hAnsi="Arial"/>
          <w:sz w:val="16"/>
          <w:szCs w:val="16"/>
          <w:i w:val="1"/>
          <w:iCs w:val="1"/>
          <w:color w:val="auto"/>
        </w:rPr>
        <w:t>Lease Amendment</w:t>
      </w:r>
      <w:r>
        <w:rPr>
          <w:rFonts w:ascii="Arial" w:cs="Arial" w:eastAsia="Arial" w:hAnsi="Arial"/>
          <w:sz w:val="16"/>
          <w:szCs w:val="16"/>
          <w:color w:val="auto"/>
        </w:rPr>
        <w:t xml:space="preserve">),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Consistent with our adoption of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Consolidated Balance Sheet as an operating lease. The lease of our South San Francisco facilities does not include any restrictions or covenants requiring special treatment under ASC 842.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2022</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 – operating lease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2,662,000</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operating lease obligation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455,500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obligation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2,371,200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2,605,400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2,826,700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3,038,700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operating lease costs in the Company’s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8"/>
                <w:szCs w:val="18"/>
                <w:color w:val="auto"/>
              </w:rPr>
            </w:pPr>
          </w:p>
        </w:tc>
        <w:tc>
          <w:tcPr>
            <w:tcW w:w="24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40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410,700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10020" w:type="dxa"/>
            <w:vAlign w:val="bottom"/>
            <w:gridSpan w:val="12"/>
          </w:tcPr>
          <w:p>
            <w:pPr>
              <w:spacing w:after="0"/>
              <w:rPr>
                <w:sz w:val="20"/>
                <w:szCs w:val="20"/>
                <w:color w:val="auto"/>
              </w:rPr>
            </w:pPr>
            <w:r>
              <w:rPr>
                <w:rFonts w:ascii="Arial" w:cs="Arial" w:eastAsia="Arial" w:hAnsi="Arial"/>
                <w:sz w:val="18"/>
                <w:szCs w:val="18"/>
                <w:color w:val="auto"/>
                <w:w w:val="99"/>
              </w:rPr>
              <w:t>The minimum (base rental) lease payments related to our South San Francisco operating lease are expected to be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six months)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731,500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753,500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3,476,300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(649,600)</w:t>
            </w:r>
          </w:p>
        </w:tc>
      </w:tr>
      <w:tr>
        <w:trPr>
          <w:trHeight w:val="24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3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39"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remaining lease term, which does not include the optional five-year extension at the expiration of the lease period ending July 31, 2027, and the discount rate assumption for our South San Francisco operating lease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As of September</w:t>
            </w:r>
          </w:p>
        </w:tc>
      </w:tr>
      <w:tr>
        <w:trPr>
          <w:trHeight w:val="234"/>
        </w:trPr>
        <w:tc>
          <w:tcPr>
            <w:tcW w:w="9640" w:type="dxa"/>
            <w:vAlign w:val="bottom"/>
          </w:tcPr>
          <w:p>
            <w:pPr>
              <w:spacing w:after="0"/>
              <w:rPr>
                <w:sz w:val="20"/>
                <w:szCs w:val="20"/>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30, 2022</w:t>
            </w:r>
          </w:p>
        </w:tc>
        <w:tc>
          <w:tcPr>
            <w:tcW w:w="160" w:type="dxa"/>
            <w:vAlign w:val="bottom"/>
          </w:tcPr>
          <w:p>
            <w:pPr>
              <w:spacing w:after="0"/>
              <w:rPr>
                <w:sz w:val="20"/>
                <w:szCs w:val="20"/>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4.83</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w w:val="90"/>
              </w:rPr>
              <w:t>8.54%</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Six</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2022, we did not record any new right of use assets arising from new operating lease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in each of the three-month periods ended September 30, 2022 and 2021 and $7,100 in each of the six-month periods ended September 30, 2022 and 2021, attributable to this lease.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24, 2020, we entered into a license and collaboration agreement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Subsequent to entering into this agreement, in October 2020, EverInsight merged with AffaMed Therapeutics, Inc. (</w:t>
      </w:r>
      <w:r>
        <w:rPr>
          <w:rFonts w:ascii="Arial" w:cs="Arial" w:eastAsia="Arial" w:hAnsi="Arial"/>
          <w:sz w:val="16"/>
          <w:szCs w:val="16"/>
          <w:i w:val="1"/>
          <w:iCs w:val="1"/>
          <w:color w:val="auto"/>
        </w:rPr>
        <w:t>AffaMed</w:t>
      </w:r>
      <w:r>
        <w:rPr>
          <w:rFonts w:ascii="Arial" w:cs="Arial" w:eastAsia="Arial" w:hAnsi="Arial"/>
          <w:sz w:val="16"/>
          <w:szCs w:val="16"/>
          <w:color w:val="auto"/>
        </w:rPr>
        <w:t xml:space="preserve">), which as a combined entity is focusing on developing and commercializing therapeutics to address ophthalmologic and CNS disorders in Greater China (which includes Mainland China, Hong Kong, Macau and Taiwan) and beyond. Accordingly, we are now referring to EverInsight as AffaMed and our June 2020 license and collaboration agreement as the AffaMed Agreement.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U.S. and throughout the rest of the world.</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has the option to participate in a Phase 3 clinical trial of PH94B involving all or a portion of the Territory and will be responsible for a portion of the costs of such a trial, if conducted.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 Accordingly, we recognize revenue on a straight-line basis over the period in which we expect to perform the services.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Significant management judgment is required to determine the level of effort attributable to the performance obligation included in the AffaMed Agreement and the period over which we expect to complete our performance obligation under the arrangement. The performance period or measure of progress is estimated at the inception of the arrangement and re-evaluated in subsequent reporting periods. This re-evaluation may shorten or lengthen the period over which we recognize revenue. Due to the failure of PALISADE-1 to meet its primary efficacy endpoint and the resulting anticipated delay in subsequent clinical and regulatory processes for PH94B, at September 30, 2022, we estimated that our performance obligation under the AffaMed Agreement will be completed in mid-calendar 2027 rather than mid-calendar 2024. We will further adjust our estimates, as necessary, in subsequent periods as we obtain additional information on which to base our projections. As described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as a result of the change in our estimate of the time required to complete our performance obligation, we recorded a cumulative catch-up adjustment at September 30, 2022 pursuant to which we derecognized $892,500 and $582,500 of previously recognized revenue in the three and six months ended September 30, 2022, respectively, including $310,000 of revenue was recognized in the quarter ended June 30, 2022. Following the cumulative catch-up adjustment, through September 30, 2022, we have recognized an aggregate of $1,615,900 in revenue under the AffaMed Agreement. We recognized $358,000 and $712,100 as revenue during the three and six months ended September 30, 2021, respectively. At September 30, 2022, the aggregate amount of the transaction price allocated to the remaining performance obligation (deferred revenue) is $3,384,100 which will be recognized as revenue as our performance obligation is completed.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events subsequent to September 30, 2022 and through the date of this Report and have determined that there are no matters requiring disclosure.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Arial" w:cs="Arial" w:eastAsia="Arial" w:hAnsi="Arial"/>
          <w:sz w:val="16"/>
          <w:szCs w:val="16"/>
          <w:color w:val="auto"/>
        </w:rPr>
        <w:t>“</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advancing therapeutics with the potential to be faster-acting, and with fewer side effects and safety concerns, than those that are currently available. Our most advanced clinical-stage candidates, PH94B and PH10, are targeting multiple forms of anxiety and depression. They belong to a new class of drugs known as pherines. At microgram level doses, these investigational neuroactive steroids are formulated as nasal sprays designed to achieve rapid-onset anti-anxiety (PH94B) or antidepressant (PH10</w:t>
      </w:r>
      <w:r>
        <w:rPr>
          <w:rFonts w:ascii="Arial" w:cs="Arial" w:eastAsia="Arial" w:hAnsi="Arial"/>
          <w:sz w:val="18"/>
          <w:szCs w:val="18"/>
          <w:i w:val="1"/>
          <w:iCs w:val="1"/>
          <w:color w:val="auto"/>
        </w:rPr>
        <w:t>)</w:t>
      </w:r>
      <w:r>
        <w:rPr>
          <w:rFonts w:ascii="Arial" w:cs="Arial" w:eastAsia="Arial" w:hAnsi="Arial"/>
          <w:sz w:val="18"/>
          <w:szCs w:val="18"/>
          <w:color w:val="auto"/>
        </w:rPr>
        <w:t xml:space="preserve"> effects by directly activating chemosensory neurons located in the nasal passages, which neurons then impact olfactory amygdala “fear off” (anti-anxiety) and “fear on” (antidepressant) neural circuits in the brain, without requiring systemic uptake or direct activity on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neurons in the brain. Our goal is to become a biopharmaceutical company that develops and commercializes innovative therapies for highly prevalent CNS indications where current treatment options are inadequate to meet the needs of millions of patients in the U.S. and worldwide. We are passionate about transforming mental health care and redefining what is possible in the treatment of anxiety and depression – one mind at a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PH94B is a first-in-class synthetic investigational pherine nasal spray designed with a novel rapid-onset mechanism of action (</w:t>
      </w:r>
      <w:r>
        <w:rPr>
          <w:rFonts w:ascii="Arial" w:cs="Arial" w:eastAsia="Arial" w:hAnsi="Arial"/>
          <w:sz w:val="17"/>
          <w:szCs w:val="17"/>
          <w:i w:val="1"/>
          <w:iCs w:val="1"/>
          <w:color w:val="auto"/>
        </w:rPr>
        <w:t>MOA</w:t>
      </w:r>
      <w:r>
        <w:rPr>
          <w:rFonts w:ascii="Arial" w:cs="Arial" w:eastAsia="Arial" w:hAnsi="Arial"/>
          <w:sz w:val="17"/>
          <w:szCs w:val="17"/>
          <w:color w:val="auto"/>
        </w:rPr>
        <w:t>) that regulates the neural circuits of fear and anxiety and attenuates the tone of the sympathetic autonomic nervous system. PH94B is administered intranasally in microgram doses directly onto receptors for chemosensory neurons located in the nasal passages, which neurons then impact olfactory amygdala “fear off” neural circuits in the brain. The proposed MOA of PH94B is fundamentally differentiated from all currently approved anti-anxiety medications, including the antidepressants approved by the FDA for the treatment of SAD, as well as all benzodiazepines and beta blockers prescribed for treatment of SAD on an off-label basis. The proposed MOA for PH94B does not involve systemic uptake, direct activation of GABA-A receptors in the brain, or direct activation of CNS neurons in the brain. Rather, when administered intranasally, PH94B activates chemosensory neurons in the nose that activate neural circuits involving olfactory bulb neurons and the limbic amygdala, a region in the brain that is involved in the pathophysiology of SAD and potentially several other anxiety and mood disorders.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evaluating PH94B for the potential treatment of multiple anxiety disorders, including for adults with SAD and for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Both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evaluating PH94B for the potential treatment of multiple anxiety disorders, including for adults with SAD and for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Both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Phase 1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Autonomic System Biomarker Study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Pherines such as PH94B appear to modulate the activity of the limbic-hypothalamic autonomic nervous system. To evaluate the pharmacodynamic activity of PH94B, a single-blind, randomized study (n =16) was performed to compare the effect of PH94B and steroidal hormones (estradiol, progesterone, cortisol, and testosterone) on the electrogram recorded from the mucosal lining of the vomeronasal organ (</w:t>
      </w:r>
      <w:r>
        <w:rPr>
          <w:rFonts w:ascii="Arial" w:cs="Arial" w:eastAsia="Arial" w:hAnsi="Arial"/>
          <w:sz w:val="17"/>
          <w:szCs w:val="17"/>
          <w:i w:val="1"/>
          <w:iCs w:val="1"/>
          <w:color w:val="auto"/>
        </w:rPr>
        <w:t>VNO</w:t>
      </w:r>
      <w:r>
        <w:rPr>
          <w:rFonts w:ascii="Arial" w:cs="Arial" w:eastAsia="Arial" w:hAnsi="Arial"/>
          <w:sz w:val="17"/>
          <w:szCs w:val="17"/>
          <w:color w:val="auto"/>
        </w:rPr>
        <w:t>) nasal chemosensory epithelium (including the VNO pit area) and autonomic nervous system function in healthy male (n = 8) and female (n = 8) subjects. Intranasal administration of PH94B (400 ng 0.4 µg) significantly increased the amplitude of the electrogram, decreased cardiac and respiratory frequency rate (within physiologic range), and decreased the frequency of electrodermal activity (skin conductance) events. Local intranasal application of steroidal hormones estradiol, progesterone, cortisol, and testosterone (400 ng 0.4 µg each) had no significant effect on the electrical response of the mucosal lining of the nasal chemosensory epithelium (including the VNO pit area) or the measures of autonomic nervous system function. Volunteers felt calmer and less tense per self-report, suggesting an anxiolytic effect. We believe these results demonstrate the biological activity of PH94B and provide support for evaluating potential behavioral changes after intranasal PH94B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Dose Response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Phase 1 dose response pharmacology study, the increased electrical activity of the nasal chemosensory epithelium electrogram of nasal receptors (</w:t>
      </w:r>
      <w:r>
        <w:rPr>
          <w:rFonts w:ascii="Arial" w:cs="Arial" w:eastAsia="Arial" w:hAnsi="Arial"/>
          <w:sz w:val="18"/>
          <w:szCs w:val="18"/>
          <w:i w:val="1"/>
          <w:iCs w:val="1"/>
          <w:color w:val="auto"/>
        </w:rPr>
        <w:t>EGNR</w:t>
      </w:r>
      <w:r>
        <w:rPr>
          <w:rFonts w:ascii="Arial" w:cs="Arial" w:eastAsia="Arial" w:hAnsi="Arial"/>
          <w:sz w:val="18"/>
          <w:szCs w:val="18"/>
          <w:color w:val="auto"/>
        </w:rPr>
        <w:t>) was shown to be dose dependent and similar in both male and female healthy volunteers after receiving ascending doses of PH94B. Maximal EGNR amplitude was achieved at the 3.2 μg dose in both men (n=10) and women (n=10), and no significant increase was seen at higher doses (6.4 μg and 12.8 μg).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SAD Phase 2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Public Speaking and Social Interaction-Induced Stressors in a Clinical Setting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Phase 2 development of PH94B began with a two-part public speaking and social interaction challenge study. In this randomized, double-blind, placebo-controlled Phase 2 clinical trial (n=91) conducted at three clinical sites, 91 adult female subjects diagnosed with SAD underwent a placebo baseline period followed a week later by a randomized treatment period and intranasal administration of 1.6 μg of PH94B. PH94B (1.6 μg) was administered intranasally 15 minutes prior to both a performance challenge (public speaking) and a social interaction challenge simulation, which took place at the clinical sites. The two challenges were separated by a 30-minute rest period. The primary outcome measure was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xml:space="preserve">). Peer-reviewed results published in the </w:t>
      </w:r>
      <w:r>
        <w:rPr>
          <w:rFonts w:ascii="Arial" w:cs="Arial" w:eastAsia="Arial" w:hAnsi="Arial"/>
          <w:sz w:val="16"/>
          <w:szCs w:val="16"/>
          <w:i w:val="1"/>
          <w:iCs w:val="1"/>
          <w:color w:val="auto"/>
        </w:rPr>
        <w:t>American Journal of Psychiatry</w:t>
      </w:r>
      <w:r>
        <w:rPr>
          <w:rFonts w:ascii="Arial" w:cs="Arial" w:eastAsia="Arial" w:hAnsi="Arial"/>
          <w:sz w:val="16"/>
          <w:szCs w:val="16"/>
          <w:color w:val="auto"/>
        </w:rPr>
        <w:t xml:space="preserve"> (Monti, et al., Am. J. Psychiatry (2014) 171:675-682) showed statistically significant results for reducing anxiety during a public speaking performance and during social interactions in a clinical setting. During the public speaking challenge, subjects randomized to treatment with PH94B (n = 45) showed a 26.7-point improvement in mean SUDS scores following the treatment visit with PH94B as compared to the SUDS scores during the baseline visit (placebo treatment). In comparison, subjects randomized to treatment with placebo (n = 46) showed an improvement of only 14.0 points in mean SUDS scores compared to baseline. The PH94B treatment group’s improvement in the public speaking challenge significantly exceeded that of the placebo group’s improvement (t = 3.16, p = 0.002).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Results in SAD Outpatients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PH94B is designed with the potential to lower anxiety acutely, on an as-needed basis, and to achieve cumulative functional improvement with continued use, such as less frequent avoidance of stressful or anxiety-provoking situations and reduced fear and anxiety about such situations. Accordingly, the protocol for a subsequent randomized, double-blind, placebo-controlled multiple administration assessment Phase 2 crossover study (n=22) involving both adult males (n =11) and females (n=11), required subjects to self-administer PH94B or placebo nasal spray in an outpatient setting (i.e., not in a clinical environment) acutely, on an as-needed basis, just prior to an anxiety-provoking situation, up to four times a day, for two weeks. The primary efficacy measure in the study was the SUDS and the secondary efficacy measure was the Liebowitz Social Anxiety Scale (</w:t>
      </w:r>
      <w:r>
        <w:rPr>
          <w:rFonts w:ascii="Arial" w:cs="Arial" w:eastAsia="Arial" w:hAnsi="Arial"/>
          <w:sz w:val="17"/>
          <w:szCs w:val="17"/>
          <w:i w:val="1"/>
          <w:iCs w:val="1"/>
          <w:color w:val="auto"/>
        </w:rPr>
        <w:t>LSAS</w:t>
      </w:r>
      <w:r>
        <w:rPr>
          <w:rFonts w:ascii="Arial" w:cs="Arial" w:eastAsia="Arial" w:hAnsi="Arial"/>
          <w:sz w:val="17"/>
          <w:szCs w:val="17"/>
          <w:color w:val="auto"/>
        </w:rPr>
        <w:t>). Dr. Michael Liebowitz, the innovator of the widely used LSAS, was the Principal Investigator of this study.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change from baseline SUDS scores was significantly greater for all subjects while taking PH94B compared with the placebo group. The average change from baseline SUDS score was 15.6 points for all subjects while on PH94B and was 8.3 points while on placebo (paired t-test = 3.09; p = 0.006; effect size 0.658). During the first two weeks of treatment, subjects who received PH94B first dropped an average of 23 points in LSAS score, while those who received placebo first dropped only eight points on average, showing a trend difference (p = 0.07) with a large effect size of 0.812.</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Looking at only the first two weeks of treatment, subjects who received PH94B first had a significantly greater decrease in their avoidance score on the LSAS than those who received placebo first (p = 0.02, Cohen’s d = 1.078). A large effect size (0.78) and trend to significance (p = 0.083) in favor of PH94B also was observed when comparing overall the Clinical Global Impression (</w:t>
      </w:r>
      <w:r>
        <w:rPr>
          <w:rFonts w:ascii="Arial" w:cs="Arial" w:eastAsia="Arial" w:hAnsi="Arial"/>
          <w:sz w:val="16"/>
          <w:szCs w:val="16"/>
          <w:i w:val="1"/>
          <w:iCs w:val="1"/>
          <w:color w:val="auto"/>
        </w:rPr>
        <w:t>CGI</w:t>
      </w:r>
      <w:r>
        <w:rPr>
          <w:rFonts w:ascii="Arial" w:cs="Arial" w:eastAsia="Arial" w:hAnsi="Arial"/>
          <w:sz w:val="16"/>
          <w:szCs w:val="16"/>
          <w:color w:val="auto"/>
        </w:rPr>
        <w:t>) score means for PH94B and placebo during the first two weeks of treatment. Patient Global Impression of Change (</w:t>
      </w:r>
      <w:r>
        <w:rPr>
          <w:rFonts w:ascii="Arial" w:cs="Arial" w:eastAsia="Arial" w:hAnsi="Arial"/>
          <w:sz w:val="16"/>
          <w:szCs w:val="16"/>
          <w:i w:val="1"/>
          <w:iCs w:val="1"/>
          <w:color w:val="auto"/>
        </w:rPr>
        <w:t>PGI-C</w:t>
      </w:r>
      <w:r>
        <w:rPr>
          <w:rFonts w:ascii="Arial" w:cs="Arial" w:eastAsia="Arial" w:hAnsi="Arial"/>
          <w:sz w:val="16"/>
          <w:szCs w:val="16"/>
          <w:color w:val="auto"/>
        </w:rPr>
        <w:t>) ratings also showed improvement for PH94B after two weeks of treatment (p = 0.024).</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drug-related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 during the study. All adverse events (</w:t>
      </w:r>
      <w:r>
        <w:rPr>
          <w:rFonts w:ascii="Arial" w:cs="Arial" w:eastAsia="Arial" w:hAnsi="Arial"/>
          <w:sz w:val="18"/>
          <w:szCs w:val="18"/>
          <w:i w:val="1"/>
          <w:iCs w:val="1"/>
          <w:color w:val="auto"/>
        </w:rPr>
        <w:t>Aes</w:t>
      </w:r>
      <w:r>
        <w:rPr>
          <w:rFonts w:ascii="Arial" w:cs="Arial" w:eastAsia="Arial" w:hAnsi="Arial"/>
          <w:sz w:val="18"/>
          <w:szCs w:val="18"/>
          <w:color w:val="auto"/>
        </w:rPr>
        <w:t>) were mild or moderate and the frequencies of their occurrence did not differ meaningfully between active and placebo treatments.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this multiple-administration assessment Phase 2 study conducted outside a clinical environment indicates the potential for cumulative functional improvement with longer use of PH94B, while still being used acutely, as-needed, as subjects are increasingly able to engage in previously difficult social and performance situations in their daily lives more frequently and with less fear and anxiety.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SAD PALISADE Phase 3 Program (PALISADE-1, PALISADE-2 and PALISADE Open Label Study)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2021, we initiated our PALISADE Phase 3 Program for PH94B in SAD with PALISADE-1, our single-administration assessment Phase 3 clinical study of PH94B for the acute treatment of anxiety in adults with SAD. Following discussions with the FDA in mid-2020 during the early phase of the COVID-19 pandemic, we agreed to design PALISADE-1 in a manner substantially similar to the single-administration Phase 2 public speaking challenge study of PH94B in SAD, which study involved self-administration of a single dose of PH94B by subjects randomized to the treatment arm of the study prior to a public speaking challenge conducted only in a clinical setting. In July 2022, we announced that PALISADE-1 did not achieve its primary efficacy endpoint, as measured by change from baseline using the SUDS as compared to placebo. Although PALISADE-1 did not meet its primary efficacy endpoint, the safety and tolerability of PH94B in PALISADE-1 were favorable and consistent with previously reported results from previous clinical trials.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2021, we initiated PALISADE-2, which involves the same study design as PALISADE-1 but primarily involves different clinical sites. In July 2022, after receiving top line results from PALISADE-1, we paused recruitment and enrollment in PALISADE-2 to allow independent third-party biostatisticians to conduct an interim analysis of available data from subjects randomized in PALISADE-2 up to the date we paused the study. In September 2022, based on their review of unblinded data from the 140 subjects who had completed PALISADE-2, the independent third-party biostatisticians recommended that we continue PALISADE-2 as planned. Although we did not and do not have access to any unblinded data from PALISADE-2, based on the outcome of the interim analysis and the recommendation from the independent biostatisticians, we are preparing to restart PALISADE-2 as soon as practicable and plan to continue the study to the targeted enrollment of 208 adult subjects.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initiated the PALISADE Open Label Study (</w:t>
      </w:r>
      <w:r>
        <w:rPr>
          <w:rFonts w:ascii="Arial" w:cs="Arial" w:eastAsia="Arial" w:hAnsi="Arial"/>
          <w:sz w:val="17"/>
          <w:szCs w:val="17"/>
          <w:i w:val="1"/>
          <w:iCs w:val="1"/>
          <w:color w:val="auto"/>
        </w:rPr>
        <w:t>PALISADE OLS</w:t>
      </w:r>
      <w:r>
        <w:rPr>
          <w:rFonts w:ascii="Arial" w:cs="Arial" w:eastAsia="Arial" w:hAnsi="Arial"/>
          <w:sz w:val="17"/>
          <w:szCs w:val="17"/>
          <w:color w:val="auto"/>
        </w:rPr>
        <w:t>) in October 2021 to evaluate the safety and tolerability of PH94B in adult subjects with SAD taken as needed prior to acute anxiety-provoking social and performance situations in daily life, up to four times per day, over a period of up to 12 months. In addition to assessing safety and tolerability, we also included several exploratory objectives, including assessment of PH94B’s potential to achieve overall symptom reduction and improvement in severity of SAD, as measured by the LSAS, the efficacy endpoint required by the FDA for prior SAD approvals. In August 2022, we closed recruitment and enrollment in the PALISADE OLS. Preliminary analysis of nearly 400 subjects in the final data set for the PALISADE OLS demonstrate robust functional improvement in anxiety-provoking social and performance situations in daily life, as measured by the LSAS. We now have two data sets supporting PH94B’s ability to improve LSAS scores - the PALISADE OLS over a period of one month and beyond, and a published double-blind, placebo-controlled Phase 2 cross-over study after two weeks of use. These two studies combined demonstrate the potential for PH94B to achieve robust overall reduction in symptoms of SAD and improvement in severity over time as measured by the LSAS. We believe LSAS measurements over time may be well suited for a Phase 3 trial to demonstrate efficacy and the true impact of PH94B on patients’ lives given that it measures overall improvement in disease severity by capturing the reduction in fear and anxiety as well as the avoidance of social and performance situations. These studies reinforce our belief in the potential of PH94B, used acutely as-needed in daily life, to provide rapid-onset, clinically meaningful, and sustained response with a favorable safety and tolerability profile.</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Taking into consideration the results of PALISADE-1, we believe the combination of data from two positive Phase 2 clinical studies of PH94B in SAD, the results of the interim analysis of PALISADE-2, preliminary LSAS-related data from our PALISADE OLS study and the overall safety profile of PH94B in all studies to date support our confidence in PH94B’s therapeutic potential in SAD and several other anxiety-related indications. Accordingly, in parallel, we are currently preparing to restart PALISADE-2 and to meet with the FDA to reach consensus with the FDA on a clearly-defined plan for the next Phase 3 study of PH94B in SAD, taking into account multiple potential outcomes of PALISADE-2.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Exploratory Phase 2A Development for AjDA and Future Development Opportunities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currently conducting an exploratory Phase 2A clinical study of PH94B to assess its therapeutic potential in adults experiencing Adjustment Disorder with Anxiety (</w:t>
      </w:r>
      <w:r>
        <w:rPr>
          <w:rFonts w:ascii="Arial" w:cs="Arial" w:eastAsia="Arial" w:hAnsi="Arial"/>
          <w:sz w:val="18"/>
          <w:szCs w:val="18"/>
          <w:i w:val="1"/>
          <w:iCs w:val="1"/>
          <w:color w:val="auto"/>
        </w:rPr>
        <w:t>AjDA</w:t>
      </w:r>
      <w:r>
        <w:rPr>
          <w:rFonts w:ascii="Arial" w:cs="Arial" w:eastAsia="Arial" w:hAnsi="Arial"/>
          <w:sz w:val="18"/>
          <w:szCs w:val="18"/>
          <w:color w:val="auto"/>
        </w:rPr>
        <w:t>). We recently completed enrollment in the study and anticipate top line results in the first calendar quarter of 2023. Adjustment Disorder (</w:t>
      </w:r>
      <w:r>
        <w:rPr>
          <w:rFonts w:ascii="Arial" w:cs="Arial" w:eastAsia="Arial" w:hAnsi="Arial"/>
          <w:sz w:val="18"/>
          <w:szCs w:val="18"/>
          <w:i w:val="1"/>
          <w:iCs w:val="1"/>
          <w:color w:val="auto"/>
        </w:rPr>
        <w:t>AjD</w:t>
      </w:r>
      <w:r>
        <w:rPr>
          <w:rFonts w:ascii="Arial" w:cs="Arial" w:eastAsia="Arial" w:hAnsi="Arial"/>
          <w:sz w:val="18"/>
          <w:szCs w:val="18"/>
          <w:color w:val="auto"/>
        </w:rPr>
        <w:t>) refers to a maladaptive emotional or behavioral response to an identifiable stressor. AjD occurs within three months of exposure to the stressor as evidenced by marked distress that is out of proportion to the socially or culturally expected reactions to the stressor, or that represents significant impairment in social, occupational or other important areas of daily functioning. Current pharmacological treatments for AjDA vary widely and include antidepressants (SSRIs and SNRIs), benzodiazepines, buspirone and natural products such as cannabidiol. Our randomized, double-blind, placebo-controlled exploratory Phase 2A study in AjDA involves daily use of PH94B administered four times per day in a real-world outpatient setting for 28 days.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plan to assess additional potential development opportunities involving PH94B, for both potential acute and continued use in the treatment of other anxiety-related disorders, including procedural anxiety, post-traumatic stress disorder, postpartum anxiety and panic disorder.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PH10 Nasal Spray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PH10 is an investigational pherine nasal spray with a potential rapid-onset MOA that is fundamentally differentiated from the MOA of all currently approved treatments for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w:t>
      </w:r>
      <w:r>
        <w:rPr>
          <w:rFonts w:ascii="Arial" w:cs="Arial" w:eastAsia="Arial" w:hAnsi="Arial"/>
          <w:sz w:val="18"/>
          <w:szCs w:val="18"/>
          <w:i w:val="1"/>
          <w:iCs w:val="1"/>
          <w:color w:val="auto"/>
        </w:rPr>
        <w:t>Ads</w:t>
      </w:r>
      <w:r>
        <w:rPr>
          <w:rFonts w:ascii="Arial" w:cs="Arial" w:eastAsia="Arial" w:hAnsi="Arial"/>
          <w:sz w:val="18"/>
          <w:szCs w:val="18"/>
          <w:color w:val="auto"/>
        </w:rPr>
        <w:t>) and rapid-onset ketamine-based therapy (</w:t>
      </w:r>
      <w:r>
        <w:rPr>
          <w:rFonts w:ascii="Arial" w:cs="Arial" w:eastAsia="Arial" w:hAnsi="Arial"/>
          <w:sz w:val="18"/>
          <w:szCs w:val="18"/>
          <w:i w:val="1"/>
          <w:iCs w:val="1"/>
          <w:color w:val="auto"/>
        </w:rPr>
        <w:t>KBT</w:t>
      </w:r>
      <w:r>
        <w:rPr>
          <w:rFonts w:ascii="Arial" w:cs="Arial" w:eastAsia="Arial" w:hAnsi="Arial"/>
          <w:sz w:val="18"/>
          <w:szCs w:val="18"/>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 small (n=30) exploratory randomized, double-blind, placebo-controlled parallel design Phase 2A study in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conducted in Mexico, at a 6.4 μg dose administered intranasally twice daily for 8 weeks, PH10 significantly reduced depressive symptoms as early as one week based on the 17-item Hamilton Depression Scale (</w:t>
      </w:r>
      <w:r>
        <w:rPr>
          <w:rFonts w:ascii="Arial" w:cs="Arial" w:eastAsia="Arial" w:hAnsi="Arial"/>
          <w:sz w:val="18"/>
          <w:szCs w:val="18"/>
          <w:i w:val="1"/>
          <w:iCs w:val="1"/>
          <w:color w:val="auto"/>
        </w:rPr>
        <w:t>HAM-D-17</w:t>
      </w:r>
      <w:r>
        <w:rPr>
          <w:rFonts w:ascii="Arial" w:cs="Arial" w:eastAsia="Arial" w:hAnsi="Arial"/>
          <w:sz w:val="18"/>
          <w:szCs w:val="18"/>
          <w:color w:val="auto"/>
        </w:rPr>
        <w:t>) scores compared to placebo (p = 0.022). PH10 was well-tolerated and did not cause psychological side effects (such as dissociation and hallucinations) or other safety concerns that may be associated with KBT. We recently submitted our U.S. Investigational New Drug (</w:t>
      </w:r>
      <w:r>
        <w:rPr>
          <w:rFonts w:ascii="Arial" w:cs="Arial" w:eastAsia="Arial" w:hAnsi="Arial"/>
          <w:sz w:val="18"/>
          <w:szCs w:val="18"/>
          <w:i w:val="1"/>
          <w:iCs w:val="1"/>
          <w:color w:val="auto"/>
        </w:rPr>
        <w:t>IND</w:t>
      </w:r>
      <w:r>
        <w:rPr>
          <w:rFonts w:ascii="Arial" w:cs="Arial" w:eastAsia="Arial" w:hAnsi="Arial"/>
          <w:sz w:val="18"/>
          <w:szCs w:val="18"/>
          <w:color w:val="auto"/>
        </w:rPr>
        <w:t>) application to enable us to initiate a small and brief Phase 1 study of PH10 in the U.S. in healthy volunteers. Subject to receiving confirmation from the FDA that the study may proceed, we plan to initiate the study before the end of calendar 2022. Given the prior Phase 1 and Phase 2A studies of PH10 in MDD, this small and brief Phase 1 study is primarily intended to facilitate potential Phase 2B development of PH10 in the U.S., on our own or with a collaborator, for treatment of MDD. We may also have potential opportunities to develop PH10 for other depression-related disorders.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is an oral prodrug of 7-chloro-kynurenic acid (7-Cl-KYNA), which is a potent and selective antagonist of the glycine co-agonist site of the NMDAR that inhibits the function of the NMDAR. Unlike ketamine and many other NMDAR antagonists, 7-Cl-KYNA is not an ion channel blocker. At doses administered in the Company’s studies completed to date, AV-101 has been observed to be well tolerated and has not exhibited dissociative or hallucinogenic psychological side effects or safety concerns, unlike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is our wholly owned subsidiary. For the relevant periods, our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 owned inactive subsidiaries, Artemis Neuroscience, Inc., a Maryland corporation which was dissolved in April 2022, and VistaStem Canada, Inc., a corporation organized under the laws of Ontario, Canada which was dissolved in June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2022, as filed with the SEC on June 23, 2022, and in Note 3 to the accompanying unaudited Condensed Consolidated Financial Statements included in Part 1, Item 1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in amounts sufficient to sustain our operations and enable our strategic business plans. Since acquiring our exclusive worldwide licenses to PH94B and PH10 in 2018, we have devoted substantial resources to advance initiatives related to research, development, and contract manufacturing of our intranasal investigational product candidates, PH94B and PH10, including initiatives related to manufacturing processes, analytical methods and production programs for drug substance and finished drug product, as well as for preclinical studies and clinical studies focused on potential commercialization of these product candidates for neuropsychiatry indications. During calendar 2021 and to date in calendar 2022, we have allocated significant resources to our PALISADE Phase 3 Program evaluating PH94B for the acute treatment of anxiety in adults with SAD. We conducted, and are continuing to conduct, various preclinical studies and manufacturing activities that enabled submission of our U.S. IND for PH10 in MDD in late September 2022 and our planned initiation of a small Phase 1 clinical study of PH10 later this calendar year to facilitate potential Phase 2B clinical development of PH10 in the U.S. as a stand-alone treatment for MDD. With respect to AV-101, our current focus is evaluating AV-101 in combination with probenecid which may provide opportunities to explore the therapeutic potential of the combination for certain CNS indications involving the NMDAR. We have on-going initiatives for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and raising sufficient working capital to fund these studies, initiatives and other activities. At September 30, 2022, we had an accumulated deficit of approximately $304.9 million. Our net loss for the six months ended September 30, 2022 and 2021 was approximately $37.3 million and $21.3 million, respectively, and was approximately $47.8 million and $17.9 million for the fiscal years ended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and 2021 (</w:t>
      </w:r>
      <w:r>
        <w:rPr>
          <w:rFonts w:ascii="Arial" w:cs="Arial" w:eastAsia="Arial" w:hAnsi="Arial"/>
          <w:sz w:val="16"/>
          <w:szCs w:val="16"/>
          <w:i w:val="1"/>
          <w:iCs w:val="1"/>
          <w:color w:val="auto"/>
        </w:rPr>
        <w:t>Fiscal 2021</w:t>
      </w:r>
      <w:r>
        <w:rPr>
          <w:rFonts w:ascii="Arial" w:cs="Arial" w:eastAsia="Arial" w:hAnsi="Arial"/>
          <w:sz w:val="16"/>
          <w:szCs w:val="16"/>
          <w:color w:val="auto"/>
        </w:rPr>
        <w:t>), respectively. We expect losses to continue for the foreseeable future as we engage in further research, development and regulatory activities related to PH94B, PH10 and AV-101.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2022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Throughout Fiscal 2022 and through the date of this Report, we have continued to advance our nonclinical and clinical development, manufacturing, and regulatory activities necessary for (i) Phase 3 clinical development of PH94B as a potential acute treatment of anxiety in adults with SAD, (ii) advancing our Phase 2A clinical study of PH94B in adults experiencing AjDA, (iii) submitting our PH10 IND and initiating a small Phase 1 study of PH10 in the U.S. to facilitate potential Phase 2B development as a stand-alone treatment of MDD and (iv) exploratory Phase 1B development of AV-101 in combination with probenecid to assess potential opportunities to develop the combination for treatment of certain CNS indications.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initiated our PALISADE Phase 3 Program for PH94B in SAD with PALISADE-1 in May 2021 and PALISADE-2 in August 2021. During Fiscal 2022, we also initiated the PALISADE OLS and advanced our Phase 2A clinical study of PH94B in adults experiencing AjDA. We achieved last patient out of PALISADE-1 in June 2022 and commenced analysis of the data generated throughout the study. As noted above, in July 2022 we determined that PALISADE-1 did not achieve its primary efficacy endpoint. Accordingly, we have actively investigated, on multiple fronts, potential contributors to that outcome and will apply our learnings to the restart and completion of PALISADE-2 and to future clinical studies of PH94B in SAD and/or other anxiety indications. As noted above, in July 2022 we paused recruitment and enrollment of PALISADE-2 while we engaged independent third-party biostatisticians to conduct an interim assessment of data then available from randomized subjects in that study. We received the results of that interim assessment in September 2022 and, as a result, we are preparing to resume recruitment and enrollment of subjects in PALISADE-2 as soon as practicable. In addition to pausing enrollment in PALISADE-2, we ended recruitment and enrollment in our PALISADE OLS in August 2022 and are assessing preliminary data from the study that we believe supports continued late-stage clinical development of PH94B as a potential treatment for SAD in a manner consistent with both data observed in Phase 2 development of PH94B in SAD, i.e., with multiple assessments of PH94B’s potential efficacy, as compared to placebo, when used acutely, as-needed, over an extended period of time in an outpatient setting, rather than a single administration assessment in an anxiety-provoking public speaking challenge conducted in a clinical setting.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fourth quarter of Fiscal 2021, we have expanded our employee infrastructure with experienced personnel additions across multiple functional areas, including clinical operations, clinical research, data management, chemistry, manufacturing and controls (</w:t>
      </w:r>
      <w:r>
        <w:rPr>
          <w:rFonts w:ascii="Arial" w:cs="Arial" w:eastAsia="Arial" w:hAnsi="Arial"/>
          <w:sz w:val="18"/>
          <w:szCs w:val="18"/>
          <w:i w:val="1"/>
          <w:iCs w:val="1"/>
          <w:color w:val="auto"/>
        </w:rPr>
        <w:t>CMC</w:t>
      </w:r>
      <w:r>
        <w:rPr>
          <w:rFonts w:ascii="Arial" w:cs="Arial" w:eastAsia="Arial" w:hAnsi="Arial"/>
          <w:sz w:val="18"/>
          <w:szCs w:val="18"/>
          <w:color w:val="auto"/>
        </w:rPr>
        <w:t>) and quality assurance, biostatistics and clinical analytics, regulatory affairs, medical affairs, translational medicine, commercial operations, legal, contracts and corporate affairs, development operations, and investor and public relations. We have paused further additions to our employee base pending results from the completion of our PALISADE-2 clinical trial of PH94B.</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Fiscal 2021 and Fiscal 2022 and through the date of this Report, strains of SARS-CoV-2, commonly referred to as COVID-19 and multiple variants of the virus, have spread globally and the outbreak has been declared a pandemic by the World Health Organization and a public health emergency in the U.S. by the U.S. Secretary of Health and Human Services. Operations at our headquarters in South San Francisco were significantly curtailed during Fiscal 2021 and the first half of Fiscal 2022, and, to some extent, periodically thereafter, while state and local restrictions required remote working conditions. Most of our employee additions since Fiscal 2021 are geographically located away from our headquarters facility in South San Francisco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preclinical and clinical development programs and our third-party collaborators, including, among others,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contract manufacturing organizations (</w:t>
      </w:r>
      <w:r>
        <w:rPr>
          <w:rFonts w:ascii="Arial" w:cs="Arial" w:eastAsia="Arial" w:hAnsi="Arial"/>
          <w:sz w:val="16"/>
          <w:szCs w:val="16"/>
          <w:i w:val="1"/>
          <w:iCs w:val="1"/>
          <w:color w:val="auto"/>
        </w:rPr>
        <w:t>CMOs</w:t>
      </w:r>
      <w:r>
        <w:rPr>
          <w:rFonts w:ascii="Arial" w:cs="Arial" w:eastAsia="Arial" w:hAnsi="Arial"/>
          <w:sz w:val="16"/>
          <w:szCs w:val="16"/>
          <w:color w:val="auto"/>
        </w:rPr>
        <w:t>) and other third-party service providers have been, and may be in the future, impacted by prevailing surges in the spread of variants of COVID-19, such as spreads induced by the Delta and Omicron variants and their sub-variants during Fiscal 2021, Fiscal 2022 and thereafter,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or other key materials required to continue development of PH94B and PH10, as well as temporary disruptions in the availability of third-party personnel and others involved in the conduct of our preclinical and clinical programs. Future unexpected delays may result in a significant, material delay or disruption to our current clinical and nonclinical development plans, programs, and operations.</w:t>
      </w:r>
    </w:p>
    <w:p>
      <w:pPr>
        <w:spacing w:after="0" w:line="16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We have not completed any capital-raising or other significant financing activities during the six months ended September 30, 2022. In May 2021, we entered into an Open Market Sale Agreement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(the </w:t>
      </w:r>
      <w:r>
        <w:rPr>
          <w:rFonts w:ascii="Arial" w:cs="Arial" w:eastAsia="Arial" w:hAnsi="Arial"/>
          <w:sz w:val="18"/>
          <w:szCs w:val="18"/>
          <w:i w:val="1"/>
          <w:iCs w:val="1"/>
          <w:color w:val="auto"/>
        </w:rPr>
        <w:t>Sales Agreement</w:t>
      </w:r>
      <w:r>
        <w:rPr>
          <w:rFonts w:ascii="Arial" w:cs="Arial" w:eastAsia="Arial" w:hAnsi="Arial"/>
          <w:sz w:val="18"/>
          <w:szCs w:val="18"/>
          <w:color w:val="auto"/>
        </w:rPr>
        <w:t>) with Jefferies LLC (</w:t>
      </w:r>
      <w:r>
        <w:rPr>
          <w:rFonts w:ascii="Arial" w:cs="Arial" w:eastAsia="Arial" w:hAnsi="Arial"/>
          <w:sz w:val="18"/>
          <w:szCs w:val="18"/>
          <w:i w:val="1"/>
          <w:iCs w:val="1"/>
          <w:color w:val="auto"/>
        </w:rPr>
        <w:t>Jefferies</w:t>
      </w:r>
      <w:r>
        <w:rPr>
          <w:rFonts w:ascii="Arial" w:cs="Arial" w:eastAsia="Arial" w:hAnsi="Arial"/>
          <w:sz w:val="18"/>
          <w:szCs w:val="18"/>
          <w:color w:val="auto"/>
        </w:rPr>
        <w:t xml:space="preserve">) as sales agent,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under which we may, at our option, offer and sell, from time to time, shares of our common stock having an aggregate offering price of up to $75.0 million through Jefferies as our sales agent. During September and early October 2021, we sold an aggregate of 1,517,798 shares of our common stock and received gross cash proceeds of approximately $4.45 million under the ATM. We have not sold any shares under the ATM from October 2, 2021 through the date of this Report.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the results of PALISADE-1, we are carefully monitoring our cash resources and critically evaluating our internal and external research and development and general and administrative expenditures, which includes (i) resuming recruitment and enrollment in PALISADE-2 following the independent third-party interim analysis of data from subjects randomized in PALISADE-2 to date, (ii) terminating the PALISADE OLS study of PH94B,</w:t>
      </w:r>
    </w:p>
    <w:p>
      <w:pPr>
        <w:spacing w:after="0" w:line="2" w:lineRule="exact"/>
        <w:rPr>
          <w:sz w:val="20"/>
          <w:szCs w:val="20"/>
          <w:color w:val="auto"/>
        </w:rPr>
      </w:pPr>
    </w:p>
    <w:p>
      <w:pPr>
        <w:ind w:firstLine="8"/>
        <w:spacing w:after="0" w:line="26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our Phase 2A clinical study of PH94B in adults experiencing AjDA and (iv) preparing for a Phase 1 clinical study of PH10 as a treatment for adults suffering from MDD.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three months ended September 30, 2022 and 2021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6"/>
              </w:rPr>
              <w:t>Three Months Ended September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12,895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(12,800)</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(17,483)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(17,483)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(12,795)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(17,483)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(13,170)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derecognized $582,500 in sublicense revenue pursuant to the AffaMed Agreement during the six months ended September 30, 2022, compared to recognizing revenue of $712,100 during the six months ended September 30, 2021. As described more completely in Note 3 and Note 11 to our Condensed Consolidated Financial Statements in Part I of this Report, on June 24, 2020, we entered into the AffaMed Agreement, pursuant to which we received a non-refundable upfront license fee payment of $5.0 million on August 3, 2020, which payment permitted the commencement of our revenue recognition under the AffaMed Agreement. We recognize revenue on a straight-line basis over the period in which we expect to perform our obligation under the AffaMed Agreement. Revenue related to our performance obligation, which is satisfied over time, could be materially impacted as a result of changes in our estimates of the time or effort necessary to satisfy the performance obligation. Due to the failure of PALISADE-1 to meet its primary efficacy endpoints and the resulting anticipated delay in subsequent clinical and regulatory processes for PH94B in SAD, at September 30, 2022, we estimated that we would complete our performance obligation under the AffaMed Agreement during mid-calendar 2027. As described in Note 3, as a result of the change in our estimate of the time required to complete our performance obligation under the AffaMed Agreement, we recorded a cumulative catch-up adjustment at September 30, 2022 pursuant to which we derecognized previously recorded revenue, resulting in negative revenue of $582,500 in the six months ended September 30, 2022, including $310,000 of revenue that had been recognized in the quarter ended June 30, 2022. Following the cumulative catch-up adjustment, through September 30, 2022, we have recognized an aggregate of $1,615,900 as revenue under the AffaMed Agreement and expect to recognize the remaining $3,384,100 as revenue over the estimated performance period as our obligation is completed.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w:t>
      </w:r>
      <w:r>
        <w:rPr>
          <w:rFonts w:ascii="Arial" w:cs="Arial" w:eastAsia="Arial" w:hAnsi="Arial"/>
          <w:sz w:val="17"/>
          <w:szCs w:val="17"/>
          <w:i w:val="1"/>
          <w:iCs w:val="1"/>
          <w:color w:val="auto"/>
        </w:rPr>
        <w:t>R&amp;D</w:t>
      </w:r>
      <w:r>
        <w:rPr>
          <w:rFonts w:ascii="Arial" w:cs="Arial" w:eastAsia="Arial" w:hAnsi="Arial"/>
          <w:sz w:val="17"/>
          <w:szCs w:val="17"/>
          <w:color w:val="auto"/>
        </w:rPr>
        <w:t>) expense increased by approximately $12.8 million, from $15.4 million for the six months ended September 30, 2021 to $28.2 million for the six months ended September 30, 2022. Activities related to conducting our PALISADE Phase 3 Program for PH94B, including PALISADE-1, PALISADE-2 and the PALISADE OLS study, and the PH94B Phase 2 Study in AjDA, as well as nonclinical development, outsourced manufacturing and regulatory activities for both PH94B and PH10, accounted for increased expenses of approximately $11.8 million during the six months ended September 30, 2022 in comparison to the activities conducted during the six months ended September 30, 2021. We expect R&amp;D project expense for the remainder of Fiscal 2023 to decrease for PH94B due to completing the PALISADE-1 study, concluding the PALISADE OLS study and deferring certain previously projected NDA-enabling nonclinical and clinical development of PH94B, to be somewhat offset by anticipated costs for commencing the Phase 1 clinical trial of PH10 in MDD. Salaries and benefits expense for the six months ended September 30, 2022 increased compared to those of the six months ended September 2021 due to the hiring of additional regulatory, clinical, CMC and data management personnel during calendar 2021 and earlier in calendar 2022, partially offset by a reduction in the accrual for estimated additional compensation expense attributable to calendar 2022 corporate objectives compared to the estimated achievement of certain corporate objectives during the 2021 calendar year. Noncash research and development expense, primarily stock-based compensation and depreciation in both periods, accounted for approximately $851,000 and $606,000 for the six months ended September 30, 2022 and 2021, respectively. The following table indicates the primary components of research and development expense for each of the periods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PH94B and PH10</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AV-101</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3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3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12,895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120" w:type="dxa"/>
            <w:vAlign w:val="bottom"/>
            <w:vMerge w:val="restart"/>
          </w:tcPr>
          <w:p>
            <w:pPr>
              <w:jc w:val="right"/>
              <w:ind w:right="2130"/>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decrease in salaries and benefits expense for the quarter ended September 30, 2022 primarily reflects the addition of ten additional management and staff positions across multiple functional disciplines, including biostatistics and clinical analytics, clinical operations, chemistry, manufacturing and controls, and regulatory affairs subsequent to September 30, 2021, as well as the impact of salary increases effective in January 2022 granted to our R&amp;D management and staff. These increases are offset by the elimination during the quarter ended September 30, 2022 of the accrual for estimated additional compensation expense for R&amp;D officers and employees as a result of the outcome of the PALISADE-1 study and delay or termination of other clinical trials and nonclinical activities related to calendar year 2022 corporate operational objectives compared to the accrual of approximately $705,000 at September 30, 2021 for estimated achievement of calendar 2021 objectives. As a result of voluntary resignations of certain R&amp;D employees subsequent to September 30, 2022, we expect R&amp;D salaries and benefit expense to further decrease in future periods.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Stock-based compensation expense for the quarter ended September 30, 2022 reflects the amortization of option grants made to our R&amp;D staff and certain clinical and scientific consultants since August 2020, in addition to grants to new employees as indicated above. All outstanding options granted to R&amp;D employees and consultants prior to August 2020 have become fully vested and amortized prior to the quarter ended September 30, 2022. Grants awarded after September 30, 2021, including those granted to new employees, account for approximately $179,000 of expense in the quarter ended September 30, 2022, offset by an expense reduction of approximately $73,000 attributable to options that became fully vested and amortized prior to or during the quarter ended September 30, 2022. The impact of option forfeitures related to Fiscal 2023 terminations reduced expense by approximately $57,000 compared to expense for the quarter ended September 30, 2021 and the extension of option exercisability by 90 days for a terminated employee accounted for approximately $109,000 of additional expense in the quarter ended September 30, 2022. 2019 ESPP expense for the quarter ended September 30, 2022 was $9,500 compared to $14,400 in the quarter ended September, 2021.</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PH94B expense for the quarter ended September 30, 2022 reflects (i) the costs associated with completing PALISADE-1, including data analysis and root cause investigations, (ii) costs associated with the PALISADE-2 study prior to its pause and for the interim analysis of data available from PALISADE-2,</w:t>
      </w:r>
    </w:p>
    <w:p>
      <w:pPr>
        <w:jc w:val="both"/>
        <w:ind w:firstLine="8"/>
        <w:spacing w:after="0" w:line="267" w:lineRule="auto"/>
        <w:tabs>
          <w:tab w:leader="none" w:pos="318"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associated with the PALISADE OLS study prior to its termination, and (iv) on-going costs for the Phase 2A study of PH94B in AjDA, as well as various other clinical, nonclinical, regulatory and manufacturing activities. The PALISADE OLS study commenced in July 2021, PALISADE-2 commenced in August 2021 and the PH94B AjDA study commenced in mid-June 2021. During the quarters ended September 30, 2022 and 2021, manufacturing, formulation, process validation and analysis of sufficient quantities of drug substance and drug product for clinical trials and other developmental requirements were significant initiatives for advancing both PH94B and PH10. Additionally, there was significant regulatory activity during the quarter ended September 30, 2022 leading to the late-September 2022 submission to the FDA of the IND for PH10 in MDD. Due to its later stage of development, costs for PH94B initiatives have significantly exceeded those for PH10 during both Fiscal 2023 and Fiscal 2022. However, as a result of pausing of PALISADE-2 in July 2022 and terminating the PALISADE OLS study in August 2022, we expect costs associated with our continued PH94B-related initiatives, including our Phase 2 AjDA study and other nonclinical studies of PH94B, to substantially decrease in the near-term and then increase once again as we resume recruitment and enrollment in PALISADE-2 in the first quarter of calendar 2023. We anticipate increased clinical development expense associated with PH10 in the near term as we anticipate a U.S. Phase 1 clinical trial of PH10 to facilitate potential U.S. Phase 2B development of PH10 for treatment of MDD. In both periods, AV-101 project expense includes costs for certain preclinical studies related to the use of AV-101 with adjunctive probenecid and certain AV-101 manufacturing stability studies. Expense for the quarter ended September 30, 2022 also includes the impact of our ongoing exploratory Phase 1B AV-101 and probenecid clinical trial.</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and administrative (</w:t>
      </w:r>
      <w:r>
        <w:rPr>
          <w:rFonts w:ascii="Arial" w:cs="Arial" w:eastAsia="Arial" w:hAnsi="Arial"/>
          <w:sz w:val="17"/>
          <w:szCs w:val="17"/>
          <w:i w:val="1"/>
          <w:iCs w:val="1"/>
          <w:color w:val="auto"/>
        </w:rPr>
        <w:t>G&amp;A</w:t>
      </w:r>
      <w:r>
        <w:rPr>
          <w:rFonts w:ascii="Arial" w:cs="Arial" w:eastAsia="Arial" w:hAnsi="Arial"/>
          <w:sz w:val="17"/>
          <w:szCs w:val="17"/>
          <w:color w:val="auto"/>
        </w:rPr>
        <w:t>) expense increased by approximately $0.5 million to approximately $3.7 million for the quarter ended September 30, 2022, compared to approximately $3.2 million for the quarter ended September 30, 2021. Primary components of the increase include:</w:t>
      </w:r>
    </w:p>
    <w:p>
      <w:pPr>
        <w:spacing w:after="0" w:line="146" w:lineRule="exact"/>
        <w:rPr>
          <w:sz w:val="20"/>
          <w:szCs w:val="20"/>
          <w:color w:val="auto"/>
        </w:rPr>
      </w:pPr>
    </w:p>
    <w:p>
      <w:pPr>
        <w:ind w:left="460" w:right="20" w:hanging="223"/>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Expensing of professional services incurred in anticipation of a potential credit facility offering that we opted to forego as a result of the PALISADE-1 outcome;</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insurance coverage limits and new coverages added to our insurance portfolio;</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stock-based compensation expense related to recent option grants;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investor and public relations and corporate awareness initiatives; and</w:t>
      </w:r>
    </w:p>
    <w:p>
      <w:pPr>
        <w:spacing w:after="0" w:line="9" w:lineRule="exact"/>
        <w:rPr>
          <w:rFonts w:ascii="Arial" w:cs="Arial" w:eastAsia="Arial" w:hAnsi="Arial"/>
          <w:sz w:val="18"/>
          <w:szCs w:val="18"/>
          <w:color w:val="auto"/>
        </w:rPr>
      </w:pPr>
    </w:p>
    <w:p>
      <w:pPr>
        <w:ind w:left="460" w:right="140" w:hanging="223"/>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G&amp;A employees hired since September 30, 2021, offset by the elimination during the quarter ended September 30, 2022 of the accrual for estimated additional compensation expense for G&amp;A officers and employees as a result of the outcome of PALISADE-1 and delay or conclusion of other clinical trials and nonclinical activities related to calendar year 2022 corporate operational objectives compared to the accrual at September 30, 2021 for estimated achievement of calendar 2021 objectives.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Noncash general and administrative expense, approximately $491,000 and $501,000 in the quarters ended September 30, 2022 and 2021, respectively, primarily reflects stock-based compensation and depreciation in both periods and an adjustment to contract acquisition amortization expense in the quarter ended September 30, 2022. The following table indicates the primary components of general and administrative expense for each of the periods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10"/>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3,221</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decrease in salaries and benefits expense for the quarter ended September 30, 2022 primarily reflects the addition of six additional management and staff positions including our Vice President, Medical Affairs in October 2021, our Vice President, Strategic Insights and Analytics in November 2021, our Vice President, Human Resources in January 2022, our Chief Legal Officer in May 2022, our Vice President, Associate General Counsel in August 2022 and one additional administrative employee in June 2022, as well as the impact of salary increases effective in January 2022 granted to our G&amp;A management and staff. These increases are offset by the elimination during the quarter ended September 30, 2022 of the accrual for estimated additional compensation expense for G&amp;A officers and employees as a result of the outcome of PALISADE-1 and delay or termination of other clinical trials and nonclinical activities related to calendar year 2022 corporate operational objectives compared to the accrual of approximately $537,000 at September 30, 2021 for estimated achievement of calendar 2021 objectives. As a result of voluntary resignations of certain G&amp;A employees subsequent to September 30, 2022, including our Chief Commercial Officer, we expect G&amp;A salaries and benefit expense to further decrease in future periods.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Stock-based compensation expense for the quarter ended September 30, 2022 reflects the amortization of option grants made to our G&amp;A officers and staff and certain consultants since September 2019, in addition to grants to new employees as indicated above. With the exception of options granted in September 2019, which became fully-vested and amortized in September 2022, all outstanding options granted to G&amp;A employees and consultants prior to October 2020 have become fully vested and amortized prior to the quarter ended September 30, 2022. Grants awarded after September 30, 2021, including those granted to new employees, account for approximately $286,000 of expense in the quarter ended September 30, 2022, offset by an expense reduction of approximately $260,000 attributable to certain options granted between September 2019 and June 2020 that became fully vested and amortized prior to or during the quarter ended September 30, 2022. Grants made during the quarter ended September 30, 2021 reflected a full quarter of expense during the quarter ended September 30, 2022, increasing expense by approximately $69,000 compared to the prior year. 2019 ESPP expense for the quarter ended September 30, 2022 was approximately $4,100 compared to $6,000 for the quarter ended September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the quarter ended September 30, 2022 also include recruiting fees for certain administrative positions.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Legal, accounting and other professional fees for both periods include expenses related to routine and project-based legal services as well as accounting services related to the audit of our annual financial statements. Expense for both periods includes the cost of certain outsourced financial and accounting services and our information technology service provider. Expense in both periods also includes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nominally with respect to our PH94B and PH10 intellectual property portfolios. During the quarter ended September 30, 2022, we expensed approximately $301,000 of professional services fees incurred in anticipation of a potential credit facility offering that was terminated as a result of the outcome of PALISADE-1.</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primarily in the quarter ended September 30, 2022, additional market awareness and strategic advisory and support functions and initiatives. During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both periods, we incurred expenses for a number of pre-commercialization studies, analyses, projections, strategic modeling and awareness services, primarily attributable to PH94B as a potential acute treatment of anxiety in adults with SAD. Given the results of PALISADE-1 and the resulting delay to our anticipated commercialization timeline for PH94B, we are evaluating the extent and timing of such future activities, and it is anticipated that such expenditures will not recur in the short term in excess of the level expended during the quarter ended September 30, 2022.</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insurance expense is primarily attributable to the increased coverage obtained under our directors’ and officers’ liability insurance upon renewal of our policy in May 2022 and additional coverages, including cybersecurity and employment practices liability, added to our insurance program during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periodic shelter-in-place restrictions and travel and workplace precautions and restrictions associated with the COVID-19 pandemic continuing throughout both Fiscal 2021 and Fiscal 2022,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We incurred nominal travel expense in the quarter ended September 30, 2022 for attendance at seminars, clinical trial site visits and certain investor-focused events, as conditions have permitted.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our performance obligation to be provided under the AffaMed Agreement. As described above in the section entitled </w:t>
      </w:r>
      <w:r>
        <w:rPr>
          <w:rFonts w:ascii="Arial" w:cs="Arial" w:eastAsia="Arial" w:hAnsi="Arial"/>
          <w:sz w:val="17"/>
          <w:szCs w:val="17"/>
          <w:i w:val="1"/>
          <w:iCs w:val="1"/>
          <w:color w:val="auto"/>
        </w:rPr>
        <w:t>Revenue</w:t>
      </w:r>
      <w:r>
        <w:rPr>
          <w:rFonts w:ascii="Arial" w:cs="Arial" w:eastAsia="Arial" w:hAnsi="Arial"/>
          <w:sz w:val="17"/>
          <w:szCs w:val="17"/>
          <w:color w:val="auto"/>
        </w:rPr>
        <w:t>, the outcome of the PALISADE-1 study resulted in an estimated extension of the period over which we will recognize both revenue under the AffaMed Agreement and the period over which we will amortize the deferred contract acquisition costs. Our extended estimate of the time required to satisfy our performance obligation required a cumulative catch-up adjustment to amortization of the contract acquisition costs. During the quarter ended September 30, 2022, we reversed previously recorded expense of $83,900, including $29,100 which had been expensed in the quarter ended June 30, 2022. During the quarter ended September 30, 2021, we amortized $33,600 of contract acquisition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totaled $6,100 for the quarter ended September 30, 2022, compared to $5,100 for the quarter ended September 30, 2021. The following table indicates the primary components of interest income and expense for each of the periods (amounts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quarters ended September 30, 2022 and 2021, interest income relates to cash deposits in interest-bearing cash equivalent accounts. Interest expense for the quarter ended September 30, 2022 relates to interest paid on the insurance premium financing note executed in May 2022 and in both periods on our financing lease of office equipment subject to ASC 842. We did not finance insurance premiums for policies that renewed in February 2021, February 2022 or May 2021.</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approximately $375,200 during the quarter ended September 30, 2021 attributable to the 10% cumulative dividend accrued on then-outstanding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Condensed Consolidated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six months ended September 30, 2022 and 2021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9"/>
              </w:rPr>
              <w:t>Six Months Ended September 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44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5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36,680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21,258</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(37,262)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(37,254)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taxes</w:t>
            </w: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52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(37,260)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520" w:type="dxa"/>
            <w:vAlign w:val="bottom"/>
            <w:vMerge w:val="restart"/>
          </w:tcPr>
          <w:p>
            <w:pPr>
              <w:jc w:val="right"/>
              <w:ind w:right="2130"/>
              <w:spacing w:after="0"/>
              <w:rPr>
                <w:sz w:val="20"/>
                <w:szCs w:val="20"/>
                <w:color w:val="auto"/>
              </w:rPr>
            </w:pPr>
            <w:r>
              <w:rPr>
                <w:rFonts w:ascii="Arial" w:cs="Arial" w:eastAsia="Arial" w:hAnsi="Arial"/>
                <w:sz w:val="18"/>
                <w:szCs w:val="18"/>
                <w:color w:val="auto"/>
              </w:rPr>
              <w:t>-29-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derecognized $582,500 in sublicense revenue pursuant to the AffaMed Agreement during the six months ended September 30, 2022, compared to recognizing revenue of $712,100 during the six months ended September 30, 2021. As described more completely in Note 3 and Note 11 to our Condensed Consolidated Financial Statements in Part I of this Report, on June 24, 2020, we entered into the AffaMed Agreement, pursuant to which we received a non-refundable upfront license fee payment of $5.0 million on August 3, 2020, which payment permitted the commencement of our revenue recognition under the AffaMed Agreement. We recognize revenue on a straight-line basis over the period in which we expect to perform our obligation under the AffaMed Agreement. Revenue related to our performance obligation, which is satisfied over time, could be materially impacted as a result of changes in our estimates of the time or effort necessary to satisfy the performance obligation. Due to the failure of PALISADE-1 to meet its primary efficacy endpoint and the resulting anticipated delay in subsequent clinical and regulatory processes for PH94B in SAD, at September 30, 2022, we estimated that we would complete our performance obligation under the AffaMed Agreement during mid-calendar 2027. As described in Note 3, as a result of the change in our estimate of the time required to complete our performance obligation under the AffaMed Agreement, we recorded a cumulative catch-up adjustment at September 30, 2022 pursuant to which we derecognized previously recorded revenue, resulting in negative revenue of $582,500 in the six months ended September 30, 2022, including $310,000 of revenue that had been recognized in the quarter ended June 30, 2022. Following the cumulative catch-up adjustment, through September 30, 2022, we have recognized an aggregate of $1,615,900 as revenue under the AffaMed Agreement and expect to recognize the remaining $3,384,100 as revenue over the estimated performance period as our obligation is completed. We will adjust our estimates, as necessary, in subsequent periods should more definitive information on which to base our projections become available. While we may potentially receive additional cash payments and royalties in the future under the AffaMed Agreement in the event certain performance-based milestones and commercial sales are achieved, there can be no assurance that the AffaMed Agreement will provide any additional revenue beyond that noted or cash payments to us in the near term, or at all.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w:t>
      </w:r>
      <w:r>
        <w:rPr>
          <w:rFonts w:ascii="Arial" w:cs="Arial" w:eastAsia="Arial" w:hAnsi="Arial"/>
          <w:sz w:val="17"/>
          <w:szCs w:val="17"/>
          <w:i w:val="1"/>
          <w:iCs w:val="1"/>
          <w:color w:val="auto"/>
        </w:rPr>
        <w:t>R&amp;D</w:t>
      </w:r>
      <w:r>
        <w:rPr>
          <w:rFonts w:ascii="Arial" w:cs="Arial" w:eastAsia="Arial" w:hAnsi="Arial"/>
          <w:sz w:val="17"/>
          <w:szCs w:val="17"/>
          <w:color w:val="auto"/>
        </w:rPr>
        <w:t>) expense increased by approximately $12.8 million, from $15.4 million for the six months ended September 30, 2021 to $28.2 million for the six months ended September 30, 2022. Activities related to conducting our PALISADE Phase 3 Program for PH94B, including PALISADE-1, PALISADE-2 and the PALISADE OLS study, and the PH94B Phase 2 Study in AjDA, as well as nonclinical development, outsourced manufacturing and regulatory activities for both PH94B and PH10, accounted for increased expenses of approximately $11.8 million during the six months ended September 30, 2022 in comparison to the activities conducted during the six months ended September 30, 2021. We expect R&amp;D project expense for the remainder of Fiscal 2023 to decrease for PH94B due to completing the PALISADE-1 study, terminating the PALISADE OLS study and deferring certain previously projected NDA-enabling nonclinical and clinical development of PH94B, to be somewhat offset by anticipated costs for commencing the Phase 1 clinical trial of PH10 in MDD. Salaries and benefits expense for the six months ended September 30, 2022 increased compared to those of the six months ended September 2021 due to the hiring of additional regulatory, clinical, CMC and data management personnel during calendar 2021 and earlier in calendar 2022, partially offset by a reduction in the accrual for estimated additional compensation expense attributable to calendar 2022 corporate objectives compared to the estimated achievement of certain corporate objectives during the 2021 calendar year. Noncash research and development expense, primarily stock-based compensation and depreciation in both periods, accounted for approximately $851,000 and $606,000 for the six months ended September 30, 2022 and 2021, respectively. The following table indicates the primary components of research and development expense for each of the periods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September 30,</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3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PH94B and PH10</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AV-101</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3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3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28,186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0" w:type="dxa"/>
            <w:vAlign w:val="bottom"/>
            <w:vMerge w:val="restart"/>
          </w:tcPr>
          <w:p>
            <w:pPr>
              <w:jc w:val="right"/>
              <w:ind w:right="2010"/>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salaries and benefits expense for the six months ended September 30, 2022 primarily reflects the addition of ten new management and staff positions across multiple functional disciplines, including biostatistics and clinical analytics, clinical operations, chemistry, manufacturing and controls, and regulatory affairs since September 30, 2021, as well as the impact of salary increases effective in January 2022 granted to our R&amp;D management and staff. These increases are partially offset by the elimination during the six months ended September 30, 2022 of the accrual for estimated additional compensation expense for R&amp;D officers and employees as a result of the outcome of the PALISADE-1 study and delay or termination of other clinical trials and nonclinical activities related to calendar year 2022 corporate operational objectives compared to the accrual of approximately $1,130,000 at September 30, 2021 for estimated achievement of calendar 2021 objectives. As previously noted, we expect R&amp;D salaries and benefit expense to further decrease in future periods as a result of voluntary resignations of certain R&amp;D employees subsequent to September 30, 2022.</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Stock-based compensation expense for the six months ended September 30, 2022 reflects the amortization of option grants made to our R&amp;D staff and certain clinical and scientific consultants since May 2019, in addition to grants to new employees as indicated above. All outstanding options granted to R&amp;D employees and consultants prior to May 2019 have become fully vested and amortized prior to the six months ended September 30, 2022 and the May 2019 grants became fully vested during the six months then ended. Grants awarded after September 30, 2021, including those granted to new employees, account for approximately $347,000 of expense for the six months ended September 30, 2022, offset by an expense reduction of approximately $139,000 attributable to certain options granted between May 2019 and May 2020 that became fully vested and amortized prior to or during the six months ended September 30, 2022. Grants made during the six months ended September 30, 2021 reflected a full six months of vesting and amortization during the six months ended September 30, 2022, or became fully vested and amortized, decreasing expense for such options by $68,000. The extension of option exercisability by 90 days for a terminated employee accounted for approximately $109,000 of additional expense for the six months ended September 30, 2022. 2019 ESPP expense for the six months ended September 30, 2022 was $25,400 compared to $16,700 during the six months ended September 30, 2021.</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Expense for the six months ended September 30, 2022 also includes nominal contract recruiting services for certain specialized R&amp;D employee and consultant positions.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and PH10 project expense increased by approximately $11.8 million in the six months ended September 2022 compared to the six months ended September 30, 2021. PH94B expense for the six months ended September 30, 2022 reflects (i) the costs associated with conducting and completing the PALISADE-1 study, including data analysis and root cause investigations, (ii) costs associated with the PALISADE-2 study prior to its pause and for the interim analysis of data available from PALISADE-2, (iii) costs associated with conducting the PALISADE OLS study prior to its termination, and (iv) on-going costs for conducting the Phase 2A study of PH94B in AjDA, as well as various other clinical, nonclinical, regulatory and manufacturing activities. The PALISADE-1 study commenced in May 2021 and we announced the results in July 2022. The PALISADE OLS study commenced in July 2021, PALISADE-2 commenced in August 2021 and the PH94B AjDA study commenced in mid-June 2021. Throughout the six months ended September 30, 2022 and 2021, respectively, manufacturing, formulation, process validation and analysis of sufficient quantities of drug substance and drug product for clinical trials and other developmental requirements were significant initiatives for advancing both PH94B and PH10. Additionally, there was significant regulatory activity during the six months ended September 30, 2022 leading to the late-September 2022 submission to the FDA of the IND for PH10 in MDD. Due to its later stage of development, costs for PH94B initiatives have significantly exceeded those for PH10 during both Fiscal 2023 and Fiscal 2022. However, as a result of pausing PALISADE-2 in July 2022 and terminating the PALISADE OLS study in August 2022, we expect costs associated with our continued PH94B-related initiatives, including our Phase 2 AjDA study and other nonclinical studies of PH94B, to substantially decrease in the near-term and then increase once again as we resume recruitment and enrollment in PALISADE-2 in the first quarter of calendar 2023. We anticipate increased clinical development expense associated with PH10 in the near term as we anticipate a U.S. Phase 1 clinical trial of PH10 to facilitate potential U.S. Phase 2B development of PH10 for treatment of MDD. In both six-month periods, AV-101 project expense includes costs for certain preclinical studies related to the use of AV-101 with adjunctive probenecid and certain AV-101 manufacturing stability studies. Expense in the six months ended September 30, 2022 also includes the impact of our ongoing exploratory Phase 1B AV-101 and probenecid clinical trial.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increased by approximately $2.6 million to approximately $8.5 million for the six months ended September 30, 2022, compared to approximately $5.9 million for the six months ended September 30, 2021. Primary components of the increase include:</w:t>
      </w:r>
    </w:p>
    <w:p>
      <w:pPr>
        <w:spacing w:after="0" w:line="124" w:lineRule="exact"/>
        <w:rPr>
          <w:sz w:val="20"/>
          <w:szCs w:val="20"/>
          <w:color w:val="auto"/>
        </w:rPr>
      </w:pPr>
    </w:p>
    <w:p>
      <w:pPr>
        <w:ind w:left="980" w:hanging="324"/>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Customary pre-commercialization studies, analyses, projections, strategic modeling and awareness services, primarily for PH94B in SAD, initiated in expectation of positive clinical trial results from the PALISADE Phase 3 program;</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Expensing professional services incurred in anticipation of a potential credit facility offering that we opted to forego as a result of the PALISADE-1 outcome;</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insurance coverage limits and new coverages added to our insurance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stock-based compensation expense related to recent option grants;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investor and public relations and corporate awareness initiatives; and</w:t>
      </w:r>
    </w:p>
    <w:p>
      <w:pPr>
        <w:spacing w:after="0" w:line="9"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new G&amp;A employees hired since September 30, 2021, offset by the elimination during the quarter ended September 30, 2022 of the accrual for estimated additional compensation expense for G&amp;A officers and employees as a result of the outcome of PALISADE-1 and delay or conclusion of other clinical trials and nonclinical activities related to calendar year 2022 corporate operational objectives compared to the accrual at September 30, 2021 for estimated achievement of calendar 2021 objectives.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Noncash general and administrative expense, approximately $1,164,000 and $1,134,000 for the six months ended September 30, 2022 and 2021, respectively, primarily reflects stock-based compensation and depreciation in both periods, an adjustment to contract acquisition amortization expense in the six months ended September 30, 2022 and a write-off of deferred offering costs in the six months ended September 30, 2021. The following table indicates the primary components of general and administrative expense for each of the periods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280"/>
              <w:spacing w:after="0"/>
              <w:rPr>
                <w:sz w:val="20"/>
                <w:szCs w:val="20"/>
                <w:color w:val="auto"/>
              </w:rPr>
            </w:pPr>
            <w:r>
              <w:rPr>
                <w:rFonts w:ascii="Arial" w:cs="Arial" w:eastAsia="Arial" w:hAnsi="Arial"/>
                <w:sz w:val="18"/>
                <w:szCs w:val="18"/>
                <w:b w:val="1"/>
                <w:bCs w:val="1"/>
                <w:color w:val="auto"/>
              </w:rPr>
              <w:t>Six Months Ended September 30,</w:t>
            </w:r>
          </w:p>
        </w:tc>
      </w:tr>
      <w:tr>
        <w:trPr>
          <w:trHeight w:val="209"/>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Write off of deferred offering costs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expenses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decrease in salaries and benefits expense for the six months ended September 30, 2022 primarily reflects the addition of six additional management and staff positions including our Vice President, Medical Affairs in October 2021, our Vice President, Strategic Insights and Analytics in November 2021, our Vice President, Human Resources in January 2022, our Chief Legal Officer in May 2022, our Vice President, Associate General Counsel in August 2022 and one additional administrative employee in June 2022, as well as the impact of salary increases effective in January 2022 granted to our G&amp;A management and staff. These increases are offset by the elimination during the six months ended September 30, 2022 of the accrual for estimated additional compensation expense for G&amp;A officers and employees as a result of the outcome of the PALISADE-1 study and delay or conclusion of other clinical trials and nonclinical activities related to calendar year 2022 corporate operational objectives compared to the accrual of approximately $862,000 at September 30, 2021 for estimated achievement of calendar 2021 objectives. As previously noted, we expect G&amp;A salaries and benefit expense to further decrease in future periods as a result of voluntary resignations of certain G&amp;A employees subsequent to September 30, 2022.</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Stock-based compensation expense for the six months quarter ended September 30, 2022 reflects the amortization of option grants made to our G&amp;A officers and staff and certain consultants since May 2019, in addition to grants to new employees as indicated above. With the exception of options granted in May 2019, September 2019 and April 2020, which became fully vested and amortized in May 2022, September 2022 and April 2022, respectively, all outstanding options granted to G&amp;A employees and consultants prior to October 2020 have become fully vested and amortized prior to September 30, 2022. Grants awarded after September 30, 2021, including those granted to new employees, account for approximately $552,000 of expense during the six months ended September 30, 2022, offset by an expense reduction of approximately $331,000 attributable to certain options granted between May 2019 and June 2020 that became fully vested and amortized prior to or during the six months ended September 30, 2022. Grants made during the six months ended September 30, 2021 reflected a full six months of expense during the six months ended September 30, 2022, increasing expense by approximately $153,000 compared to the prior year. 2019 ESPP expense for the six months ended September 30, 2022 was approximately $9,000 compared to $8,700 for the six months ended September 30,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Fiscal 2022, increasing payments to reflect current market conditions and we added one new independent Board member in April 2021 and two additional independent members during July 2021. Expenses for the six months ended September 30, 2022 also include recruiting fees for certain administrative positions.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Legal, accounting and other professional fees for both periods include expenses related to routine and project-based legal services as well as accounting services related to the annual audit and quarterly review of our financial statements. Expense for both periods includes the cost of certain outsourced financial and accounting services and our information technology service provider. Expense in the six months ended September 30, 2021 also included costs related to our implementation of new accounting software. Expense in both periods also includes legal counsel and other costs related to patent prosecution and protection pursuant to our stem cell technology license agreements, our AV-101 patents, or patents that we have elected to pursue for commercial purposes, recurring annual license fees, and costs we have incurred to advance various patent applications in the U.S. and numerous foreign countries, primarily with respect to AV-101 and our stem cell technology platform, but also nominally with respect to our PH94B and PH10 intellectual property portfolios. During the six months ended September 30, 2022, we expensed approximately $301,000 of professional services fees incurred in anticipation of a potential credit facility offering that we opted to forego following the results of PALISADE-1.</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 and public relations expense in both periods includes the fees of our various external service providers for a broad spectrum of investor relations, public relations and social media services, and, primarily in the six months ended September 30, 2022, additional market awareness and strategic advisory and support functions and initiatives. During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both periods, we incurred expenses for a number of pre-commercialization studies, analyses, projections, strategic modeling and awareness services, primarily attributable to PH94B as a potential acute treatment of anxiety in adults with SAD. Given the results of PALISADE-1 and the resulting delay to our anticipated commercialization timeline for PH94B in SAD, we have paused or concluded most of such activities and are evaluating the extent and timing of such future activities, and it is anticipated that such expenditures will not recur in the short term in excess of the level expended during the six months ended September 30, 2022.</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insurance expense is primarily attributable to the increased coverage obtained under our directors’ and officers’ liability insurance upon renewal of our policy in May 2022 and additional coverages, including cybersecurity and employment practices liability, added to our insurance program during Fiscal 2022.</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periodic shelter-in-place restrictions and travel and workplace precautions and restrictions associated with the COVID-19 pandemic continuing throughout both Fiscal 2021 and Fiscal 2022,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generally occurred remotely without requiring in-person business travel by our executives. We incurred nominal travel expense during the six months ended September 30, 2022 for attendance at seminars, and for vendor audits, clinical trial site visits and certain investor-focused events, as conditions have permitted.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Rent expense for both periods reflects our implementation of ASC 842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As disclosed in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Condensed Consolidated Financial Statements in Part I of this Report, in October 2021, we entered into an amendment to this lease, pursuant to which the term of the lease was extended from August 1, 2022 to July 31, 2027 and the base rent under the lease for the five-year extension period was specified. We allocate total rent expense for our South San Francisco facility between R&amp;D expense and G&amp;A expense based generally on square footage dedicated to each function. In both periods reported, rent expense includes charges for such items as common area maintenance fees, taxes and insurance which are generally assessed to us by our landlord.</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Beginning in the quarter ended September 30, 2020, we began to amortize the deferred contract acquisition costs related to our acquisition of the AffaMed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As described above in the section entitled </w:t>
      </w:r>
      <w:r>
        <w:rPr>
          <w:rFonts w:ascii="Arial" w:cs="Arial" w:eastAsia="Arial" w:hAnsi="Arial"/>
          <w:sz w:val="18"/>
          <w:szCs w:val="18"/>
          <w:i w:val="1"/>
          <w:iCs w:val="1"/>
          <w:color w:val="auto"/>
        </w:rPr>
        <w:t>Revenue</w:t>
      </w:r>
      <w:r>
        <w:rPr>
          <w:rFonts w:ascii="Arial" w:cs="Arial" w:eastAsia="Arial" w:hAnsi="Arial"/>
          <w:sz w:val="18"/>
          <w:szCs w:val="18"/>
          <w:color w:val="auto"/>
        </w:rPr>
        <w:t>, the outcome of the PALISADE-1 study resulted in an estimated extension of the period over which we will recognize both revenue under the AffaMed Agreement and the period over which we will amortize the deferred contract acquisition costs. Our extended estimate of the time required to satisfy our performance obligation required a cumulative catch-up adjustment to amortization of the contract acquisition costs. During the six months ended September 30, 2022, we reversed previously recorded expense of $54,800, including $29,100 which had been expensed in the quarter ended June 30, 2022. During the six months ended September 30, 2021, we amortized $66,900 of contract acquisition costs.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2021, we terminated our previous equity line agreement with Lincoln Park Capital. Upon termination of the agreement, we expensed the remaining $232,100 of deferred offering costs related to the agreement as a noncash charge to G&amp;A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net totaled $8,400 for the six months ended September 30, 2022, compared to $10,200 for the six months ended September 30, 2021. The following table indicates the primary components of interest income and expense for each of the periods (amounts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Six Months Ended September 30,</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on financing lease and insurance premium financing note</w:t>
            </w: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September 30, 2022 and 2021, interest income relates to cash deposits in interest-bearing cash equivalent accounts. Although interest rates have increased during the six months ended September 30, 2022, our cash deposit balances have declined as we used such amounts to fund our operations. Interest expense for the six months ended September 30, 2022 relates to interest paid on the insurance premium financing note executed in May 2022 and in both periods on our financing lease of office equipment subject to ASC 842. We did not finance insurance premiums for policies that renewed in February 2021, February 2022 or May 2021.</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approximately $737,000 during the six months ended September 30, 2021 attributable to the 10% cumulative dividend accrued on then-outstanding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xml:space="preserve">) as an additional deduction in arriving at net loss attributable to common stockholders in the Condensed Consolidated Financial Statements. In November 2021, the custodial holder of 1,131,669 outstanding shares of our Series B Preferred exercised its rights for conversion into common stock under the terms of the Certificate of Designation of the Relative Rights and Preferences of the Series B 10% Convertible Preferred Stock </w:t>
      </w:r>
      <w:r>
        <w:rPr>
          <w:rFonts w:ascii="Arial" w:cs="Arial" w:eastAsia="Arial" w:hAnsi="Arial"/>
          <w:sz w:val="17"/>
          <w:szCs w:val="17"/>
          <w:i w:val="1"/>
          <w:iCs w:val="1"/>
          <w:color w:val="auto"/>
        </w:rPr>
        <w:t>(Series B Certificate of Designation)</w:t>
      </w:r>
      <w:r>
        <w:rPr>
          <w:rFonts w:ascii="Arial" w:cs="Arial" w:eastAsia="Arial" w:hAnsi="Arial"/>
          <w:sz w:val="17"/>
          <w:szCs w:val="17"/>
          <w:color w:val="auto"/>
        </w:rPr>
        <w:t xml:space="preserve"> and we issued 1,131,669 shares of our common stock upon conversion. From initial issuance in May 2015 through the time of conversion in November 2021, the Series B Preferred had accrued 10% dividends aggregating $7,217,800 and, in accordance with the terms of the Series B Certificate of Designation, we issued 3,295,778 shares of our unregistered common stock in payment of the accrued dividends. Following this conversion there were no additional shares of Series B Preferred outstanding and no further accrual of dividends on the Series B Preferred.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September 30, 2022, we have financed our operations and technology acquisitions primarily through the issuance and sale of our equity and debt securities for cash proceeds of approximately $208.7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During Fiscal 2022, holders of outstanding warrants to purchase an aggregate of approximately 7.3 million shares of our common stock exercised such warrants, and we received cash proceeds of approximately $6.2 million. In May 2021, we entered into an Open Market Sale Agreement </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w:t>
      </w:r>
      <w:r>
        <w:rPr>
          <w:rFonts w:ascii="Arial" w:cs="Arial" w:eastAsia="Arial" w:hAnsi="Arial"/>
          <w:sz w:val="17"/>
          <w:szCs w:val="17"/>
          <w:i w:val="1"/>
          <w:iCs w:val="1"/>
          <w:color w:val="auto"/>
        </w:rPr>
        <w:t>Sales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with respect to an at-the-market offering program (the</w:t>
      </w:r>
      <w:r>
        <w:rPr>
          <w:rFonts w:ascii="Arial" w:cs="Arial" w:eastAsia="Arial" w:hAnsi="Arial"/>
          <w:sz w:val="17"/>
          <w:szCs w:val="17"/>
          <w:i w:val="1"/>
          <w:iCs w:val="1"/>
          <w:color w:val="auto"/>
        </w:rPr>
        <w:t xml:space="preserve"> ATM</w:t>
      </w:r>
      <w:r>
        <w:rPr>
          <w:rFonts w:ascii="Arial" w:cs="Arial" w:eastAsia="Arial" w:hAnsi="Arial"/>
          <w:sz w:val="17"/>
          <w:szCs w:val="17"/>
          <w:color w:val="auto"/>
        </w:rPr>
        <w:t>) under which we may offer and sell, from time to time,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having an aggregate offering price of up to $75.0 million through our sales agent. During Fiscal 2022, we sold an aggregate of 1,517,798 shares of our common stock and received net cash proceeds of approximately $4.3 million under the ATM. We have not sold any additional shares of our common stock under the Sales Agreement from October 2, 2021 through the date of this Report. During our fiscal year ended March 31, 2021 (</w:t>
      </w:r>
      <w:r>
        <w:rPr>
          <w:rFonts w:ascii="Arial" w:cs="Arial" w:eastAsia="Arial" w:hAnsi="Arial"/>
          <w:sz w:val="17"/>
          <w:szCs w:val="17"/>
          <w:i w:val="1"/>
          <w:iCs w:val="1"/>
          <w:color w:val="auto"/>
        </w:rPr>
        <w:t>Fiscal 2021</w:t>
      </w:r>
      <w:r>
        <w:rPr>
          <w:rFonts w:ascii="Arial" w:cs="Arial" w:eastAsia="Arial" w:hAnsi="Arial"/>
          <w:sz w:val="17"/>
          <w:szCs w:val="17"/>
          <w:color w:val="auto"/>
        </w:rPr>
        <w:t xml:space="preserve">), we received approximately $119 million in net cash proceeds, primarily from public offerings conducted in August 2020 and December 2020, the exercise of approximately 6.6 million outstanding warrants and the upfront license payment pursuant to our sublicense and collaboration agreement for PH94B (the </w:t>
      </w:r>
      <w:r>
        <w:rPr>
          <w:rFonts w:ascii="Arial" w:cs="Arial" w:eastAsia="Arial" w:hAnsi="Arial"/>
          <w:sz w:val="17"/>
          <w:szCs w:val="17"/>
          <w:i w:val="1"/>
          <w:iCs w:val="1"/>
          <w:color w:val="auto"/>
        </w:rPr>
        <w:t>AffaMed Agreement</w:t>
      </w:r>
      <w:r>
        <w:rPr>
          <w:rFonts w:ascii="Arial" w:cs="Arial" w:eastAsia="Arial" w:hAnsi="Arial"/>
          <w:sz w:val="17"/>
          <w:szCs w:val="17"/>
          <w:color w:val="auto"/>
        </w:rPr>
        <w:t>), which is described more completely in Note 11,</w:t>
      </w:r>
      <w:r>
        <w:rPr>
          <w:rFonts w:ascii="Arial" w:cs="Arial" w:eastAsia="Arial" w:hAnsi="Arial"/>
          <w:sz w:val="17"/>
          <w:szCs w:val="17"/>
          <w:i w:val="1"/>
          <w:iCs w:val="1"/>
          <w:color w:val="auto"/>
        </w:rPr>
        <w:t xml:space="preserve"> Sublicensing and Collaboration Agreements</w:t>
      </w:r>
      <w:r>
        <w:rPr>
          <w:rFonts w:ascii="Arial" w:cs="Arial" w:eastAsia="Arial" w:hAnsi="Arial"/>
          <w:sz w:val="17"/>
          <w:szCs w:val="17"/>
          <w:color w:val="auto"/>
        </w:rPr>
        <w:t>. The financings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consummated during Fiscal 2022 and Fiscal 2021 have been the primary sources of our liquidity during Fiscal 2022 and through the date of this Report. During the six months ended September 30, 2022, we received approximately $160,500 in proceeds from the exercise of outstanding stock options and sales under our 2019 Employee Stock Ownership Program (the </w:t>
      </w:r>
      <w:r>
        <w:rPr>
          <w:rFonts w:ascii="Arial" w:cs="Arial" w:eastAsia="Arial" w:hAnsi="Arial"/>
          <w:sz w:val="17"/>
          <w:szCs w:val="17"/>
          <w:i w:val="1"/>
          <w:iCs w:val="1"/>
          <w:color w:val="auto"/>
        </w:rPr>
        <w:t>ESPP</w:t>
      </w:r>
      <w:r>
        <w:rPr>
          <w:rFonts w:ascii="Arial" w:cs="Arial" w:eastAsia="Arial" w:hAnsi="Arial"/>
          <w:sz w:val="17"/>
          <w:szCs w:val="17"/>
          <w:color w:val="auto"/>
        </w:rPr>
        <w: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cash and cash equivalents of approximately $35.3 million at September 30, 2022, which we believe is probable not to be sufficient to fund our planned operations for the twelve months following the issuance of these consolidated financial statements, which raises substantial doubt that we can continue as a going concern. We are continuing to evaluate our cash resources given the results of PALISADE-1 and our decisions to (i) resume recruitment and enrollment in PALISADE-2 following the independent third-party interim analysis of data from subjects randomized in PALISADE-2 to date, (ii) end recruitment and enrollment in the PALISADE OLS study of PH94B, (iii) continue our small exploratory Phase 2A clinical study of PH94B in adults experiencing AjDA, and (iv) prepare to conduct a small and brief Phase 1 clinical safety study of PH10 to facilitate potential Phase 2B development, on our own or with a collaborator, of PH10 as a potential stand-alone rapid-onset treatment for MDD. We are continuing to evaluate the resulting implications for the conduct and timing of other clinical trials and strategies and opportunities for the development and commercialization, on our own or with collaborators, all of our product candidates. However, as we have not yet developed products that generate recurring revenue and, in the event we successfully complete future clinical and/or nonclinical programs, we will need to invest substantial additional capital resources to develop and commercialize our drug candidates.</w:t>
      </w:r>
    </w:p>
    <w:p>
      <w:pPr>
        <w:sectPr>
          <w:pgSz w:w="11900" w:h="16838" w:orient="portrait"/>
          <w:cols w:equalWidth="0" w:num="1">
            <w:col w:w="11240"/>
          </w:cols>
          <w:pgMar w:left="320" w:top="125"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necessary and advantageous, we will seek additional financial resources to fund our planned operations through (i) sales of our equity and/or debt securities in one or more public offerings and/or private placements, (ii) non-dilutive government grants and research awards and (iii) non-dilutive strategic collaborations to advance development and commercialization of our product candidates. For example, we may seek to enter research, development and/or commercialization collaborations similar to the AffaMed Agreement, which applies to development of PH94B in certain Pacific-Asian territories, to provide non-dilutive funding for our operations, while also reducing a portion of our future cash outlays and working capital requirements. Although we may seek additional collaborations that could generate revenue and/or provide non-dilutive funding for development and commercialization of our product candidates, no assurance can be provided that any such collaborations, awards or agreements will occur in the future.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we do not have an obligation to do so.</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the on-going COVID-19 pandemic, adjustments in the size of our staff, the scope and nature of opportunities related to our success and the success of certain other companies in nonclinical and clinical trials, including our development and commercialization of our current product candidates, the availability of, and our ability to enter into collaborations on terms acceptable to us. To further advance the clinical development of PH94B, PH10, and AV-101, as well as support our operating activities, we plan to continue to carefully manage our routine operating costs, including, but not limited to, our clinical and nonclinical programs.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the foregoing, there can be no assurance that future financings will be available to us in sufficient amounts, in a timely manner, or on terms acceptable to us, if at all, or that our current strategic collaboration under the AffaMed Agreement or other strategic collaborations will generate revenue from future potential milestone payments. Further, on September 6, 2022, we received a letter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indicating that, based upon the closing bid price of our common stock for the previous 30 consecutive business days, we are not currently in compliance with the requirement to maintain a minimum bid price of $1.00 per share for continued listing on the Nasdaq Capital Market. While the letter has no immediate effect on the listing of our common stock on the Nasdaq Capital Market, failure to meet applicable Nasdaq continued listing standards could potentially result in a delisting of our common stock, which could materially reduce the liquidity of our common stock, result in a further reduction in the price of our common stock, require us to implement a reverse stock split, and/or impair our ability to raise capital through alternative financing sources on terms acceptable to us, or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 The Condensed Consolidated Financial Statements included in Part I of this Report do not include any adjustments that might result from the negative outcome of this uncertainty.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i w:val="1"/>
                <w:iCs w:val="1"/>
                <w:color w:val="auto"/>
              </w:rPr>
              <w:t>Cash and Cash Equivalents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w w:val="92"/>
              </w:rPr>
              <w:t>The following table summarizes changes in cash and cash equivalents for the periods stated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9"/>
              </w:rPr>
              <w:t>Six Months Ended September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(32,309)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8,342</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(32,848)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103,108</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35,287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described above, the combination of the net proceeds we received from public offerings in Fiscal 2021, from transactions under our ATM in Fiscal 2022 and from warrant exercises in both Fiscal 2021 and Fiscal 2022, have been the primary sources of our available cash during Fiscal 2022 and during the six months ended September 30, 2022. The increase in cash used in operations during the six months ended September 30, 2022 reflects our continued conduct, completion, pause or termination of PH94B clinical trials including PALISADE-1, PALISADE-2, the PALISADE OLS, and the Phase 2 AjDA study, as previously described, as well as ongoing manufacturing and regulatory initiatives and other nonclinical studies of our product candidates. Additionally, during Fiscal 2022, we expanded our internal capabilities with the addition of numerous senior personnel with significant expertise in disciplines critical to the advancement of our product pipeline. In both periods, but to a much greater extent during the six months ended September 30, 2022, in parallel with our clinical and regulatory initiatives, and in expectation of positive results from the PALISADE Phase 3 Program, we have engaged in customary pre-commercialization analyses, modeling, planning and awareness initiatives. Given the results of the PALISADE-1 study, we have paused most of such activities and are evaluating the extent and timing of such future activities. Cash used in investing activities during the six months ended September 30, 2022 reflects laboratory analytical equipment acquired for our internal studies and experiments on both PH94B and PH10 and cash used during the six months ended September 30, 2021 primarily reflects the cost of laboratory analytical equipment acquired for use by our CMO in connection with the development and production of PH94B drug product. Cash used by financing activities during the six months ended September 30, 2022 is primarily the result of the proceeds of option exercises and the purchase of common stock under our ESPP, net of principal payments on our insurance premium financing note and expenditures related to the ATM transaction with Jefferies which are recorded as deferred offering costs. Cash provided by financing activities during the six months ended September 30, 2021 is primarily the result of warrant exercises, net of expenditures related to the ATM transaction with Jefferies and recorded as deferred offering costs.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59"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was no change in our internal control over financial reporting (as defined in Rule 13a-15(f) of the Exchange Act) from that described in our Quarterly Report on Form 10-Q for our quarter ended June 30, 2022,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on August 11, 2022, that occurred during the quarter ended September 30, 2022, to which this Report relates,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jc w:val="both"/>
        <w:ind w:left="1220" w:hanging="659"/>
        <w:spacing w:after="0" w:line="255"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Failures of our current and/or future clinical studies of our product candidates, or delays in the commencement of completion of our clinical trials, could result in increased costs to us and could delay, prevent or limit our ability to generate revenue and continue our business;</w:t>
      </w:r>
    </w:p>
    <w:p>
      <w:pPr>
        <w:spacing w:after="0" w:line="2" w:lineRule="exact"/>
        <w:rPr>
          <w:rFonts w:ascii="Arial" w:cs="Arial" w:eastAsia="Arial" w:hAnsi="Arial"/>
          <w:sz w:val="18"/>
          <w:szCs w:val="18"/>
          <w:color w:val="auto"/>
        </w:rPr>
      </w:pPr>
    </w:p>
    <w:p>
      <w:pPr>
        <w:ind w:left="1220" w:hanging="659"/>
        <w:spacing w:after="0" w:line="265"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ind w:left="1220" w:hanging="659"/>
        <w:spacing w:after="0" w:line="265"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retain or attract key management and scientific personnel, we may be unable to successfully produce, develop and commercialize our product candidates;</w:t>
      </w:r>
    </w:p>
    <w:p>
      <w:pPr>
        <w:jc w:val="both"/>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completion of clinical or nonclinical studies in any of our development programs may not be sufficient to cause the FDA to approve of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1" w:lineRule="exact"/>
        <w:rPr>
          <w:rFonts w:ascii="Arial" w:cs="Arial" w:eastAsia="Arial" w:hAnsi="Arial"/>
          <w:sz w:val="18"/>
          <w:szCs w:val="18"/>
          <w:color w:val="auto"/>
        </w:rPr>
      </w:pPr>
    </w:p>
    <w:p>
      <w:pPr>
        <w:jc w:val="both"/>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impact on our business, including delays and potential delays in manufacturing and testing of certain drug substance and drug products, potential delays in recruitment and enrollment in our planned clinical and nonclinical studies of our product candidates and potential impact of the results of our clinical and nonclinical studies of our product candidates;</w:t>
      </w:r>
    </w:p>
    <w:p>
      <w:pPr>
        <w:spacing w:after="0" w:line="1" w:lineRule="exact"/>
        <w:rPr>
          <w:rFonts w:ascii="Arial" w:cs="Arial" w:eastAsia="Arial" w:hAnsi="Arial"/>
          <w:sz w:val="18"/>
          <w:szCs w:val="18"/>
          <w:color w:val="auto"/>
        </w:rPr>
      </w:pPr>
    </w:p>
    <w:p>
      <w:pPr>
        <w:ind w:left="1220" w:right="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jc w:val="both"/>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 w:lineRule="exact"/>
        <w:rPr>
          <w:rFonts w:ascii="Arial" w:cs="Arial" w:eastAsia="Arial" w:hAnsi="Arial"/>
          <w:sz w:val="18"/>
          <w:szCs w:val="18"/>
          <w:color w:val="auto"/>
        </w:rPr>
      </w:pPr>
    </w:p>
    <w:p>
      <w:pPr>
        <w:ind w:left="1220" w:hanging="659"/>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32" w:lineRule="exact"/>
        <w:rPr>
          <w:rFonts w:ascii="Arial" w:cs="Arial" w:eastAsia="Arial" w:hAnsi="Arial"/>
          <w:sz w:val="16"/>
          <w:szCs w:val="16"/>
          <w:color w:val="auto"/>
        </w:rPr>
      </w:pPr>
    </w:p>
    <w:p>
      <w:pPr>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require substantial additional financing to execute our long-term business plan, including further development and commercialization of our CNS product candidates;</w:t>
      </w:r>
    </w:p>
    <w:p>
      <w:pPr>
        <w:jc w:val="both"/>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1" w:lineRule="exact"/>
        <w:rPr>
          <w:rFonts w:ascii="Arial" w:cs="Arial" w:eastAsia="Arial" w:hAnsi="Arial"/>
          <w:sz w:val="18"/>
          <w:szCs w:val="18"/>
          <w:color w:val="auto"/>
        </w:rPr>
      </w:pPr>
    </w:p>
    <w:p>
      <w:pPr>
        <w:ind w:left="1220" w:hanging="659"/>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 and</w:t>
      </w:r>
    </w:p>
    <w:p>
      <w:pPr>
        <w:ind w:left="1220" w:hanging="65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of our current and/or future clinical studies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PALISADE-1 Phase 3 clinical study of PH94B for the acute treatment of anxiety in adults with SAD did not achieve its primary endpoint, as measured by change from baseline using the SUDS as compared to placebo. Successful completion of our nonclinical and clinical trials is a prerequisite to submitting an NDA and, consequently, the ultimate approval required before commercial marketing of any product candidate we may develop. Failure of any of our current and/or future clinical and nonclinical trials to achieve the planned endpoints, such our PALISADE-1 Phase 3 clinical trial of PH94B, could result in increased costs to us and could delay, prevent or limit our ability to generate revenue and continue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U.S.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7" w:lineRule="exact"/>
        <w:rPr>
          <w:sz w:val="20"/>
          <w:szCs w:val="20"/>
          <w:color w:val="auto"/>
        </w:rPr>
      </w:pPr>
    </w:p>
    <w:p>
      <w:pPr>
        <w:jc w:val="both"/>
        <w:ind w:left="840" w:hanging="475"/>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86" w:lineRule="exact"/>
        <w:rPr>
          <w:rFonts w:ascii="Arial" w:cs="Arial" w:eastAsia="Arial" w:hAnsi="Arial"/>
          <w:sz w:val="18"/>
          <w:szCs w:val="18"/>
          <w:color w:val="auto"/>
        </w:rPr>
      </w:pPr>
    </w:p>
    <w:p>
      <w:pPr>
        <w:ind w:left="840" w:right="20" w:hanging="475"/>
        <w:spacing w:after="0" w:line="25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 w:lineRule="exact"/>
        <w:rPr>
          <w:rFonts w:ascii="Arial" w:cs="Arial" w:eastAsia="Arial" w:hAnsi="Arial"/>
          <w:sz w:val="18"/>
          <w:szCs w:val="18"/>
          <w:color w:val="auto"/>
        </w:rPr>
      </w:pPr>
    </w:p>
    <w:p>
      <w:pPr>
        <w:ind w:left="840" w:hanging="475"/>
        <w:spacing w:after="0" w:line="260"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5" w:lineRule="exact"/>
        <w:rPr>
          <w:rFonts w:ascii="Arial" w:cs="Arial" w:eastAsia="Arial" w:hAnsi="Arial"/>
          <w:sz w:val="18"/>
          <w:szCs w:val="18"/>
          <w:color w:val="auto"/>
        </w:rPr>
      </w:pPr>
    </w:p>
    <w:p>
      <w:pPr>
        <w:jc w:val="both"/>
        <w:ind w:left="840" w:hanging="475"/>
        <w:spacing w:after="0" w:line="342"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840" w:hanging="475"/>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late-2019, a new strain of coronavirus (</w:t>
      </w:r>
      <w:r>
        <w:rPr>
          <w:rFonts w:ascii="Arial" w:cs="Arial" w:eastAsia="Arial" w:hAnsi="Arial"/>
          <w:sz w:val="18"/>
          <w:szCs w:val="18"/>
          <w:i w:val="1"/>
          <w:iCs w:val="1"/>
          <w:color w:val="auto"/>
        </w:rPr>
        <w:t>COVID-19</w:t>
      </w:r>
      <w:r>
        <w:rPr>
          <w:rFonts w:ascii="Arial" w:cs="Arial" w:eastAsia="Arial" w:hAnsi="Arial"/>
          <w:sz w:val="18"/>
          <w:szCs w:val="18"/>
          <w:color w:val="auto"/>
        </w:rPr>
        <w:t>) spread across the world, and the outbreak has since been declared a pandemic by the World Health Organization. The U.S. Secretary of Health and Human Services has also declared a public health emergency in the U.S. in response to the outbreak. Considerable uncertainty still surrounds COVID-19 and variant strains of the COVID-19 virus and their potential effects, and the extent of and effectiveness of responses taken on international, national and local levels. Measures taken to limit the impact of the pandemic, including shelter-in-place orders, social distancing measures, travel bans and restrictions, and business and government shutdowns, resulted in significant negative economic impacts on a global basis.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emergence of variant strains of the COVID-19 virus, such as the Delta and Omicron variants, and the emergence of subvariants of the virus, such as the subvariants of Omicron, we cannot at this time accurately predict the potential future effects of the pandemic on our operations. Uncertainties remain as to the duration of the pandemic, the success of treatments and vaccines designed to combat the pandemic, and the length, scope and episodic nature of the travel restrictions and business disruptions, including business closures imposed by the governments of impacted countries and localities. The continued COVID-19 pandemic, the spread of variant and subvariant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or those of our collaborators. The COVID-19 pandemic has impacted our business and may continue to do so as the pandemic persists. Additionally, future outbreaks may have several adverse effects on our business, results of operations and financial condition.</w:t>
      </w:r>
    </w:p>
    <w:p>
      <w:pPr>
        <w:spacing w:after="0" w:line="181" w:lineRule="exact"/>
        <w:rPr>
          <w:sz w:val="20"/>
          <w:szCs w:val="20"/>
          <w:color w:val="auto"/>
        </w:rPr>
      </w:pPr>
    </w:p>
    <w:p>
      <w:pPr>
        <w:jc w:val="both"/>
        <w:ind w:left="720" w:hanging="409"/>
        <w:spacing w:after="0" w:line="293"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Adverse impact on product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faced, and may continue to face, delays and other disruptions to our ongoing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for PH94B, PH10 and AV-101 due to the ongoing COVID-19 pandemic, which may, in turn, have an adverse impact on the outcome of our clinical and nonclinical trials.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unforeseen circumstances related to the COVID-19 pandemic may impair our ability to conduct nonclinical and clinical studies in a timely and/or effective manner.</w:t>
      </w:r>
    </w:p>
    <w:p>
      <w:pPr>
        <w:spacing w:after="0" w:line="164" w:lineRule="exact"/>
        <w:rPr>
          <w:rFonts w:ascii="Arial" w:cs="Arial" w:eastAsia="Arial" w:hAnsi="Arial"/>
          <w:sz w:val="16"/>
          <w:szCs w:val="16"/>
          <w:color w:val="auto"/>
        </w:rPr>
      </w:pPr>
    </w:p>
    <w:p>
      <w:pPr>
        <w:jc w:val="both"/>
        <w:ind w:left="720"/>
        <w:spacing w:after="0" w:line="293" w:lineRule="auto"/>
        <w:rPr>
          <w:rFonts w:ascii="Arial" w:cs="Arial" w:eastAsia="Arial" w:hAnsi="Arial"/>
          <w:sz w:val="16"/>
          <w:szCs w:val="16"/>
          <w:color w:val="auto"/>
        </w:rPr>
      </w:pPr>
      <w:r>
        <w:rPr>
          <w:rFonts w:ascii="Arial" w:cs="Arial" w:eastAsia="Arial" w:hAnsi="Arial"/>
          <w:sz w:val="16"/>
          <w:szCs w:val="16"/>
          <w:color w:val="auto"/>
        </w:rPr>
        <w:t>In addition, recent medical literature has reported that the SARS-COV-2 virus, which causes COVID-19, may cause long-term and reversible olfactory dysfunction (</w:t>
      </w:r>
      <w:r>
        <w:rPr>
          <w:rFonts w:ascii="Arial" w:cs="Arial" w:eastAsia="Arial" w:hAnsi="Arial"/>
          <w:sz w:val="16"/>
          <w:szCs w:val="16"/>
          <w:i w:val="1"/>
          <w:iCs w:val="1"/>
          <w:color w:val="auto"/>
        </w:rPr>
        <w:t>OD</w:t>
      </w:r>
      <w:r>
        <w:rPr>
          <w:rFonts w:ascii="Arial" w:cs="Arial" w:eastAsia="Arial" w:hAnsi="Arial"/>
          <w:sz w:val="16"/>
          <w:szCs w:val="16"/>
          <w:color w:val="auto"/>
        </w:rPr>
        <w:t>) in approximately 30% of affected individuals. OD may occur in cases where the SARS-COV-2 virus damages the nasal chemosensory epithelium, a structure in the nose where the types of cells are found that respond to pherines such as PH94B and PH10. Accordingly, there is a risk that the prevalence of OD caused by COVID-19 infections may interfere with the ability of PH94B and/or PH10 to provide a therapeutic benefit, which, may, in turn, have a materially adverse impact on results of our clinical trials designed to assess the efficacy of these product candidates or a negative impact on potential future sales should either PH94B or PH10 be approved for commercialization.</w:t>
      </w:r>
    </w:p>
    <w:p>
      <w:pPr>
        <w:spacing w:after="0" w:line="164" w:lineRule="exact"/>
        <w:rPr>
          <w:rFonts w:ascii="Arial" w:cs="Arial" w:eastAsia="Arial" w:hAnsi="Arial"/>
          <w:sz w:val="16"/>
          <w:szCs w:val="16"/>
          <w:color w:val="auto"/>
        </w:rPr>
      </w:pPr>
    </w:p>
    <w:p>
      <w:pPr>
        <w:jc w:val="both"/>
        <w:ind w:left="720" w:hanging="409"/>
        <w:spacing w:after="0" w:line="270"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Negative impacts on our employees, collaborators and suppliers</w:t>
      </w:r>
      <w:r>
        <w:rPr>
          <w:rFonts w:ascii="Arial" w:cs="Arial" w:eastAsia="Arial" w:hAnsi="Arial"/>
          <w:sz w:val="17"/>
          <w:szCs w:val="17"/>
          <w:color w:val="auto"/>
        </w:rPr>
        <w:t>: COVID-19 has impacted, and variant and subvariant strains of COVID-19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another highly transmissible and pathogenic infectious disease may impact or continue to impact, the health of our employees, collaborators,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clinical sites involved in our clinical studies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as is the case for results from our PALISADE-1 clinical trial.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planned timing or nature of clinical trials compared to completed clinical trials could impede our ability to meet our clinical development objectives for our product candidates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example, the timing of planned clinical trials may be affected by delays caused by the ongoing COVID-19 pandemic, including potential delays in recruitment and enrollment in our planned clinical and nonclinical studies or supply chain disruptions experienced by certain of our CMOs and/or CROs.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clinical and/or nonclinical trials.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our product candidates occur, they may adversely affect or delay our clinical development and commercialization of PH94B, PH10 or AV-101.</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reported in any clinical trials of any of our product candidates completed to date, if treatment-related SAEs or other undesirable side effects or safety concerns, or unexpected characteristics attributable to PH94B, PH10 and/or AV-101, are reported in any future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800" w:hanging="44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800" w:hanging="448"/>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jc w:val="both"/>
        <w:ind w:left="800" w:hanging="448"/>
        <w:spacing w:after="0" w:line="26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xml:space="preserve"> drug safety program or REMS-like plan to ensure that the benefits of the product outweigh its risks;</w:t>
      </w:r>
    </w:p>
    <w:p>
      <w:pPr>
        <w:spacing w:after="0" w:line="183" w:lineRule="exact"/>
        <w:rPr>
          <w:rFonts w:ascii="Arial" w:cs="Arial" w:eastAsia="Arial" w:hAnsi="Arial"/>
          <w:sz w:val="18"/>
          <w:szCs w:val="18"/>
          <w:color w:val="auto"/>
        </w:rPr>
      </w:pPr>
    </w:p>
    <w:p>
      <w:pPr>
        <w:ind w:left="800" w:hanging="448"/>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70" w:lineRule="exact"/>
        <w:rPr>
          <w:rFonts w:ascii="Arial" w:cs="Arial" w:eastAsia="Arial" w:hAnsi="Arial"/>
          <w:sz w:val="18"/>
          <w:szCs w:val="18"/>
          <w:color w:val="auto"/>
        </w:rPr>
      </w:pPr>
    </w:p>
    <w:p>
      <w:pPr>
        <w:ind w:left="800" w:hanging="45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800" w:hanging="44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need to successfully complete at least one Phase 3 clinical trial and certain other clinical and nonclinical studies prior to our potential submission of an NDA for regulatory approval of PH94B as an acute treatment of anxiety in adults with SAD, or for any other anxiety disorder such as AjDA. For PH10, at present, we believe we will need to complete at least one additional Phase 2B clinical study, two adequate and well-controlled Phase 3 clinical trials, as well as standard nonclinical and long-term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our ongoing exploratory Phase 1B clinical study, two Phase 2 clinical studies, two adequate and well-controlled Phase 3 clinical trials, additional toxicology and other standard nonclinical and long-term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9" w:lineRule="exact"/>
        <w:rPr>
          <w:sz w:val="20"/>
          <w:szCs w:val="20"/>
          <w:color w:val="auto"/>
        </w:rPr>
      </w:pPr>
    </w:p>
    <w:p>
      <w:pPr>
        <w:ind w:left="720" w:hanging="40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 including potential delays in recruitment and enrollment in clinical and nonclinical studies of our product candidates;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720" w:right="20" w:hanging="409"/>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720" w:hanging="409"/>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720" w:hanging="40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720" w:hanging="40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 parties for efficient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and inefficiencies in coordinating activities. CROs and other outside parties may:</w:t>
      </w:r>
    </w:p>
    <w:p>
      <w:pPr>
        <w:spacing w:after="0" w:line="166" w:lineRule="exact"/>
        <w:rPr>
          <w:sz w:val="20"/>
          <w:szCs w:val="20"/>
          <w:color w:val="auto"/>
        </w:rPr>
      </w:pPr>
    </w:p>
    <w:p>
      <w:pPr>
        <w:ind w:left="720" w:hanging="40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disruptions to their operations, such as staff attrition, reduced staffing and supply chain disruptions, as a result of the ongoing COVID-19 pandemic;</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 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 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payers. Market acceptance of our product candidates, if approved, will depend on a number of factors, including, among others:</w:t>
      </w:r>
    </w:p>
    <w:p>
      <w:pPr>
        <w:spacing w:after="0" w:line="184" w:lineRule="exact"/>
        <w:rPr>
          <w:sz w:val="20"/>
          <w:szCs w:val="20"/>
          <w:color w:val="auto"/>
        </w:rPr>
      </w:pPr>
    </w:p>
    <w:p>
      <w:pPr>
        <w:jc w:val="both"/>
        <w:ind w:left="720" w:hanging="40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83"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36" w:lineRule="exact"/>
        <w:rPr>
          <w:rFonts w:ascii="Arial" w:cs="Arial" w:eastAsia="Arial" w:hAnsi="Arial"/>
          <w:sz w:val="17"/>
          <w:szCs w:val="17"/>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720" w:hanging="40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payers, we may not generate sufficient revenue from our product candidates to become or remain profitable. Before granting reimbursement approval, healthcare payers may require us to demonstrate that our product candidates, in addition to treating these target indications, also provide incremental health benefits to patients. Our efforts to educate the medical community and third-party payers about the benefits of our product candidates may require significant resources and may never be successful.</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drug safety program. Any REMS or comparable drug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management is unaware of any FDA-approved rapid-onset, acute treatment of anxiety in adults with SAD having the same mechanism of pharmacological action and safety profile as PH94B. Also, management is currently unaware of any FDA-approved oral treatment for MDD having the same mechanism of pharmacological action and safety profile as our intranasally-administered PH10 or our orally 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and certain investigational oral drug candidates in Phase 2 development.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two oral drug candidates in Phase 2 development that act on the alpha-7 nicotinic acetylcholine receptor, one in development by Bionomics and the other in development by Vanda.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Takeda and Xenon,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AffaMed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and the Bayer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payers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720" w:hanging="409"/>
        <w:spacing w:after="0" w:line="31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48" w:lineRule="exact"/>
        <w:rPr>
          <w:rFonts w:ascii="Arial" w:cs="Arial" w:eastAsia="Arial" w:hAnsi="Arial"/>
          <w:sz w:val="16"/>
          <w:szCs w:val="16"/>
          <w:color w:val="auto"/>
        </w:rPr>
      </w:pPr>
    </w:p>
    <w:p>
      <w:pPr>
        <w:jc w:val="both"/>
        <w:ind w:left="720" w:hanging="40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720" w:hanging="40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payers,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payers,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payers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720" w:hanging="409"/>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CNS product candidates;</w:t>
      </w:r>
    </w:p>
    <w:p>
      <w:pPr>
        <w:spacing w:after="0" w:line="236" w:lineRule="exact"/>
        <w:rPr>
          <w:rFonts w:ascii="Arial" w:cs="Arial" w:eastAsia="Arial" w:hAnsi="Arial"/>
          <w:sz w:val="17"/>
          <w:szCs w:val="17"/>
          <w:color w:val="auto"/>
        </w:rPr>
      </w:pPr>
    </w:p>
    <w:p>
      <w:pPr>
        <w:ind w:left="720" w:hanging="40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$37.3 million and $20.5 million for the six months ended September 30, 2022 and 2021, respectively, and $47.8 million and $17.9 million during our fiscal years ended March 31, 2022 and 2021, respectively. At September 30, 2022, we had an accumulated deficit of approximately $304.9 million and our auditors have included a qualification to their opinion on our Financial Statements at March 31, 2022 as a result of the uncertainty of our ability to continue as a going concern.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 to significantly increase in connection with planned nonclinical and clinical studies, and out-sourced manufacturing, of our product candidates. In addition, if we obtain marketing approval for our product candidates, we expect to incur significant commercial operations expense, including medical education, sales and marketing expense.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recurring revenues. Through September 30, 2022, we have generated approximately $22.7 million in revenues, consisting of receipts of non-dilutive cash payments from collaborators, sublicense revenue, including the $5.0 million cash payment received under the AffaMed Agreement during the quarter ended September 30, 2020,the majority of which remains recorded as deferred revenue at September 30, 2022,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65" w:lineRule="exact"/>
        <w:rPr>
          <w:sz w:val="20"/>
          <w:szCs w:val="20"/>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CNS product candidates;</w:t>
      </w:r>
    </w:p>
    <w:p>
      <w:pPr>
        <w:spacing w:after="0" w:line="23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our inception through 2019, a substantial portion of our resources were dedicated to research and development of AV-101 and VistaStem’s stem cell technology platform. In particular, (i) for AV-101, we expended substantial resources on research and development of methods and processes relating to the production of API and drug product, IND-enabling preclinical studies, Phase 1 clinical safety studies, and a Phase 2 clinical study and (ii) for VistaStem, development of cardiac stem cell technology.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2019, we have expended a considerable portion of our resources for research, clinical development, manufacturing and regulatory expense related to PH94B, including costs related to the PALISADE Phase 3 Program, as well as for research and development of methods and processes relating to the production of PH10 API and drug product and U.S. IND-enabling preclinical studies involving PH10.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PH94B and our other product candidates, should the FDA approve any of such product candidates for sale.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had cash and cash equivalents of approximately $35.3 million at September 30, 2022,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twelve months, we plan to (i) continue to advance our opportunities to explore PH94B’s therapeutic potential beyond SAD in a series of small clinical and nonclinical studies, (ii) complete clinical, if any, and nonclinical preparations to initiate Phase 2B clinical development of PH10 as a potential stand-alone treatment for MDD, (iii) complete our exploratory Phase 1B drug-drug interaction clinical study of AV-101 in combination with probenecid to better understand opportunities to explore its therapeutic potential in certain neurological disorders, and (iv) conduct various nonclinical studies involving PH94B, PH10 and AV-101.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transactions involving our stem cell technology, or (iii) obtain approval from the FDA and other regulatory authorities and successfully commercialize PH94B, or one of our other product candidates, on our own in the U.S. and through collaborations outside the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PH94B or our other current CNS product candidates, on our own or in collaboration with others. As in prior periods, we will continue to incur substantial costs associated with other clinical and nonclinical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PH94B and our other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720" w:hanging="40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previously identified material weaknesses in our internal control over financial reporting, and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previously identified material weaknesses in our internal control over financial reporting that, as of March 31, 2022, were remediated.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we have determined that the previously identified material weaknesses have been remediated as of March 31, 2022, we cannot assure you that we will not identify other material weaknesses in the future, which could negatively impact our results of operations in future periods.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Implementing any appropriate changes to our internal control over financial reporting may entail substantial costs to modify our existing processes and take significant time to complete. These changes may not, however, be effective in establishing and maintaining the adequacy of our internal control, and any failure to maintain that adequacy, or consequent inability to produce accurate financial statements on a timely basis, could increase our operating costs and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the Securities and Exchange Commission or other regulatory authorities, which could require additional financial and management resources.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is likely to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would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require substantial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2022, we had federal and state net operating loss carryforwards of approximately $182.2 million and $65.5 million, respectively, which have begun to expire in fiscal 2022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prior or future offerings of our debt and/or equity securities, private placements, sales of our common stock by our existing stockholders or additional sales of our common stock by us could have a material adverse effect on our results of operations in future years. We have not yet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attract senior management and key scientific personnel, we may be unable to successfully produce, develop and commercialize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and Chief Financial Officer, as well as our other senior management personnel, advisors, consultants and scientific and clinical collaborators. As of the date of this Report, we have 34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following our change in business plans as a result of the negative results of our PALISADE-1 clinical trial or in the future. As of the date of this Report, a total of five employees have voluntarily resigned from their positions within the Company since September 30, 2022, including, most recently, our Chief Commercial Officer. We expect the work conducted by these individuals will, in the near term, be assumed by other employees and, when appropriate, resumed by personnel that may be hired in the future as we advance the development and potential commercialization of one or more of our product candidates. However, competition for qualified personnel in the pharmaceuticals field is intense, and we may not be able to attract and retain quality personnel on acceptable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seek to advance development of our product candidates, we will need to further expand our research and development capabilities and our contractual arrangements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commercial and other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currently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Remote working arrangements driven by the COVID-19 pandemic could significantly increase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digital and cybersecurity risks.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has caused us to significantly modify our business practices. Most of our employees are geographically dispersed from our headquarters facility in South San Francisco and now routinely work remotely. With the continuing COVID-19-driven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and selected countries in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720" w:hanging="40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83"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70"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biopharmaceutical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36" w:lineRule="exact"/>
        <w:rPr>
          <w:rFonts w:ascii="Arial" w:cs="Arial" w:eastAsia="Arial" w:hAnsi="Arial"/>
          <w:sz w:val="17"/>
          <w:szCs w:val="17"/>
          <w:color w:val="auto"/>
        </w:rPr>
      </w:pPr>
    </w:p>
    <w:p>
      <w:pPr>
        <w:ind w:left="720" w:hanging="40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which we have licensed may have been discovered through government-funded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8"/>
          <w:szCs w:val="18"/>
          <w:i w:val="1"/>
          <w:iCs w:val="1"/>
          <w:color w:val="auto"/>
        </w:rPr>
        <w:t>Ariosa Diagnostics, Inc. v. Sequenom, Inc</w:t>
      </w:r>
      <w:r>
        <w:rPr>
          <w:rFonts w:ascii="Arial" w:cs="Arial" w:eastAsia="Arial" w:hAnsi="Arial"/>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720" w:hanging="40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720" w:right="20" w:hanging="40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6, 2022, we were notified by the Nasdaq Stock Market, LLC (</w:t>
      </w:r>
      <w:r>
        <w:rPr>
          <w:rFonts w:ascii="Arial" w:cs="Arial" w:eastAsia="Arial" w:hAnsi="Arial"/>
          <w:sz w:val="17"/>
          <w:szCs w:val="17"/>
          <w:i w:val="1"/>
          <w:iCs w:val="1"/>
          <w:color w:val="auto"/>
        </w:rPr>
        <w:t>Nasdaq</w:t>
      </w:r>
      <w:r>
        <w:rPr>
          <w:rFonts w:ascii="Arial" w:cs="Arial" w:eastAsia="Arial" w:hAnsi="Arial"/>
          <w:sz w:val="17"/>
          <w:szCs w:val="17"/>
          <w:color w:val="auto"/>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March 6, 2023, to regain compliance with Nasdaq Listing Rule 5550(a)(2). To regain compliance, the bid price of our common stock must have a closing bid price of at least $1.00 per share for a minimum of 10 consecutive business days. If we do not regain compliance by March 6, 2023, an additional 180 days may be granted to regain compliance, so long as we meet the Nasdaq Capital Market continued listing requirements (except for the bid price requirement) and notify Nasdaq in writing of our intention to cure the deficiency during the second compliance period by implementing a reverse stock split, if necessary.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720" w:hanging="415"/>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680" w:hanging="389"/>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720" w:hanging="40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70"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720" w:hanging="40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including under our Sales Agreement,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As a result, our Board could authorize the issuance of additional series of preferred stock in the futures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8, 2022, Ann M. Cunningham notified our Board of her intention to resign as the Company’s Chief Commercial Officer, effective November 11, 2022. Ms. Cunningham will continue to serve as a member of the Board following her resignation as Chief Commercial Officer. Following Ms. Cunningham’s resignation as Chief Commercial Officer, i3 Strategy Partners, a consulting firm for which Ms. Cunningham is a Managing Partner, will begin providing certain consulting services to the Company pursuant to a consulting agreement. The initial term of the agreement will end on March 31, 2024, and, pursuant to the agreement, i3 Strategy Partners will receive a fee of $120,000 for the period from the effective date of the agreement through March 31, 2023 and $10,000 per month thereafter.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November 9, 2022, the Company filed Certificates of Withdrawal of (i) the Certificate of Designation of the Relative Rights and Preferences of the Series A Convertible Preferred Stock, (ii) the Certificate of Designation of the Relative Rights and Preferences of the 10% Convertible Series B Preferred Stock, (iii) the Certificate of Designation of the Relative Rights and Preferences of the Series C Convertible Preferred Stock and (iv) the Certificate of Designation of the Relative Rights and Preferences of the Series D Convertible Preferred Stock (collectively, the </w:t>
      </w:r>
      <w:r>
        <w:rPr>
          <w:rFonts w:ascii="Arial" w:cs="Arial" w:eastAsia="Arial" w:hAnsi="Arial"/>
          <w:sz w:val="18"/>
          <w:szCs w:val="18"/>
          <w:i w:val="1"/>
          <w:iCs w:val="1"/>
          <w:color w:val="auto"/>
        </w:rPr>
        <w:t>Certificates of Withdrawal</w:t>
      </w:r>
      <w:r>
        <w:rPr>
          <w:rFonts w:ascii="Arial" w:cs="Arial" w:eastAsia="Arial" w:hAnsi="Arial"/>
          <w:sz w:val="18"/>
          <w:szCs w:val="18"/>
          <w:color w:val="auto"/>
        </w:rPr>
        <w:t>) to eliminate the authorization of each of the Company’s Series A Convertible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 10% Convertible Series B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and Series D Convertible Preferred Stock (</w:t>
      </w:r>
      <w:r>
        <w:rPr>
          <w:rFonts w:ascii="Arial" w:cs="Arial" w:eastAsia="Arial" w:hAnsi="Arial"/>
          <w:sz w:val="18"/>
          <w:szCs w:val="18"/>
          <w:i w:val="1"/>
          <w:iCs w:val="1"/>
          <w:color w:val="auto"/>
        </w:rPr>
        <w:t>Series D Preferred</w:t>
      </w:r>
      <w:r>
        <w:rPr>
          <w:rFonts w:ascii="Arial" w:cs="Arial" w:eastAsia="Arial" w:hAnsi="Arial"/>
          <w:sz w:val="18"/>
          <w:szCs w:val="18"/>
          <w:color w:val="auto"/>
        </w:rPr>
        <w:t>) of which all</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issued shares have been fully converted in common stock and are no longer outstanding. As a result of the filing of the Certificates of Withdrawal, the previously authorized and issued shares of Series A Preferred, Series B Preferred, Series C Preferred and Series D Preferred return to being authorized, unissued and undesignated shares of preferred stock. Copies of the Certificates of Withdrawal are attached to this Report as Exhibits 3.2, 3.3, 3.4 and 3.5.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tcPr>
          <w:p>
            <w:pPr>
              <w:spacing w:after="0"/>
              <w:rPr>
                <w:sz w:val="18"/>
                <w:szCs w:val="18"/>
                <w:color w:val="auto"/>
              </w:rPr>
            </w:pPr>
          </w:p>
        </w:tc>
      </w:tr>
      <w:tr>
        <w:trPr>
          <w:trHeight w:val="234"/>
        </w:trPr>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tcPr>
          <w:p>
            <w:pPr>
              <w:ind w:left="48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80" w:type="dxa"/>
            <w:vAlign w:val="bottom"/>
            <w:shd w:val="clear" w:color="auto" w:fill="CCEEFF"/>
          </w:tcPr>
          <w:p>
            <w:pPr>
              <w:spacing w:after="0"/>
              <w:rPr>
                <w:sz w:val="15"/>
                <w:szCs w:val="15"/>
                <w:color w:val="auto"/>
              </w:rPr>
            </w:pP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Amendment No. 2 to the Second Amended and Restated Bylaws of Vistagen Therapeutics, Inc. filed as Exhibit 3.1 to the Company’s</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Report on Form 8-K filed on August 31, 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Certificate of Withdrawal of Certificate of Designation of the Relative Rights and Preferences of the Series A Convertible Preferred</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dated November 9, 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5"/>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3</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8"/>
              </w:rPr>
              <w:t>Certificate of Withdrawal of Certificate of Designation of the Relative Rights and Preferences of the 10% Convertible Series B</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Preferred Stock, dated November 9, 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4</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Certificate of Withdrawal of Certificate of Designation of the Relative Rights and Preferences of the Series C Convertible Preferred</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dated November 9, 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5"/>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5</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Certificate of Withdrawal of Certificate of Designation of the Relative Rights and Preferences of the Series D Convertible Preferred</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dated November 9, 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9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Consulting Services Agreement between Vistagen Therapeutics, Inc and FitzPatrick &amp; Co. LLC, dated January 21, 2022</w:t>
            </w:r>
          </w:p>
        </w:tc>
      </w:tr>
      <w:tr>
        <w:trPr>
          <w:trHeight w:val="216"/>
        </w:trPr>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140" w:type="dxa"/>
            <w:vAlign w:val="bottom"/>
            <w:tcBorders>
              <w:top w:val="single" w:sz="8" w:color="CCEEFF"/>
            </w:tcBorders>
          </w:tcPr>
          <w:p>
            <w:pPr>
              <w:spacing w:after="0"/>
              <w:rPr>
                <w:sz w:val="18"/>
                <w:szCs w:val="18"/>
                <w:color w:val="auto"/>
              </w:rPr>
            </w:pPr>
          </w:p>
        </w:tc>
      </w:tr>
      <w:tr>
        <w:trPr>
          <w:trHeight w:val="175"/>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Amendment No, 1 to Consulting Services Agreement between Vistagen Therapeutics, Inc and FitzPatrick &amp; Co. LLC, effective June 1,</w:t>
            </w: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9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Consulting Agreement between Vistagen Therapeutics, Inc and i3 Strategy, dated November 10, 2022.</w:t>
            </w:r>
          </w:p>
        </w:tc>
      </w:tr>
      <w:tr>
        <w:trPr>
          <w:trHeight w:val="216"/>
        </w:trPr>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140" w:type="dxa"/>
            <w:vAlign w:val="bottom"/>
            <w:tcBorders>
              <w:top w:val="single" w:sz="8" w:color="CCEEFF"/>
            </w:tcBorders>
          </w:tcPr>
          <w:p>
            <w:pPr>
              <w:spacing w:after="0"/>
              <w:rPr>
                <w:sz w:val="18"/>
                <w:szCs w:val="18"/>
                <w:color w:val="auto"/>
              </w:rPr>
            </w:pPr>
          </w:p>
        </w:tc>
      </w:tr>
      <w:tr>
        <w:trPr>
          <w:trHeight w:val="17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w:t>
            </w: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6"/>
        </w:trPr>
        <w:tc>
          <w:tcPr>
            <w:tcW w:w="11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the Principal Financial Officer required by Rule 13a-14(a) under the Securities Exchange Act of 1934, as amended, as</w:t>
            </w: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color w:val="000000"/>
              </w:rPr>
              <w:t>*</w:t>
            </w:r>
          </w:p>
        </w:tc>
        <w:tc>
          <w:tcPr>
            <w:tcW w:w="780" w:type="dxa"/>
            <w:vAlign w:val="bottom"/>
            <w:shd w:val="clear" w:color="auto" w:fill="CCEEFF"/>
          </w:tcPr>
          <w:p>
            <w:pPr>
              <w:spacing w:after="0"/>
              <w:rPr>
                <w:sz w:val="15"/>
                <w:szCs w:val="15"/>
                <w:color w:val="auto"/>
              </w:rPr>
            </w:pPr>
          </w:p>
        </w:tc>
        <w:tc>
          <w:tcPr>
            <w:tcW w:w="101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Certification of the Principal Executive and Financial Officers required by Rule 13a-14(b) and Section 1350 of Chapter 63 of Title 18</w:t>
            </w: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the United States Code, as adopted pursuant to Section 906 of the Sarbanes-Oxley Act of 2002</w:t>
            </w: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02"/>
        </w:trPr>
        <w:tc>
          <w:tcPr>
            <w:tcW w:w="11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101.INS *</w:t>
            </w:r>
          </w:p>
        </w:tc>
        <w:tc>
          <w:tcPr>
            <w:tcW w:w="101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The instance document does not appear in the Interactive Data File because its XBRL tags are embedded within the Inline XBRL</w:t>
            </w:r>
          </w:p>
        </w:tc>
      </w:tr>
      <w:tr>
        <w:trPr>
          <w:trHeight w:val="230"/>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document.</w:t>
            </w:r>
          </w:p>
        </w:tc>
      </w:tr>
      <w:tr>
        <w:trPr>
          <w:trHeight w:val="216"/>
        </w:trPr>
        <w:tc>
          <w:tcPr>
            <w:tcW w:w="11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34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1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34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1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340"/>
              <w:spacing w:after="0"/>
              <w:rPr>
                <w:sz w:val="20"/>
                <w:szCs w:val="20"/>
                <w:color w:val="auto"/>
              </w:rPr>
            </w:pPr>
            <w:r>
              <w:rPr>
                <w:rFonts w:ascii="Arial" w:cs="Arial" w:eastAsia="Arial" w:hAnsi="Arial"/>
                <w:sz w:val="18"/>
                <w:szCs w:val="18"/>
                <w:color w:val="auto"/>
              </w:rPr>
              <w:t>Inline XBRL Taxonomy Extension Presentation Linkbase</w:t>
            </w:r>
          </w:p>
        </w:tc>
      </w:tr>
      <w:tr>
        <w:trPr>
          <w:trHeight w:val="216"/>
        </w:trPr>
        <w:tc>
          <w:tcPr>
            <w:tcW w:w="1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104*</w:t>
            </w: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00"/>
          </w:cols>
          <w:pgMar w:left="320" w:top="125" w:right="1079" w:bottom="1440" w:gutter="0" w:footer="0" w:header="0"/>
        </w:sectPr>
      </w:pPr>
    </w:p>
    <w:bookmarkStart w:id="75" w:name="page76"/>
    <w:bookmarkEnd w:id="75"/>
    <w:p>
      <w:pPr>
        <w:ind w:left="8880"/>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11430</wp:posOffset>
            </wp:positionV>
            <wp:extent cx="7132320" cy="7706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770636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left="8880"/>
        <w:spacing w:after="0"/>
        <w:rPr>
          <w:sz w:val="20"/>
          <w:szCs w:val="20"/>
          <w:color w:val="auto"/>
        </w:rPr>
      </w:pPr>
      <w:r>
        <w:rPr>
          <w:rFonts w:ascii="Arial" w:cs="Arial" w:eastAsia="Arial" w:hAnsi="Arial"/>
          <w:sz w:val="22"/>
          <w:szCs w:val="22"/>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148590</wp:posOffset>
            </wp:positionV>
            <wp:extent cx="7132320" cy="7475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747522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363220</wp:posOffset>
            </wp:positionV>
            <wp:extent cx="5306060" cy="2486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306060" cy="2486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ind w:left="8880"/>
        <w:spacing w:after="0"/>
        <w:rPr>
          <w:sz w:val="20"/>
          <w:szCs w:val="20"/>
          <w:color w:val="auto"/>
        </w:rPr>
      </w:pPr>
      <w:r>
        <w:rPr>
          <w:rFonts w:ascii="Arial" w:cs="Arial" w:eastAsia="Arial" w:hAnsi="Arial"/>
          <w:sz w:val="22"/>
          <w:szCs w:val="22"/>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148590</wp:posOffset>
            </wp:positionV>
            <wp:extent cx="7132320" cy="7492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749236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363220</wp:posOffset>
            </wp:positionV>
            <wp:extent cx="5563235" cy="256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563235" cy="256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8880"/>
        <w:spacing w:after="0"/>
        <w:rPr>
          <w:sz w:val="20"/>
          <w:szCs w:val="20"/>
          <w:color w:val="auto"/>
        </w:rPr>
      </w:pPr>
      <w:r>
        <w:rPr>
          <w:rFonts w:ascii="Arial" w:cs="Arial" w:eastAsia="Arial" w:hAnsi="Arial"/>
          <w:sz w:val="22"/>
          <w:szCs w:val="22"/>
          <w:b w:val="1"/>
          <w:bCs w:val="1"/>
          <w:color w:val="auto"/>
        </w:rPr>
        <w:t>EXHIBIT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148590</wp:posOffset>
            </wp:positionV>
            <wp:extent cx="7132320" cy="7415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741553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363220</wp:posOffset>
            </wp:positionV>
            <wp:extent cx="5469255" cy="23920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469255" cy="239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Consulting Services Agreement (“Agreement”) is made and entered into as of January 22, 2022 (“Effective Date”) by and between </w:t>
      </w:r>
      <w:r>
        <w:rPr>
          <w:rFonts w:ascii="Arial" w:cs="Arial" w:eastAsia="Arial" w:hAnsi="Arial"/>
          <w:sz w:val="18"/>
          <w:szCs w:val="18"/>
          <w:b w:val="1"/>
          <w:bCs w:val="1"/>
          <w:color w:val="auto"/>
        </w:rPr>
        <w:t>VistaGen</w:t>
      </w:r>
      <w:r>
        <w:rPr>
          <w:rFonts w:ascii="Arial" w:cs="Arial" w:eastAsia="Arial" w:hAnsi="Arial"/>
          <w:sz w:val="18"/>
          <w:szCs w:val="18"/>
          <w:color w:val="auto"/>
        </w:rPr>
        <w:t xml:space="preserve"> </w:t>
      </w:r>
      <w:r>
        <w:rPr>
          <w:rFonts w:ascii="Arial" w:cs="Arial" w:eastAsia="Arial" w:hAnsi="Arial"/>
          <w:sz w:val="18"/>
          <w:szCs w:val="18"/>
          <w:b w:val="1"/>
          <w:bCs w:val="1"/>
          <w:color w:val="auto"/>
        </w:rPr>
        <w:t>Therapeutics, Inc.</w:t>
      </w:r>
      <w:r>
        <w:rPr>
          <w:rFonts w:ascii="Arial" w:cs="Arial" w:eastAsia="Arial" w:hAnsi="Arial"/>
          <w:sz w:val="18"/>
          <w:szCs w:val="18"/>
          <w:color w:val="auto"/>
        </w:rPr>
        <w:t>, a Nevada corporation with principal offices located at 343 Allerton Avenue, South San Francisco, California 94080 (“VistaGen”), and</w:t>
      </w:r>
      <w:r>
        <w:rPr>
          <w:rFonts w:ascii="Arial" w:cs="Arial" w:eastAsia="Arial" w:hAnsi="Arial"/>
          <w:sz w:val="18"/>
          <w:szCs w:val="18"/>
          <w:b w:val="1"/>
          <w:bCs w:val="1"/>
          <w:color w:val="auto"/>
        </w:rPr>
        <w:t xml:space="preserve"> </w:t>
      </w:r>
      <w:r>
        <w:rPr>
          <w:rFonts w:ascii="Arial" w:cs="Arial" w:eastAsia="Arial" w:hAnsi="Arial"/>
          <w:sz w:val="18"/>
          <w:szCs w:val="18"/>
          <w:color w:val="auto"/>
        </w:rPr>
        <w:t>FitzPatrick &amp; Co. LLC, a Delaware limited liability company (“Consultant”). In this Agreement, VistaGen and Consultant are sometimes referred to individually as a “Party” and together as the “Parties.”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Consultant has extensive consumer engagement, marketing and public relations expertise in the pharmaceutical industry; and</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VistaGen wishes to engage Consultant to provide consulting services in her areas of expertise.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jc w:val="both"/>
        <w:ind w:left="660" w:hanging="652"/>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Consultant agrees to provide VistaGen with the consulting services (“Services”) described in</w:t>
      </w:r>
      <w:r>
        <w:rPr>
          <w:rFonts w:ascii="Arial" w:cs="Arial" w:eastAsia="Arial" w:hAnsi="Arial"/>
          <w:sz w:val="18"/>
          <w:szCs w:val="18"/>
          <w:b w:val="1"/>
          <w:bCs w:val="1"/>
          <w:color w:val="auto"/>
        </w:rPr>
        <w:t xml:space="preserve"> Appendix A </w:t>
      </w:r>
      <w:r>
        <w:rPr>
          <w:rFonts w:ascii="Arial" w:cs="Arial" w:eastAsia="Arial" w:hAnsi="Arial"/>
          <w:sz w:val="18"/>
          <w:szCs w:val="18"/>
          <w:color w:val="auto"/>
        </w:rPr>
        <w:t>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Consultant will perform the Services in good faith, with all due care, skill, and to the best of Consultant’s professional abilities. Consultant will keep accurate records of her Services including authorized expenditures. For clarity, this Agreement shall be applied in case of any conflict between this Agreement and </w:t>
      </w:r>
      <w:r>
        <w:rPr>
          <w:rFonts w:ascii="Arial" w:cs="Arial" w:eastAsia="Arial" w:hAnsi="Arial"/>
          <w:sz w:val="18"/>
          <w:szCs w:val="18"/>
          <w:b w:val="1"/>
          <w:bCs w:val="1"/>
          <w:color w:val="auto"/>
        </w:rPr>
        <w:t>Appendix A</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660" w:hanging="652"/>
        <w:spacing w:after="0" w:line="312"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COMPENSATION</w:t>
      </w:r>
      <w:r>
        <w:rPr>
          <w:rFonts w:ascii="Arial" w:cs="Arial" w:eastAsia="Arial" w:hAnsi="Arial"/>
          <w:sz w:val="17"/>
          <w:szCs w:val="17"/>
          <w:color w:val="auto"/>
        </w:rPr>
        <w:t>. In consideration for the Services performed by Consultant, VistaGen agrees to compensate Consultant as set forth in</w:t>
      </w:r>
      <w:r>
        <w:rPr>
          <w:rFonts w:ascii="Arial" w:cs="Arial" w:eastAsia="Arial" w:hAnsi="Arial"/>
          <w:sz w:val="17"/>
          <w:szCs w:val="17"/>
          <w:b w:val="1"/>
          <w:bCs w:val="1"/>
          <w:color w:val="auto"/>
        </w:rPr>
        <w:t xml:space="preserve"> Appendix A</w:t>
      </w:r>
      <w:r>
        <w:rPr>
          <w:rFonts w:ascii="Arial" w:cs="Arial" w:eastAsia="Arial" w:hAnsi="Arial"/>
          <w:sz w:val="17"/>
          <w:szCs w:val="17"/>
          <w:color w:val="auto"/>
        </w:rPr>
        <w:t>. Invoices will be submitted by Consultant via email to: accountspayable@vistagen.com, with a copy to jdotson@vistagen.com</w:t>
      </w:r>
    </w:p>
    <w:p>
      <w:pPr>
        <w:spacing w:after="0" w:line="139"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WORK PRODUCT AND DELIVERABLES. </w:t>
      </w:r>
      <w:r>
        <w:rPr>
          <w:rFonts w:ascii="Arial" w:cs="Arial" w:eastAsia="Arial" w:hAnsi="Arial"/>
          <w:sz w:val="17"/>
          <w:szCs w:val="17"/>
          <w:color w:val="auto"/>
        </w:rPr>
        <w:t>Any work product and deliverables to be provided pursuant to the Services are described in</w:t>
      </w:r>
      <w:r>
        <w:rPr>
          <w:rFonts w:ascii="Arial" w:cs="Arial" w:eastAsia="Arial" w:hAnsi="Arial"/>
          <w:sz w:val="17"/>
          <w:szCs w:val="17"/>
          <w:b w:val="1"/>
          <w:bCs w:val="1"/>
          <w:color w:val="auto"/>
        </w:rPr>
        <w:t xml:space="preserve"> Appendix A</w:t>
      </w:r>
      <w:r>
        <w:rPr>
          <w:rFonts w:ascii="Arial" w:cs="Arial" w:eastAsia="Arial" w:hAnsi="Arial"/>
          <w:sz w:val="17"/>
          <w:szCs w:val="17"/>
          <w:color w:val="auto"/>
        </w:rPr>
        <w:t>. Consultant agrees to treat as for the sole benefit of VistaGen and to fully and promptly disclose and assign to VistaGen,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compensation, all right, title and interest in and to any and all intellectual property embodied in such work product and deliverables. Works of authorship that are protectable by copyright are “works made for hire,” as that term is defined in the United States Copyright Act. Consultant agrees to sign all papers and take other actions, at VistaGen’s expense and reasonable request, to assign, secure and enforce rights to such intellectual property. As required by California law, the foregoing provision regarding intellectual property, specifically including any assignment obligations, shall not apply to any invention developed outside of the Services.</w:t>
      </w:r>
    </w:p>
    <w:p>
      <w:pPr>
        <w:spacing w:after="0" w:line="171"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RELATIONSHIP OF THE PARTIES. </w:t>
      </w:r>
      <w:r>
        <w:rPr>
          <w:rFonts w:ascii="Arial" w:cs="Arial" w:eastAsia="Arial" w:hAnsi="Arial"/>
          <w:sz w:val="18"/>
          <w:szCs w:val="18"/>
          <w:color w:val="auto"/>
        </w:rPr>
        <w:t>Consultant is an independent contractor to and not an employee of VistaGen. VistaGen will not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taxes or provide any benefits to Consultant, such as health insurance, leave, or any other employee benefits. Consultant will have no management activities, authority or responsibilities on behalf of VistaGen.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652" w:right="80" w:hanging="652"/>
        <w:spacing w:after="0" w:line="254"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Subject to the limitations set forth in Section 6, all information disclosed by one Party to the other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“Confidential Information.” Confidential Information may include, without limitation, any trade secret, patent application, technique, invention, idea, process, or formula; any sample, compound, extract, media, vector and/or cell line; any procedures and formulations for producing the foregoing; any data or information relating to any past, current and contemplated research and development activities, clinical trials, and the like; and any commercial, engineering, manufacturing, marketing, partnering, regulatory, servicing, financing or personnel matter, plan, program or strategy, suppliers, clients, customers, employees, investors, partners or business opportunities of a Party, whether in oral, written, visual, graphic or electronic form. All Confidential Information (including all copies thereof) shall remain at all times the property of the Party that discloses it (“Disclosing Party”).</w:t>
      </w:r>
    </w:p>
    <w:p>
      <w:pPr>
        <w:spacing w:after="0" w:line="191" w:lineRule="exact"/>
        <w:rPr>
          <w:rFonts w:ascii="Arial" w:cs="Arial" w:eastAsia="Arial" w:hAnsi="Arial"/>
          <w:sz w:val="18"/>
          <w:szCs w:val="18"/>
          <w:color w:val="auto"/>
        </w:rPr>
      </w:pPr>
    </w:p>
    <w:p>
      <w:pPr>
        <w:jc w:val="both"/>
        <w:ind w:left="652" w:hanging="652"/>
        <w:spacing w:after="0" w:line="256"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EXCLUSIONS FROM CONFIDENTIAL INFORMATION. </w:t>
      </w:r>
      <w:r>
        <w:rPr>
          <w:rFonts w:ascii="Arial" w:cs="Arial" w:eastAsia="Arial" w:hAnsi="Arial"/>
          <w:sz w:val="18"/>
          <w:szCs w:val="18"/>
          <w:color w:val="auto"/>
        </w:rPr>
        <w:t>Confidential Information shall not include information that the Party that receives</w:t>
      </w:r>
      <w:r>
        <w:rPr>
          <w:rFonts w:ascii="Arial" w:cs="Arial" w:eastAsia="Arial" w:hAnsi="Arial"/>
          <w:sz w:val="18"/>
          <w:szCs w:val="18"/>
          <w:b w:val="1"/>
          <w:bCs w:val="1"/>
          <w:color w:val="auto"/>
        </w:rPr>
        <w:t xml:space="preserve"> </w:t>
      </w:r>
      <w:r>
        <w:rPr>
          <w:rFonts w:ascii="Arial" w:cs="Arial" w:eastAsia="Arial" w:hAnsi="Arial"/>
          <w:sz w:val="18"/>
          <w:szCs w:val="18"/>
          <w:color w:val="auto"/>
        </w:rPr>
        <w:t>it (“Receiving Party”) can demonstrate by reasonable evidence: (a) is now, or hereafter, becomes generally known or available in the public domain through no act by Receiving Party in violation of this Agreement; (b) is already known by Receiving Party at the time of receiving such information from Disclosing Party; (c) is hereafter furnished to Receiving Party by a third party, as a matter of right and, to the knowledge of Receiving Party, without restriction on disclosure; (d) is independently developed by Receiving Party without any use of the Confidential Information; or (e) is approved in writing for disclosure by Disclosing Party.</w:t>
      </w:r>
    </w:p>
    <w:p>
      <w:pPr>
        <w:spacing w:after="0" w:line="187" w:lineRule="exact"/>
        <w:rPr>
          <w:rFonts w:ascii="Arial" w:cs="Arial" w:eastAsia="Arial" w:hAnsi="Arial"/>
          <w:sz w:val="18"/>
          <w:szCs w:val="18"/>
          <w:color w:val="auto"/>
        </w:rPr>
      </w:pPr>
    </w:p>
    <w:p>
      <w:pPr>
        <w:jc w:val="both"/>
        <w:ind w:left="652" w:hanging="652"/>
        <w:spacing w:after="0" w:line="256"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DISCLOSURE DUE TO OPERATION OF LAW. </w:t>
      </w:r>
      <w:r>
        <w:rPr>
          <w:rFonts w:ascii="Arial" w:cs="Arial" w:eastAsia="Arial" w:hAnsi="Arial"/>
          <w:sz w:val="18"/>
          <w:szCs w:val="18"/>
          <w:color w:val="auto"/>
        </w:rPr>
        <w:t>Notwithstanding any other provision of this Agreement to the contrary, disclosure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by Receiving Party will not be precluded if such disclosure: (a) is made in response to a valid order of a court or other governmental body of the United States or any political subdivision thereof having competent jurisdiction; or (b) is otherwise required by law or regulation; provided, however, that Receiving Party shall first, to the extent legally permissible, have given reasonable prior notice to Disclosing Party of such order or legal requirement in order to enable the Disclosing Party, at Disclosing Party’s sole cost and expense, to obtain a protective order.</w:t>
      </w:r>
    </w:p>
    <w:p>
      <w:pPr>
        <w:spacing w:after="0" w:line="187" w:lineRule="exact"/>
        <w:rPr>
          <w:rFonts w:ascii="Arial" w:cs="Arial" w:eastAsia="Arial" w:hAnsi="Arial"/>
          <w:sz w:val="18"/>
          <w:szCs w:val="18"/>
          <w:color w:val="auto"/>
        </w:rPr>
      </w:pPr>
    </w:p>
    <w:p>
      <w:pPr>
        <w:jc w:val="both"/>
        <w:ind w:left="652" w:hanging="652"/>
        <w:spacing w:after="0" w:line="289" w:lineRule="auto"/>
        <w:tabs>
          <w:tab w:leader="none" w:pos="652"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LIMITATIONS ON USE. </w:t>
      </w:r>
      <w:r>
        <w:rPr>
          <w:rFonts w:ascii="Arial" w:cs="Arial" w:eastAsia="Arial" w:hAnsi="Arial"/>
          <w:sz w:val="17"/>
          <w:szCs w:val="17"/>
          <w:color w:val="auto"/>
        </w:rPr>
        <w:t>Receiving Party may use the Confidential Information only to the extent required in connection with the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Services and for no other purpose. Receiving Party shall maintain all Confidential Information in trust and strict confidence and shall not disclose any of the Confidential Information to any other third party without Disclosing Party’s prior written consent.</w:t>
      </w:r>
    </w:p>
    <w:p>
      <w:pPr>
        <w:spacing w:after="0" w:line="157" w:lineRule="exact"/>
        <w:rPr>
          <w:rFonts w:ascii="Arial" w:cs="Arial" w:eastAsia="Arial" w:hAnsi="Arial"/>
          <w:sz w:val="17"/>
          <w:szCs w:val="17"/>
          <w:color w:val="auto"/>
        </w:rPr>
      </w:pPr>
    </w:p>
    <w:p>
      <w:pPr>
        <w:jc w:val="both"/>
        <w:ind w:left="652" w:hanging="652"/>
        <w:spacing w:after="0" w:line="266"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MAINTENANCE OF CONFIDENTIALITY. </w:t>
      </w:r>
      <w:r>
        <w:rPr>
          <w:rFonts w:ascii="Arial" w:cs="Arial" w:eastAsia="Arial" w:hAnsi="Arial"/>
          <w:sz w:val="18"/>
          <w:szCs w:val="18"/>
          <w:color w:val="auto"/>
        </w:rPr>
        <w:t>Receiving Party agrees to take reasonable measures to protect the secrecy of and avoid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and unauthorized use of the Confidential Information. Without limiting the foregoing, Receiving Party will take at least those measures that it takes to protect its own confidential information of a similar nature.</w:t>
      </w:r>
    </w:p>
    <w:p>
      <w:pPr>
        <w:spacing w:after="0" w:line="179" w:lineRule="exact"/>
        <w:rPr>
          <w:rFonts w:ascii="Arial" w:cs="Arial" w:eastAsia="Arial" w:hAnsi="Arial"/>
          <w:sz w:val="18"/>
          <w:szCs w:val="18"/>
          <w:color w:val="auto"/>
        </w:rPr>
      </w:pPr>
    </w:p>
    <w:p>
      <w:pPr>
        <w:ind w:left="5572" w:hanging="106"/>
        <w:spacing w:after="0"/>
        <w:tabs>
          <w:tab w:leader="none" w:pos="55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85" w:name="page86"/>
    <w:bookmarkEnd w:id="85"/>
    <w:p>
      <w:pPr>
        <w:ind w:left="652" w:hanging="652"/>
        <w:spacing w:after="0" w:line="282"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 LICENSE OR IMPLIED RIGHTS. </w:t>
      </w:r>
      <w:r>
        <w:rPr>
          <w:rFonts w:ascii="Arial" w:cs="Arial" w:eastAsia="Arial" w:hAnsi="Arial"/>
          <w:sz w:val="18"/>
          <w:szCs w:val="18"/>
          <w:color w:val="auto"/>
        </w:rPr>
        <w:t>No rights or licenses to copyrights, inventions, know-how, patents, trademarks, trade secrets,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intellectual property rights, are implied or granted under this Agreement except as expressly set forth herein.</w:t>
      </w:r>
    </w:p>
    <w:p>
      <w:pPr>
        <w:spacing w:after="0" w:line="161"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 TERMINATION AND SURVIVAL. </w:t>
      </w:r>
      <w:r>
        <w:rPr>
          <w:rFonts w:ascii="Arial" w:cs="Arial" w:eastAsia="Arial" w:hAnsi="Arial"/>
          <w:sz w:val="18"/>
          <w:szCs w:val="18"/>
          <w:color w:val="auto"/>
        </w:rPr>
        <w:t>This Agreement will expire on June 30, 2022, unless earlier terminated or extended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Each Party reserves the right, in its sole discretion, to terminate the Agreement at any time without penalty and for any reason, including no reason. It being expressly understood and agreed that Consultant shall be entitled to be paid for Services rendered through the date of termination. Subject to Sections 6 and 7 of this Agreement, Receiving Party’s obligations regarding confidentiality under this Agreement will continue for a period of five (5) years after any expiration or termination of this Agreement. The provisions of this Agreement that are expressly intended to come into or remain in force on or after its expiration or termination shall remain in full force and effect, including Sections 4 – 8 and 10.</w:t>
      </w:r>
    </w:p>
    <w:p>
      <w:pPr>
        <w:spacing w:after="0" w:line="188"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TREATMENT OF CONFIDENTIAL INFORMATION UPON TERMINATION. </w:t>
      </w:r>
      <w:r>
        <w:rPr>
          <w:rFonts w:ascii="Arial" w:cs="Arial" w:eastAsia="Arial" w:hAnsi="Arial"/>
          <w:sz w:val="18"/>
          <w:szCs w:val="18"/>
          <w:color w:val="auto"/>
        </w:rPr>
        <w:t>Upon expiration 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Party shall promptly return or destroy, as directed by Disclosing Party, all copies of Confidential Information and provide Disclosing Party with all work product and deliverables described in the Services and confirm such actions in writing. Notwithstanding the foregoing, Receiving Party may retain copies of Confidential Information as is reasonably required to comply with its internal document retention policies or applicable law or to ensure its compliance with the provisions of this Agreement. In addition, Receiving Party will not be obligated to destroy copies of such information remaining on its standard computer back-up systems. Any Confidential Information so retained will continue to be subject to the terms of this Agreement for the period set forth herein.</w:t>
      </w:r>
    </w:p>
    <w:p>
      <w:pPr>
        <w:spacing w:after="0" w:line="188" w:lineRule="exact"/>
        <w:rPr>
          <w:rFonts w:ascii="Arial" w:cs="Arial" w:eastAsia="Arial" w:hAnsi="Arial"/>
          <w:sz w:val="18"/>
          <w:szCs w:val="18"/>
          <w:color w:val="auto"/>
        </w:rPr>
      </w:pPr>
    </w:p>
    <w:p>
      <w:pPr>
        <w:jc w:val="both"/>
        <w:ind w:left="652" w:hanging="652"/>
        <w:spacing w:after="0" w:line="261"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Consultant understands and agrees that money damages may not be a sufficient remedy for a breach of this Agreement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VistaGen will be entitled to seek specific performance, injunctive relief and/or other equitable relief as a remedy for any such breach. Such remedy shall not be deemed to be the exclusive remedy for a breach of this Agreement but shall be in addition to other remedies available at law or in equity.</w:t>
      </w:r>
    </w:p>
    <w:p>
      <w:pPr>
        <w:spacing w:after="0" w:line="179" w:lineRule="exact"/>
        <w:rPr>
          <w:rFonts w:ascii="Arial" w:cs="Arial" w:eastAsia="Arial" w:hAnsi="Arial"/>
          <w:sz w:val="18"/>
          <w:szCs w:val="18"/>
          <w:color w:val="auto"/>
        </w:rPr>
      </w:pPr>
    </w:p>
    <w:p>
      <w:pPr>
        <w:jc w:val="both"/>
        <w:ind w:left="652" w:hanging="652"/>
        <w:spacing w:after="0" w:line="303" w:lineRule="auto"/>
        <w:tabs>
          <w:tab w:leader="none" w:pos="652"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SECURITIES LAWS. </w:t>
      </w:r>
      <w:r>
        <w:rPr>
          <w:rFonts w:ascii="Arial" w:cs="Arial" w:eastAsia="Arial" w:hAnsi="Arial"/>
          <w:sz w:val="16"/>
          <w:szCs w:val="16"/>
          <w:color w:val="auto"/>
        </w:rPr>
        <w:t>VistaGen is a publicly traded company. Consultant acknowledges that: (i) trading in securities of VistaGen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securities legislation; (ii) as a result of the disclosure of the Confidential Information by VistaGen to Consultant, Consultant may possess material, non-public information of VistaGen; and (iii) any trading by Consultant or its Representatives in the securities of VistaGen while in possession of such material, non-public information may be a violation of applicable securities legislation and is at all times prohibited.</w:t>
      </w:r>
    </w:p>
    <w:p>
      <w:pPr>
        <w:spacing w:after="0" w:line="150" w:lineRule="exact"/>
        <w:rPr>
          <w:rFonts w:ascii="Arial" w:cs="Arial" w:eastAsia="Arial" w:hAnsi="Arial"/>
          <w:sz w:val="16"/>
          <w:szCs w:val="16"/>
          <w:color w:val="auto"/>
        </w:rPr>
      </w:pPr>
    </w:p>
    <w:p>
      <w:pPr>
        <w:jc w:val="both"/>
        <w:ind w:left="652" w:hanging="652"/>
        <w:spacing w:after="0" w:line="258"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All demands, notices and requests under this Agreement, other than routine communications, shall be in writing, in each case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of the other Party’s signatory at the address above. Either Party may give any notice under this Agreement by customary means (including personal delivery, overnight courier, or by certified postal delivery but expressly not including fax or email), and such notice or other communication shall be deemed duly given when the Party for whom it is intended receives it. Any Party may change the address to which notices and other communications are to be delivered.</w:t>
      </w:r>
    </w:p>
    <w:p>
      <w:pPr>
        <w:spacing w:after="0" w:line="187" w:lineRule="exact"/>
        <w:rPr>
          <w:rFonts w:ascii="Arial" w:cs="Arial" w:eastAsia="Arial" w:hAnsi="Arial"/>
          <w:sz w:val="18"/>
          <w:szCs w:val="18"/>
          <w:color w:val="auto"/>
        </w:rPr>
      </w:pPr>
    </w:p>
    <w:p>
      <w:pPr>
        <w:ind w:left="5572" w:hanging="106"/>
        <w:spacing w:after="0"/>
        <w:tabs>
          <w:tab w:leader="none" w:pos="5572" w:val="left"/>
        </w:tabs>
        <w:numPr>
          <w:ilvl w:val="1"/>
          <w:numId w:val="3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86" w:name="page87"/>
    <w:bookmarkEnd w:id="86"/>
    <w:p>
      <w:pPr>
        <w:ind w:left="652" w:hanging="652"/>
        <w:spacing w:after="0"/>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hanging="4"/>
        <w:spacing w:after="0" w:line="277" w:lineRule="auto"/>
        <w:tabs>
          <w:tab w:leader="none" w:pos="1113"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the undersigned warrants that they have the authority to enter into this Agreement and to disclose the Confidential Information provided hereunder.</w:t>
      </w:r>
    </w:p>
    <w:p>
      <w:pPr>
        <w:spacing w:after="0" w:line="170" w:lineRule="exact"/>
        <w:rPr>
          <w:rFonts w:ascii="Arial" w:cs="Arial" w:eastAsia="Arial" w:hAnsi="Arial"/>
          <w:sz w:val="18"/>
          <w:szCs w:val="18"/>
          <w:color w:val="auto"/>
        </w:rPr>
      </w:pPr>
    </w:p>
    <w:p>
      <w:pPr>
        <w:ind w:left="652" w:hanging="4"/>
        <w:spacing w:after="0" w:line="277" w:lineRule="auto"/>
        <w:tabs>
          <w:tab w:leader="none" w:pos="10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performance of its permitted activities under this Agreement, each Party shall comply with all applicable laws, including all applicable export control, anti-corruption and anti-bribery laws and regulations.</w:t>
      </w:r>
    </w:p>
    <w:p>
      <w:pPr>
        <w:spacing w:after="0" w:line="170" w:lineRule="exact"/>
        <w:rPr>
          <w:rFonts w:ascii="Arial" w:cs="Arial" w:eastAsia="Arial" w:hAnsi="Arial"/>
          <w:sz w:val="18"/>
          <w:szCs w:val="18"/>
          <w:color w:val="auto"/>
        </w:rPr>
      </w:pPr>
    </w:p>
    <w:p>
      <w:pPr>
        <w:ind w:left="1032" w:hanging="384"/>
        <w:spacing w:after="0"/>
        <w:tabs>
          <w:tab w:leader="none" w:pos="10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the Parties and their successors and permitted assigns.</w:t>
      </w:r>
    </w:p>
    <w:p>
      <w:pPr>
        <w:spacing w:after="0" w:line="225" w:lineRule="exact"/>
        <w:rPr>
          <w:rFonts w:ascii="Arial" w:cs="Arial" w:eastAsia="Arial" w:hAnsi="Arial"/>
          <w:sz w:val="18"/>
          <w:szCs w:val="18"/>
          <w:color w:val="auto"/>
        </w:rPr>
      </w:pPr>
    </w:p>
    <w:p>
      <w:pPr>
        <w:ind w:left="652" w:right="20" w:hanging="4"/>
        <w:spacing w:after="0" w:line="277" w:lineRule="auto"/>
        <w:tabs>
          <w:tab w:leader="none" w:pos="1073"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Party shall have the right to use the other Party’s name or likeness in any publications, publicity or other materials or presentations without obtaining the prior written consent of the other Party.</w:t>
      </w:r>
    </w:p>
    <w:p>
      <w:pPr>
        <w:spacing w:after="0" w:line="170" w:lineRule="exact"/>
        <w:rPr>
          <w:rFonts w:ascii="Arial" w:cs="Arial" w:eastAsia="Arial" w:hAnsi="Arial"/>
          <w:sz w:val="18"/>
          <w:szCs w:val="18"/>
          <w:color w:val="auto"/>
        </w:rPr>
      </w:pPr>
    </w:p>
    <w:p>
      <w:pPr>
        <w:jc w:val="both"/>
        <w:ind w:left="652" w:hanging="4"/>
        <w:spacing w:after="0" w:line="286" w:lineRule="auto"/>
        <w:tabs>
          <w:tab w:leader="none" w:pos="10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Neither this Agreement nor any rights or obligations under this Agreement are assignable by either Party without the prior written approval of the other Party, except that either Party may assign this Agreement to an Affiliate without such consent and VistaGen may assign this Agreement in the context of a sale of all or substantially all of its assets that relate to this Agreement without such consent.</w:t>
      </w:r>
    </w:p>
    <w:p>
      <w:pPr>
        <w:spacing w:after="0" w:line="165" w:lineRule="exact"/>
        <w:rPr>
          <w:rFonts w:ascii="Arial" w:cs="Arial" w:eastAsia="Arial" w:hAnsi="Arial"/>
          <w:sz w:val="17"/>
          <w:szCs w:val="17"/>
          <w:color w:val="auto"/>
        </w:rPr>
      </w:pPr>
    </w:p>
    <w:p>
      <w:pPr>
        <w:jc w:val="both"/>
        <w:ind w:left="652" w:hanging="4"/>
        <w:spacing w:after="0" w:line="259" w:lineRule="auto"/>
        <w:tabs>
          <w:tab w:leader="none" w:pos="10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California as applied to disputes involving parties located entirely within the State and without giving effect to its choice of law provisions. Any claim or controversy arising out of or related to this Agreement or any breach hereof shall be submitted to a court of competent jurisdiction in the State of California, and each Party hereby consents to the jurisdiction and venue of such court.</w:t>
      </w:r>
    </w:p>
    <w:p>
      <w:pPr>
        <w:spacing w:after="0" w:line="186" w:lineRule="exact"/>
        <w:rPr>
          <w:rFonts w:ascii="Arial" w:cs="Arial" w:eastAsia="Arial" w:hAnsi="Arial"/>
          <w:sz w:val="18"/>
          <w:szCs w:val="18"/>
          <w:color w:val="auto"/>
        </w:rPr>
      </w:pPr>
    </w:p>
    <w:p>
      <w:pPr>
        <w:ind w:left="1032" w:hanging="384"/>
        <w:spacing w:after="0"/>
        <w:tabs>
          <w:tab w:leader="none" w:pos="10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has been prepared in the English language and the English language shall control its interpretation.</w:t>
      </w:r>
    </w:p>
    <w:p>
      <w:pPr>
        <w:spacing w:after="0" w:line="225" w:lineRule="exact"/>
        <w:rPr>
          <w:rFonts w:ascii="Arial" w:cs="Arial" w:eastAsia="Arial" w:hAnsi="Arial"/>
          <w:sz w:val="18"/>
          <w:szCs w:val="18"/>
          <w:color w:val="auto"/>
        </w:rPr>
      </w:pPr>
    </w:p>
    <w:p>
      <w:pPr>
        <w:jc w:val="both"/>
        <w:ind w:left="652" w:hanging="4"/>
        <w:spacing w:after="0" w:line="263" w:lineRule="auto"/>
        <w:tabs>
          <w:tab w:leader="none" w:pos="10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This Agreement constitutes the final, complete and exclusive agreement of the Parties relative to the subject matter hereof and supersedes all prior and contemporaneous understandings and agreements relating to its subject matter. This Agreement may not be changed, modified, amended or supplemented except by a written instrument signed by both Parties.</w:t>
      </w:r>
    </w:p>
    <w:p>
      <w:pPr>
        <w:spacing w:after="0" w:line="183" w:lineRule="exact"/>
        <w:rPr>
          <w:rFonts w:ascii="Arial" w:cs="Arial" w:eastAsia="Arial" w:hAnsi="Arial"/>
          <w:sz w:val="18"/>
          <w:szCs w:val="18"/>
          <w:color w:val="auto"/>
        </w:rPr>
      </w:pPr>
    </w:p>
    <w:p>
      <w:pPr>
        <w:ind w:left="992" w:hanging="344"/>
        <w:spacing w:after="0"/>
        <w:tabs>
          <w:tab w:leader="none" w:pos="9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Section headings are included for convenience only and will not be deemed to be a part of this Agreement.</w:t>
      </w:r>
    </w:p>
    <w:p>
      <w:pPr>
        <w:spacing w:after="0" w:line="225" w:lineRule="exact"/>
        <w:rPr>
          <w:rFonts w:ascii="Arial" w:cs="Arial" w:eastAsia="Arial" w:hAnsi="Arial"/>
          <w:sz w:val="18"/>
          <w:szCs w:val="18"/>
          <w:color w:val="auto"/>
        </w:rPr>
      </w:pPr>
    </w:p>
    <w:p>
      <w:pPr>
        <w:ind w:left="5572" w:hanging="106"/>
        <w:spacing w:after="0"/>
        <w:tabs>
          <w:tab w:leader="none" w:pos="5572" w:val="left"/>
        </w:tabs>
        <w:numPr>
          <w:ilvl w:val="2"/>
          <w:numId w:val="3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87" w:name="page88"/>
    <w:bookmarkEnd w:id="87"/>
    <w:p>
      <w:pPr>
        <w:jc w:val="both"/>
        <w:ind w:left="4" w:hanging="4"/>
        <w:spacing w:after="0" w:line="259"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failure to enforce any provision of this Agreement shall not constitute a waiver thereof or of any other provision, nor will any single or partial exercise thereof preclude any other or further exercise thereof or the exercise of any other right, power or privilege hereunder. To be effective hereunder, any waiver of any right, power, or privilege hereunder shall be in writing and signed by the Party against whom the waiver is sought to be enforced.</w:t>
      </w:r>
    </w:p>
    <w:p>
      <w:pPr>
        <w:spacing w:after="0" w:line="186" w:lineRule="exact"/>
        <w:rPr>
          <w:rFonts w:ascii="Arial" w:cs="Arial" w:eastAsia="Arial" w:hAnsi="Arial"/>
          <w:sz w:val="18"/>
          <w:szCs w:val="18"/>
          <w:color w:val="auto"/>
        </w:rPr>
      </w:pPr>
    </w:p>
    <w:p>
      <w:pPr>
        <w:jc w:val="both"/>
        <w:ind w:left="4" w:hanging="4"/>
        <w:spacing w:after="0" w:line="279" w:lineRule="auto"/>
        <w:tabs>
          <w:tab w:leader="none" w:pos="4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into this Agreement may be realized.</w:t>
      </w:r>
    </w:p>
    <w:p>
      <w:pPr>
        <w:spacing w:after="0" w:line="171" w:lineRule="exact"/>
        <w:rPr>
          <w:rFonts w:ascii="Arial" w:cs="Arial" w:eastAsia="Arial" w:hAnsi="Arial"/>
          <w:sz w:val="17"/>
          <w:szCs w:val="17"/>
          <w:color w:val="auto"/>
        </w:rPr>
      </w:pPr>
    </w:p>
    <w:p>
      <w:pPr>
        <w:jc w:val="both"/>
        <w:ind w:left="4" w:hanging="4"/>
        <w:spacing w:after="0" w:line="257" w:lineRule="auto"/>
        <w:tabs>
          <w:tab w:leader="none" w:pos="4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Party shall be deemed to have defaulted under or to be in breach of this Agreement for failure or delay in fulfilling material obligations when such failure or delay is directly caused by an event outside of their reasonable control, including but not limited to war, acts of war, insurrections, acts of terrorism, epidemics or pandemics, or acts of God (a “Force Majeure Event”). Each Party shall inform the other promptly and in writing of any such Force Majeure Event and the Parties will discuss the situation, and acting in good faith, agree on the appropriate course of action under the circumstances.</w:t>
      </w:r>
    </w:p>
    <w:p>
      <w:pPr>
        <w:spacing w:after="0" w:line="187" w:lineRule="exact"/>
        <w:rPr>
          <w:rFonts w:ascii="Arial" w:cs="Arial" w:eastAsia="Arial" w:hAnsi="Arial"/>
          <w:sz w:val="18"/>
          <w:szCs w:val="18"/>
          <w:color w:val="auto"/>
        </w:rPr>
      </w:pPr>
    </w:p>
    <w:p>
      <w:pPr>
        <w:jc w:val="both"/>
        <w:ind w:left="4" w:hanging="4"/>
        <w:spacing w:after="0" w:line="286" w:lineRule="auto"/>
        <w:tabs>
          <w:tab w:leader="none" w:pos="482"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the convenience of the Parties, this Agreement may be executed in counterparts, each of which shall be deemed an original, but all of which together shall constitute one and the same instrument. This Agreement may be executed in PDF form or by other electronically transmitted signatures and such signatures will be deemed to bind each Party as if they were the original signatures.</w:t>
      </w:r>
    </w:p>
    <w:p>
      <w:pPr>
        <w:spacing w:after="0" w:line="165" w:lineRule="exact"/>
        <w:rPr>
          <w:sz w:val="20"/>
          <w:szCs w:val="20"/>
          <w:color w:val="auto"/>
        </w:rPr>
      </w:pPr>
    </w:p>
    <w:p>
      <w:pPr>
        <w:jc w:val="center"/>
        <w:ind w:right="636"/>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25"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the Agreement to be executed effective as of the date set forth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AGREED TO:</w:t>
            </w:r>
          </w:p>
        </w:tc>
        <w:tc>
          <w:tcPr>
            <w:tcW w:w="5520" w:type="dxa"/>
            <w:vAlign w:val="bottom"/>
            <w:gridSpan w:val="4"/>
          </w:tcPr>
          <w:p>
            <w:pPr>
              <w:ind w:left="1120"/>
              <w:spacing w:after="0"/>
              <w:rPr>
                <w:sz w:val="20"/>
                <w:szCs w:val="20"/>
                <w:color w:val="auto"/>
              </w:rPr>
            </w:pPr>
            <w:r>
              <w:rPr>
                <w:rFonts w:ascii="Arial" w:cs="Arial" w:eastAsia="Arial" w:hAnsi="Arial"/>
                <w:sz w:val="18"/>
                <w:szCs w:val="18"/>
                <w:color w:val="auto"/>
              </w:rPr>
              <w:t>AGREED TO:</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VISTAGEN THERAPEUTICS, INC.</w:t>
            </w:r>
          </w:p>
        </w:tc>
        <w:tc>
          <w:tcPr>
            <w:tcW w:w="5520" w:type="dxa"/>
            <w:vAlign w:val="bottom"/>
            <w:gridSpan w:val="4"/>
          </w:tcPr>
          <w:p>
            <w:pPr>
              <w:ind w:left="1120"/>
              <w:spacing w:after="0"/>
              <w:rPr>
                <w:sz w:val="20"/>
                <w:szCs w:val="20"/>
                <w:color w:val="auto"/>
              </w:rPr>
            </w:pPr>
            <w:r>
              <w:rPr>
                <w:rFonts w:ascii="Arial" w:cs="Arial" w:eastAsia="Arial" w:hAnsi="Arial"/>
                <w:sz w:val="18"/>
                <w:szCs w:val="18"/>
                <w:color w:val="auto"/>
              </w:rPr>
              <w:t>FitzPatrick &amp; Co. LLC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By:   /s/ Shawn K. Singh</w:t>
            </w:r>
          </w:p>
        </w:tc>
        <w:tc>
          <w:tcPr>
            <w:tcW w:w="5520" w:type="dxa"/>
            <w:vAlign w:val="bottom"/>
            <w:gridSpan w:val="4"/>
          </w:tcPr>
          <w:p>
            <w:pPr>
              <w:ind w:left="1120"/>
              <w:spacing w:after="0"/>
              <w:rPr>
                <w:sz w:val="20"/>
                <w:szCs w:val="20"/>
                <w:color w:val="auto"/>
              </w:rPr>
            </w:pPr>
            <w:r>
              <w:rPr>
                <w:rFonts w:ascii="Arial" w:cs="Arial" w:eastAsia="Arial" w:hAnsi="Arial"/>
                <w:sz w:val="18"/>
                <w:szCs w:val="18"/>
                <w:color w:val="auto"/>
              </w:rPr>
              <w:t>By:   /s/ Margaret Mary FitzPatrick</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80" w:type="dxa"/>
            <w:vAlign w:val="bottom"/>
            <w:gridSpan w:val="2"/>
          </w:tcPr>
          <w:p>
            <w:pPr>
              <w:spacing w:after="0"/>
              <w:rPr>
                <w:sz w:val="20"/>
                <w:szCs w:val="20"/>
                <w:color w:val="auto"/>
              </w:rPr>
            </w:pPr>
            <w:r>
              <w:rPr>
                <w:rFonts w:ascii="Arial" w:cs="Arial" w:eastAsia="Arial" w:hAnsi="Arial"/>
                <w:sz w:val="18"/>
                <w:szCs w:val="18"/>
                <w:color w:val="auto"/>
              </w:rPr>
              <w:t>Name:Shawn K. Singh, J.D.</w:t>
            </w:r>
          </w:p>
        </w:tc>
        <w:tc>
          <w:tcPr>
            <w:tcW w:w="5520" w:type="dxa"/>
            <w:vAlign w:val="bottom"/>
            <w:gridSpan w:val="4"/>
          </w:tcPr>
          <w:p>
            <w:pPr>
              <w:ind w:left="1120"/>
              <w:spacing w:after="0"/>
              <w:rPr>
                <w:sz w:val="20"/>
                <w:szCs w:val="20"/>
                <w:color w:val="auto"/>
              </w:rPr>
            </w:pPr>
            <w:r>
              <w:rPr>
                <w:rFonts w:ascii="Arial" w:cs="Arial" w:eastAsia="Arial" w:hAnsi="Arial"/>
                <w:sz w:val="18"/>
                <w:szCs w:val="18"/>
                <w:color w:val="auto"/>
              </w:rPr>
              <w:t>Name:Margaret Mary FitzPatrick</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8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5520" w:type="dxa"/>
            <w:vAlign w:val="bottom"/>
            <w:gridSpan w:val="4"/>
          </w:tcPr>
          <w:p>
            <w:pPr>
              <w:ind w:left="1120"/>
              <w:spacing w:after="0"/>
              <w:rPr>
                <w:sz w:val="20"/>
                <w:szCs w:val="20"/>
                <w:color w:val="auto"/>
              </w:rPr>
            </w:pPr>
            <w:r>
              <w:rPr>
                <w:rFonts w:ascii="Arial" w:cs="Arial" w:eastAsia="Arial" w:hAnsi="Arial"/>
                <w:sz w:val="18"/>
                <w:szCs w:val="18"/>
                <w:color w:val="auto"/>
              </w:rPr>
              <w:t>Title: Sole Member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520" w:type="dxa"/>
            <w:vAlign w:val="bottom"/>
            <w:gridSpan w:val="4"/>
            <w:vMerge w:val="restart"/>
          </w:tcPr>
          <w:p>
            <w:pPr>
              <w:ind w:left="1120"/>
              <w:spacing w:after="0"/>
              <w:rPr>
                <w:sz w:val="20"/>
                <w:szCs w:val="20"/>
                <w:color w:val="auto"/>
              </w:rPr>
            </w:pPr>
            <w:r>
              <w:rPr>
                <w:rFonts w:ascii="Arial" w:cs="Arial" w:eastAsia="Arial" w:hAnsi="Arial"/>
                <w:sz w:val="18"/>
                <w:szCs w:val="18"/>
                <w:color w:val="auto"/>
              </w:rPr>
              <w:t>Date: January 23, 2022</w:t>
            </w: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520" w:type="dxa"/>
            <w:vAlign w:val="bottom"/>
            <w:gridSpan w:val="4"/>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380" w:type="dxa"/>
            <w:vAlign w:val="bottom"/>
            <w:gridSpan w:val="2"/>
          </w:tcPr>
          <w:p>
            <w:pPr>
              <w:spacing w:after="0"/>
              <w:rPr>
                <w:sz w:val="20"/>
                <w:szCs w:val="20"/>
                <w:color w:val="auto"/>
              </w:rPr>
            </w:pPr>
            <w:r>
              <w:rPr>
                <w:rFonts w:ascii="Arial" w:cs="Arial" w:eastAsia="Arial" w:hAnsi="Arial"/>
                <w:sz w:val="18"/>
                <w:szCs w:val="18"/>
                <w:color w:val="auto"/>
              </w:rPr>
              <w:t>Date: January 21, 2022</w:t>
            </w:r>
          </w:p>
        </w:tc>
        <w:tc>
          <w:tcPr>
            <w:tcW w:w="16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50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5520" w:type="dxa"/>
            <w:vAlign w:val="bottom"/>
            <w:gridSpan w:val="4"/>
          </w:tcPr>
          <w:p>
            <w:pPr>
              <w:ind w:left="280"/>
              <w:spacing w:after="0"/>
              <w:rPr>
                <w:sz w:val="20"/>
                <w:szCs w:val="20"/>
                <w:color w:val="auto"/>
              </w:rPr>
            </w:pPr>
            <w:r>
              <w:rPr>
                <w:rFonts w:ascii="Arial" w:cs="Arial" w:eastAsia="Arial" w:hAnsi="Arial"/>
                <w:sz w:val="18"/>
                <w:szCs w:val="18"/>
                <w:b w:val="1"/>
                <w:bCs w:val="1"/>
                <w:color w:val="auto"/>
              </w:rPr>
              <w:t>(Appendix A is attached)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0" w:type="dxa"/>
            <w:vAlign w:val="bottom"/>
          </w:tcPr>
          <w:p>
            <w:pPr>
              <w:ind w:left="1100"/>
              <w:spacing w:after="0"/>
              <w:rPr>
                <w:sz w:val="20"/>
                <w:szCs w:val="20"/>
                <w:color w:val="auto"/>
              </w:rPr>
            </w:pPr>
            <w:r>
              <w:rPr>
                <w:rFonts w:ascii="Arial" w:cs="Arial" w:eastAsia="Arial" w:hAnsi="Arial"/>
                <w:sz w:val="18"/>
                <w:szCs w:val="18"/>
                <w:color w:val="auto"/>
              </w:rPr>
              <w:t>- 6 -</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Services, Work Product and Deliverables to be Provided by Consultant:</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From time to time, as reasonably requested by VistaGen’s Chief Executive Officer and Chief Commercial Officer, Consultant shall provide corporate development services, including public relations advisory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from VistaGen to Consultant: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Services requested by VistaGen, and rendered by Consultant, pursuant to this Agreement, VistaGen agrees to pay Consultant in arrears, at a rate of $15,000 per month, by check or wire to a U.S. bank account within 30 days of VistaGen’s receipt of Consultant’s invoice. Reasonable expenses will be reimbursed by VistaGen at cost. Substantial expenses not in the usual course of business, and air and hotel travel must be pre-approved by VistaGen.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Invoices will be submitted via email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b w:val="1"/>
          <w:bCs w:val="1"/>
          <w:u w:val="single" w:color="auto"/>
          <w:color w:val="auto"/>
        </w:rPr>
        <w:t>ccountspayable@vistagen.com</w:t>
      </w:r>
      <w:r>
        <w:rPr>
          <w:rFonts w:ascii="Arial" w:cs="Arial" w:eastAsia="Arial" w:hAnsi="Arial"/>
          <w:sz w:val="18"/>
          <w:szCs w:val="18"/>
          <w:b w:val="1"/>
          <w:bCs w:val="1"/>
          <w:color w:val="auto"/>
        </w:rPr>
        <w:t>, with a copy to jdotson@vistagen.com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40"/>
          </w:cols>
          <w:pgMar w:left="320" w:top="58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00" w:lineRule="exact"/>
        <w:rPr>
          <w:sz w:val="20"/>
          <w:szCs w:val="20"/>
          <w:color w:val="auto"/>
        </w:rPr>
      </w:pPr>
    </w:p>
    <w:p>
      <w:pPr>
        <w:spacing w:after="0" w:line="241"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 xml:space="preserve">This Amendment (“Amendment No. 1”) is made between </w:t>
      </w:r>
      <w:r>
        <w:rPr>
          <w:rFonts w:ascii="Arial" w:cs="Arial" w:eastAsia="Arial" w:hAnsi="Arial"/>
          <w:sz w:val="18"/>
          <w:szCs w:val="18"/>
          <w:b w:val="1"/>
          <w:bCs w:val="1"/>
          <w:color w:val="auto"/>
        </w:rPr>
        <w:t>VistaGen Therapeutics, Inc.</w:t>
      </w:r>
      <w:r>
        <w:rPr>
          <w:rFonts w:ascii="Arial" w:cs="Arial" w:eastAsia="Arial" w:hAnsi="Arial"/>
          <w:sz w:val="18"/>
          <w:szCs w:val="18"/>
          <w:color w:val="auto"/>
        </w:rPr>
        <w:t xml:space="preserve">, a Nevada corporation having an address at 343 Allerton Avenue, South San Francisco, California 94080 (“VistaGen”) and </w:t>
      </w:r>
      <w:r>
        <w:rPr>
          <w:rFonts w:ascii="Arial" w:cs="Arial" w:eastAsia="Arial" w:hAnsi="Arial"/>
          <w:sz w:val="18"/>
          <w:szCs w:val="18"/>
          <w:b w:val="1"/>
          <w:bCs w:val="1"/>
          <w:color w:val="auto"/>
        </w:rPr>
        <w:t>FitzPatrick &amp; Co. LLC</w:t>
      </w:r>
      <w:r>
        <w:rPr>
          <w:rFonts w:ascii="Arial" w:cs="Arial" w:eastAsia="Arial" w:hAnsi="Arial"/>
          <w:sz w:val="18"/>
          <w:szCs w:val="18"/>
          <w:color w:val="auto"/>
        </w:rPr>
        <w:t>, a Delaware limited liability company (“Consultant”), and is effective as of June 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VistaGen and Consultant entered into a Consulting Services Agreement dated January 21, 2022 (the “Agreement”);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to extend its term.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VistaGen and Consultant therefore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 of this Agreement shall be extended and continue until the later of December 31, 2022, or the expiration or termination of any statements of work that are active as of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provided in this Amendment No. 1, the Agreement remains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Each party is signing this agreement with the party’s authorized signature.</w:t>
      </w:r>
    </w:p>
    <w:p>
      <w:pPr>
        <w:sectPr>
          <w:pgSz w:w="11900" w:h="16838" w:orient="portrait"/>
          <w:cols w:equalWidth="0" w:num="1">
            <w:col w:w="10139"/>
          </w:cols>
          <w:pgMar w:left="320" w:top="584"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TO:</w:t>
      </w:r>
    </w:p>
    <w:p>
      <w:pPr>
        <w:spacing w:after="0" w:line="211" w:lineRule="exact"/>
        <w:rPr>
          <w:sz w:val="20"/>
          <w:szCs w:val="20"/>
          <w:color w:val="auto"/>
        </w:rPr>
      </w:pPr>
    </w:p>
    <w:p>
      <w:pPr>
        <w:sectPr>
          <w:pgSz w:w="11900" w:h="16838" w:orient="portrait"/>
          <w:cols w:equalWidth="0" w:num="2">
            <w:col w:w="4980" w:space="720"/>
            <w:col w:w="4439"/>
          </w:cols>
          <w:pgMar w:left="320" w:top="584"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FITZPATRICK &amp; CO., LLC</w:t>
      </w:r>
    </w:p>
    <w:p>
      <w:pPr>
        <w:spacing w:after="0" w:line="200" w:lineRule="exact"/>
        <w:rPr>
          <w:sz w:val="20"/>
          <w:szCs w:val="20"/>
          <w:color w:val="auto"/>
        </w:rPr>
      </w:pPr>
    </w:p>
    <w:p>
      <w:pPr>
        <w:sectPr>
          <w:pgSz w:w="11900" w:h="16838" w:orient="portrait"/>
          <w:cols w:equalWidth="0" w:num="2">
            <w:col w:w="4980" w:space="720"/>
            <w:col w:w="4439"/>
          </w:cols>
          <w:pgMar w:left="320" w:top="5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6"/>
          </w:tcPr>
          <w:p>
            <w:pPr>
              <w:spacing w:after="0"/>
              <w:rPr>
                <w:sz w:val="20"/>
                <w:szCs w:val="20"/>
                <w:color w:val="auto"/>
              </w:rPr>
            </w:pPr>
            <w:r>
              <w:rPr>
                <w:rFonts w:ascii="Arial" w:cs="Arial" w:eastAsia="Arial" w:hAnsi="Arial"/>
                <w:sz w:val="18"/>
                <w:szCs w:val="18"/>
                <w:color w:val="auto"/>
              </w:rPr>
              <w:t>By: /s/ Shawn K. Singh</w:t>
            </w:r>
          </w:p>
        </w:tc>
        <w:tc>
          <w:tcPr>
            <w:tcW w:w="5320" w:type="dxa"/>
            <w:vAlign w:val="bottom"/>
            <w:gridSpan w:val="5"/>
          </w:tcPr>
          <w:p>
            <w:pPr>
              <w:ind w:left="1980"/>
              <w:spacing w:after="0"/>
              <w:rPr>
                <w:sz w:val="20"/>
                <w:szCs w:val="20"/>
                <w:color w:val="auto"/>
              </w:rPr>
            </w:pPr>
            <w:r>
              <w:rPr>
                <w:rFonts w:ascii="Arial" w:cs="Arial" w:eastAsia="Arial" w:hAnsi="Arial"/>
                <w:sz w:val="18"/>
                <w:szCs w:val="18"/>
                <w:color w:val="auto"/>
              </w:rPr>
              <w:t>By: /s/ Margaret Mary FitzPatrick</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Arial" w:cs="Arial" w:eastAsia="Arial" w:hAnsi="Arial"/>
                <w:sz w:val="18"/>
                <w:szCs w:val="18"/>
                <w:color w:val="auto"/>
                <w:w w:val="98"/>
              </w:rPr>
              <w:t>Name:</w:t>
            </w: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rPr>
              <w:t>Shawn K. Singh, J.D.</w:t>
            </w:r>
          </w:p>
        </w:tc>
        <w:tc>
          <w:tcPr>
            <w:tcW w:w="80" w:type="dxa"/>
            <w:vAlign w:val="bottom"/>
          </w:tcPr>
          <w:p>
            <w:pPr>
              <w:spacing w:after="0"/>
              <w:rPr>
                <w:sz w:val="24"/>
                <w:szCs w:val="24"/>
                <w:color w:val="auto"/>
              </w:rPr>
            </w:pPr>
          </w:p>
        </w:tc>
        <w:tc>
          <w:tcPr>
            <w:tcW w:w="5320" w:type="dxa"/>
            <w:vAlign w:val="bottom"/>
            <w:gridSpan w:val="5"/>
          </w:tcPr>
          <w:p>
            <w:pPr>
              <w:ind w:left="1980"/>
              <w:spacing w:after="0"/>
              <w:rPr>
                <w:sz w:val="20"/>
                <w:szCs w:val="20"/>
                <w:color w:val="auto"/>
              </w:rPr>
            </w:pPr>
            <w:r>
              <w:rPr>
                <w:rFonts w:ascii="Arial" w:cs="Arial" w:eastAsia="Arial" w:hAnsi="Arial"/>
                <w:sz w:val="18"/>
                <w:szCs w:val="18"/>
                <w:color w:val="auto"/>
              </w:rPr>
              <w:t>Name: Margaret Mary FitzPatrick</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12"/>
        </w:trPr>
        <w:tc>
          <w:tcPr>
            <w:tcW w:w="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4"/>
                <w:szCs w:val="24"/>
                <w:color w:val="auto"/>
              </w:rPr>
            </w:pPr>
          </w:p>
        </w:tc>
        <w:tc>
          <w:tcPr>
            <w:tcW w:w="3100" w:type="dxa"/>
            <w:vAlign w:val="bottom"/>
            <w:gridSpan w:val="2"/>
          </w:tcPr>
          <w:p>
            <w:pPr>
              <w:ind w:left="300"/>
              <w:spacing w:after="0"/>
              <w:rPr>
                <w:sz w:val="20"/>
                <w:szCs w:val="20"/>
                <w:color w:val="auto"/>
              </w:rPr>
            </w:pPr>
            <w:r>
              <w:rPr>
                <w:rFonts w:ascii="Arial" w:cs="Arial" w:eastAsia="Arial" w:hAnsi="Arial"/>
                <w:sz w:val="18"/>
                <w:szCs w:val="18"/>
                <w:color w:val="auto"/>
              </w:rPr>
              <w:t>Chief Executive Officer</w:t>
            </w:r>
          </w:p>
        </w:tc>
        <w:tc>
          <w:tcPr>
            <w:tcW w:w="80" w:type="dxa"/>
            <w:vAlign w:val="bottom"/>
          </w:tcPr>
          <w:p>
            <w:pPr>
              <w:spacing w:after="0"/>
              <w:rPr>
                <w:sz w:val="24"/>
                <w:szCs w:val="24"/>
                <w:color w:val="auto"/>
              </w:rPr>
            </w:pPr>
          </w:p>
        </w:tc>
        <w:tc>
          <w:tcPr>
            <w:tcW w:w="5320" w:type="dxa"/>
            <w:vAlign w:val="bottom"/>
            <w:gridSpan w:val="5"/>
          </w:tcPr>
          <w:p>
            <w:pPr>
              <w:ind w:left="1980"/>
              <w:spacing w:after="0"/>
              <w:rPr>
                <w:sz w:val="20"/>
                <w:szCs w:val="20"/>
                <w:color w:val="auto"/>
              </w:rPr>
            </w:pPr>
            <w:r>
              <w:rPr>
                <w:rFonts w:ascii="Arial" w:cs="Arial" w:eastAsia="Arial" w:hAnsi="Arial"/>
                <w:sz w:val="18"/>
                <w:szCs w:val="18"/>
                <w:color w:val="auto"/>
              </w:rPr>
              <w:t>Title:  Managing Director</w:t>
            </w:r>
          </w:p>
        </w:tc>
      </w:tr>
      <w:tr>
        <w:trPr>
          <w:trHeight w:val="20"/>
        </w:trPr>
        <w:tc>
          <w:tcPr>
            <w:tcW w:w="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40" w:type="dxa"/>
            <w:vAlign w:val="bottom"/>
            <w:gridSpan w:val="2"/>
          </w:tcPr>
          <w:p>
            <w:pPr>
              <w:spacing w:after="0"/>
              <w:rPr>
                <w:sz w:val="20"/>
                <w:szCs w:val="20"/>
                <w:color w:val="auto"/>
              </w:rPr>
            </w:pPr>
            <w:r>
              <w:rPr>
                <w:rFonts w:ascii="Arial" w:cs="Arial" w:eastAsia="Arial" w:hAnsi="Arial"/>
                <w:sz w:val="18"/>
                <w:szCs w:val="18"/>
                <w:color w:val="auto"/>
                <w:w w:val="97"/>
              </w:rPr>
              <w:t>Date:</w:t>
            </w:r>
          </w:p>
        </w:tc>
        <w:tc>
          <w:tcPr>
            <w:tcW w:w="100" w:type="dxa"/>
            <w:vAlign w:val="bottom"/>
          </w:tcPr>
          <w:p>
            <w:pPr>
              <w:spacing w:after="0"/>
              <w:rPr>
                <w:sz w:val="24"/>
                <w:szCs w:val="24"/>
                <w:color w:val="auto"/>
              </w:rPr>
            </w:pPr>
          </w:p>
        </w:tc>
        <w:tc>
          <w:tcPr>
            <w:tcW w:w="3020" w:type="dxa"/>
            <w:vAlign w:val="bottom"/>
          </w:tcPr>
          <w:p>
            <w:pPr>
              <w:ind w:left="300"/>
              <w:spacing w:after="0"/>
              <w:rPr>
                <w:sz w:val="20"/>
                <w:szCs w:val="20"/>
                <w:color w:val="auto"/>
              </w:rPr>
            </w:pPr>
            <w:r>
              <w:rPr>
                <w:rFonts w:ascii="Arial" w:cs="Arial" w:eastAsia="Arial" w:hAnsi="Arial"/>
                <w:sz w:val="18"/>
                <w:szCs w:val="18"/>
                <w:color w:val="auto"/>
              </w:rPr>
              <w:t>June 1, 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5"/>
          </w:tcPr>
          <w:p>
            <w:pPr>
              <w:ind w:left="1980"/>
              <w:spacing w:after="0"/>
              <w:rPr>
                <w:sz w:val="20"/>
                <w:szCs w:val="20"/>
                <w:color w:val="auto"/>
              </w:rPr>
            </w:pPr>
            <w:r>
              <w:rPr>
                <w:rFonts w:ascii="Arial" w:cs="Arial" w:eastAsia="Arial" w:hAnsi="Arial"/>
                <w:sz w:val="18"/>
                <w:szCs w:val="18"/>
                <w:color w:val="auto"/>
              </w:rPr>
              <w:t>Date: June 2, 2022</w:t>
            </w:r>
          </w:p>
        </w:tc>
      </w:tr>
      <w:tr>
        <w:trPr>
          <w:trHeight w:val="45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2"/>
          </w:tcPr>
          <w:p>
            <w:pPr>
              <w:ind w:left="1500"/>
              <w:spacing w:after="0"/>
              <w:rPr>
                <w:sz w:val="20"/>
                <w:szCs w:val="20"/>
                <w:color w:val="auto"/>
              </w:rPr>
            </w:pPr>
            <w:r>
              <w:rPr>
                <w:rFonts w:ascii="Arial" w:cs="Arial" w:eastAsia="Arial" w:hAnsi="Arial"/>
                <w:sz w:val="18"/>
                <w:szCs w:val="18"/>
                <w:color w:val="auto"/>
                <w:w w:val="95"/>
              </w:rPr>
              <w:t xml:space="preserve">Page </w:t>
            </w:r>
            <w:r>
              <w:rPr>
                <w:rFonts w:ascii="Arial" w:cs="Arial" w:eastAsia="Arial" w:hAnsi="Arial"/>
                <w:sz w:val="18"/>
                <w:szCs w:val="18"/>
                <w:b w:val="1"/>
                <w:bCs w:val="1"/>
                <w:color w:val="auto"/>
                <w:w w:val="95"/>
              </w:rPr>
              <w:t>2</w:t>
            </w:r>
            <w:r>
              <w:rPr>
                <w:rFonts w:ascii="Arial" w:cs="Arial" w:eastAsia="Arial" w:hAnsi="Arial"/>
                <w:sz w:val="18"/>
                <w:szCs w:val="18"/>
                <w:color w:val="auto"/>
                <w:w w:val="95"/>
              </w:rPr>
              <w:t xml:space="preserve"> of </w:t>
            </w:r>
            <w:r>
              <w:rPr>
                <w:rFonts w:ascii="Arial" w:cs="Arial" w:eastAsia="Arial" w:hAnsi="Arial"/>
                <w:sz w:val="18"/>
                <w:szCs w:val="18"/>
                <w:b w:val="1"/>
                <w:bCs w:val="1"/>
                <w:color w:val="auto"/>
                <w:w w:val="95"/>
              </w:rPr>
              <w:t>2</w:t>
            </w:r>
          </w:p>
        </w:tc>
        <w:tc>
          <w:tcPr>
            <w:tcW w:w="2860" w:type="dxa"/>
            <w:vAlign w:val="bottom"/>
            <w:tcBorders>
              <w:top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584" w:right="1440"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This Consulting Agreement (“Agreement”) is made and entered into as of November 10, 2022, by and between </w:t>
      </w:r>
      <w:r>
        <w:rPr>
          <w:rFonts w:ascii="Arial" w:cs="Arial" w:eastAsia="Arial" w:hAnsi="Arial"/>
          <w:sz w:val="17"/>
          <w:szCs w:val="17"/>
          <w:b w:val="1"/>
          <w:bCs w:val="1"/>
          <w:color w:val="auto"/>
        </w:rPr>
        <w:t>Vistagen Therapeutics, Inc.</w:t>
      </w:r>
      <w:r>
        <w:rPr>
          <w:rFonts w:ascii="Arial" w:cs="Arial" w:eastAsia="Arial" w:hAnsi="Arial"/>
          <w:sz w:val="17"/>
          <w:szCs w:val="17"/>
          <w:color w:val="auto"/>
        </w:rPr>
        <w:t>, a Nevada corporation with principal offices located at 343 Allerton Avenue, South San Francisco, California 94080 (“Vistagen”), and i3 Strategy (“Consultant”). In this Agreement, Vistagen and Consultant are sometimes referred to individually as a “Party” and together as the “Parties.”</w:t>
      </w:r>
    </w:p>
    <w:p>
      <w:pPr>
        <w:spacing w:after="0" w:line="15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Consultant has substantial expertise in the biopharmaceutical industry relating to commercialization, corporate development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Vistagen wishes to engage Consultant to provide consulting services in their area of expertise.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jc w:val="both"/>
        <w:ind w:left="660" w:hanging="652"/>
        <w:spacing w:after="0" w:line="281"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SERVICES. </w:t>
      </w:r>
      <w:r>
        <w:rPr>
          <w:rFonts w:ascii="Arial" w:cs="Arial" w:eastAsia="Arial" w:hAnsi="Arial"/>
          <w:sz w:val="17"/>
          <w:szCs w:val="17"/>
          <w:color w:val="auto"/>
        </w:rPr>
        <w:t>Consultant agrees to provide Vistagen with the consulting services (“Services”) described in</w:t>
      </w:r>
      <w:r>
        <w:rPr>
          <w:rFonts w:ascii="Arial" w:cs="Arial" w:eastAsia="Arial" w:hAnsi="Arial"/>
          <w:sz w:val="17"/>
          <w:szCs w:val="17"/>
          <w:b w:val="1"/>
          <w:bCs w:val="1"/>
          <w:color w:val="auto"/>
        </w:rPr>
        <w:t xml:space="preserve"> Appendix A </w:t>
      </w:r>
      <w:r>
        <w:rPr>
          <w:rFonts w:ascii="Arial" w:cs="Arial" w:eastAsia="Arial" w:hAnsi="Arial"/>
          <w:sz w:val="17"/>
          <w:szCs w:val="17"/>
          <w:color w:val="auto"/>
        </w:rPr>
        <w:t>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will perform the Services in good faith, with all due care, skill, and ability, and to the highest standards of professional and ethical competence and integrity. Consultant will keep accurate records of their Services including authorized expenditures. For clarity, this Agreement shall be applied in case of any conflict between this Agreement and the proposal at Appendix A.</w:t>
      </w:r>
    </w:p>
    <w:p>
      <w:pPr>
        <w:spacing w:after="0" w:line="164" w:lineRule="exact"/>
        <w:rPr>
          <w:rFonts w:ascii="Arial" w:cs="Arial" w:eastAsia="Arial" w:hAnsi="Arial"/>
          <w:sz w:val="17"/>
          <w:szCs w:val="17"/>
          <w:color w:val="auto"/>
        </w:rPr>
      </w:pPr>
    </w:p>
    <w:p>
      <w:pPr>
        <w:ind w:left="660" w:hanging="652"/>
        <w:spacing w:after="0" w:line="312"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COMPENSATION</w:t>
      </w:r>
      <w:r>
        <w:rPr>
          <w:rFonts w:ascii="Arial" w:cs="Arial" w:eastAsia="Arial" w:hAnsi="Arial"/>
          <w:sz w:val="17"/>
          <w:szCs w:val="17"/>
          <w:color w:val="auto"/>
        </w:rPr>
        <w:t>. In consideration for the Services performed by Consultant, Vistagen agrees to compensate Consultant as set forth in</w:t>
      </w:r>
      <w:r>
        <w:rPr>
          <w:rFonts w:ascii="Arial" w:cs="Arial" w:eastAsia="Arial" w:hAnsi="Arial"/>
          <w:sz w:val="17"/>
          <w:szCs w:val="17"/>
          <w:b w:val="1"/>
          <w:bCs w:val="1"/>
          <w:color w:val="auto"/>
        </w:rPr>
        <w:t xml:space="preserve"> Appendix A</w:t>
      </w:r>
      <w:r>
        <w:rPr>
          <w:rFonts w:ascii="Arial" w:cs="Arial" w:eastAsia="Arial" w:hAnsi="Arial"/>
          <w:sz w:val="17"/>
          <w:szCs w:val="17"/>
          <w:color w:val="auto"/>
        </w:rPr>
        <w:t>. Invoices will be submitted by Consultant via email to: accountspayable@vistagen.com, with a copy to jdotson@vistagen.com</w:t>
      </w:r>
    </w:p>
    <w:p>
      <w:pPr>
        <w:spacing w:after="0" w:line="139"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WORK PRODUCT AND DELIVERABLES. </w:t>
      </w:r>
      <w:r>
        <w:rPr>
          <w:rFonts w:ascii="Arial" w:cs="Arial" w:eastAsia="Arial" w:hAnsi="Arial"/>
          <w:sz w:val="17"/>
          <w:szCs w:val="17"/>
          <w:color w:val="auto"/>
        </w:rPr>
        <w:t>Any work product and deliverables to be provided pursuant to the Services are described in</w:t>
      </w:r>
      <w:r>
        <w:rPr>
          <w:rFonts w:ascii="Arial" w:cs="Arial" w:eastAsia="Arial" w:hAnsi="Arial"/>
          <w:sz w:val="17"/>
          <w:szCs w:val="17"/>
          <w:b w:val="1"/>
          <w:bCs w:val="1"/>
          <w:color w:val="auto"/>
        </w:rPr>
        <w:t xml:space="preserve"> Appendix A</w:t>
      </w:r>
      <w:r>
        <w:rPr>
          <w:rFonts w:ascii="Arial" w:cs="Arial" w:eastAsia="Arial" w:hAnsi="Arial"/>
          <w:sz w:val="17"/>
          <w:szCs w:val="17"/>
          <w:color w:val="auto"/>
        </w:rPr>
        <w:t>. Consultant agrees to treat as for the sole benefit of Vistagen and to fully and promptly disclose and assign to Vistagen,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compensation, all right, title and interest in and to any and all intellectual property embodied in such work product and deliverables. Works of authorship that are protectable by copyright are “works made for hire,” as that term is defined in the United States Copyright Act. As required by California law, the foregoing provision regarding intellectual property, specifically including any assignment obligations, shall not apply to any invention developed outside of the Services. Consultant agrees to sign all papers and take other actions, at Vistagen’s expense and reasonable request, to assign, secure and enforce rights to such intellectual property.</w:t>
      </w:r>
    </w:p>
    <w:p>
      <w:pPr>
        <w:spacing w:after="0" w:line="171"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RELATIONSHIP OF THE PARTIES. </w:t>
      </w:r>
      <w:r>
        <w:rPr>
          <w:rFonts w:ascii="Arial" w:cs="Arial" w:eastAsia="Arial" w:hAnsi="Arial"/>
          <w:sz w:val="18"/>
          <w:szCs w:val="18"/>
          <w:color w:val="auto"/>
        </w:rPr>
        <w:t>Consultant is an independent contractor to and not an employee of Vistagen. Vistagen will not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taxes or provide any benefits to Consultant, such as health insurance, leave, or any other employee benefits. Consultant will have no management activities, authority or responsibilities on behalf of Vistagen.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left="652" w:hanging="652"/>
        <w:spacing w:after="0" w:line="254"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Subject to the limitations set forth in Section 6, all information disclosed by one Party to the other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“Confidential Information.” Confidential Information may include, without limitation, any trade secret, patent application, technique, invention, idea, process, or formula; any sample, compound, extract, media, vector and/or cell line; any procedures and formulations for producing the foregoing; any data or information relating to any past, current and contemplated research and development activities, clinical trials, and the like; and any commercial, engineering, manufacturing, marketing, partnering, regulatory, servicing, financing or personnel matter, plan, program or strategy, suppliers, clients, customers, employees, investors, partners or business opportunities of a Party, whether in oral, written, visual, graphic or electronic form. All Confidential Information (including all copies thereof) shall remain at all times the property of the Party that discloses it (“Disclosing Party”).</w:t>
      </w:r>
    </w:p>
    <w:p>
      <w:pPr>
        <w:spacing w:after="0" w:line="191" w:lineRule="exact"/>
        <w:rPr>
          <w:rFonts w:ascii="Arial" w:cs="Arial" w:eastAsia="Arial" w:hAnsi="Arial"/>
          <w:sz w:val="18"/>
          <w:szCs w:val="18"/>
          <w:color w:val="auto"/>
        </w:rPr>
      </w:pPr>
    </w:p>
    <w:p>
      <w:pPr>
        <w:jc w:val="both"/>
        <w:ind w:left="652" w:hanging="652"/>
        <w:spacing w:after="0" w:line="277" w:lineRule="auto"/>
        <w:tabs>
          <w:tab w:leader="none" w:pos="652"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EXCLUSIONS FROM CONFIDENTIAL INFORMATION. </w:t>
      </w:r>
      <w:r>
        <w:rPr>
          <w:rFonts w:ascii="Arial" w:cs="Arial" w:eastAsia="Arial" w:hAnsi="Arial"/>
          <w:sz w:val="17"/>
          <w:szCs w:val="17"/>
          <w:color w:val="auto"/>
        </w:rPr>
        <w:t>Confidential Information shall not include information that the Party that receives</w:t>
      </w:r>
      <w:r>
        <w:rPr>
          <w:rFonts w:ascii="Arial" w:cs="Arial" w:eastAsia="Arial" w:hAnsi="Arial"/>
          <w:sz w:val="17"/>
          <w:szCs w:val="17"/>
          <w:b w:val="1"/>
          <w:bCs w:val="1"/>
          <w:color w:val="auto"/>
        </w:rPr>
        <w:t xml:space="preserve"> </w:t>
      </w:r>
      <w:r>
        <w:rPr>
          <w:rFonts w:ascii="Arial" w:cs="Arial" w:eastAsia="Arial" w:hAnsi="Arial"/>
          <w:sz w:val="17"/>
          <w:szCs w:val="17"/>
          <w:color w:val="auto"/>
        </w:rPr>
        <w:t>it (“Receiving Party”) can demonstrate by competent written proof: (a) is now, or hereafter, becomes generally known or available in the public domain through no act or failure to act by Receiving Party; (b) is already known by Receiving Party at the time of receiving such information; (c) is hereafter furnished to Receiving Party by a third party, as a matter of right and without restriction on disclosure; (d) is independently developed by Receiving Party without any use of the Confidential Information; or (e) is approved in writing for disclosure by Disclosing Party.</w:t>
      </w:r>
    </w:p>
    <w:p>
      <w:pPr>
        <w:spacing w:after="0" w:line="167" w:lineRule="exact"/>
        <w:rPr>
          <w:rFonts w:ascii="Arial" w:cs="Arial" w:eastAsia="Arial" w:hAnsi="Arial"/>
          <w:sz w:val="17"/>
          <w:szCs w:val="17"/>
          <w:color w:val="auto"/>
        </w:rPr>
      </w:pPr>
    </w:p>
    <w:p>
      <w:pPr>
        <w:jc w:val="both"/>
        <w:ind w:left="652" w:hanging="652"/>
        <w:spacing w:after="0" w:line="256"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DISCLOSURE DUE TO OPERATION OF LAW. </w:t>
      </w:r>
      <w:r>
        <w:rPr>
          <w:rFonts w:ascii="Arial" w:cs="Arial" w:eastAsia="Arial" w:hAnsi="Arial"/>
          <w:sz w:val="18"/>
          <w:szCs w:val="18"/>
          <w:color w:val="auto"/>
        </w:rPr>
        <w:t>Notwithstanding any other provision of this Agreement to the contrary, disclosure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by Receiving Party will not be precluded if such disclosure: (a) is made in response to a valid order of a court or other governmental body of the United States or any political subdivision thereof having competent jurisdiction; or (b) is otherwise required by law or regulation; provided, however, that Receiving Party shall first have given reasonable prior notice to Disclosing Party, to the extent legally permissible, and shall have made a reasonable effort to obtain a protective order requiring that the Confidential Information so disclosed be used only for the purposes for which the order was issued.</w:t>
      </w:r>
    </w:p>
    <w:p>
      <w:pPr>
        <w:spacing w:after="0" w:line="187"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ON USE. </w:t>
      </w:r>
      <w:r>
        <w:rPr>
          <w:rFonts w:ascii="Arial" w:cs="Arial" w:eastAsia="Arial" w:hAnsi="Arial"/>
          <w:sz w:val="18"/>
          <w:szCs w:val="18"/>
          <w:color w:val="auto"/>
        </w:rPr>
        <w:t>Receiving Party may use the Confidential Information only to the extent required to provide the Services and for no</w:t>
      </w:r>
      <w:r>
        <w:rPr>
          <w:rFonts w:ascii="Arial" w:cs="Arial" w:eastAsia="Arial" w:hAnsi="Arial"/>
          <w:sz w:val="18"/>
          <w:szCs w:val="18"/>
          <w:b w:val="1"/>
          <w:bCs w:val="1"/>
          <w:color w:val="auto"/>
        </w:rPr>
        <w:t xml:space="preserve"> </w:t>
      </w:r>
      <w:r>
        <w:rPr>
          <w:rFonts w:ascii="Arial" w:cs="Arial" w:eastAsia="Arial" w:hAnsi="Arial"/>
          <w:sz w:val="18"/>
          <w:szCs w:val="18"/>
          <w:color w:val="auto"/>
        </w:rPr>
        <w:t>other purpose. Receiving Party shall maintain all Confidential Information in trust and strict confidence and shall not disclose any of the Confidential Information to any other third party without Disclosing Party’s prior written consent.</w:t>
      </w:r>
    </w:p>
    <w:p>
      <w:pPr>
        <w:spacing w:after="0" w:line="175" w:lineRule="exact"/>
        <w:rPr>
          <w:rFonts w:ascii="Arial" w:cs="Arial" w:eastAsia="Arial" w:hAnsi="Arial"/>
          <w:sz w:val="18"/>
          <w:szCs w:val="18"/>
          <w:color w:val="auto"/>
        </w:rPr>
      </w:pPr>
    </w:p>
    <w:p>
      <w:pPr>
        <w:jc w:val="both"/>
        <w:ind w:left="652" w:hanging="652"/>
        <w:spacing w:after="0" w:line="266"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MAINTENANCE OF CONFIDENTIALITY. </w:t>
      </w:r>
      <w:r>
        <w:rPr>
          <w:rFonts w:ascii="Arial" w:cs="Arial" w:eastAsia="Arial" w:hAnsi="Arial"/>
          <w:sz w:val="18"/>
          <w:szCs w:val="18"/>
          <w:color w:val="auto"/>
        </w:rPr>
        <w:t>Receiving Party agrees to take reasonable measures to protect the secrecy of and avoid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and unauthorized use of the Confidential Information. Without limiting the foregoing, Receiving Party will take at least those measures that it takes to protect its own confidential information of a similar nature.</w:t>
      </w:r>
    </w:p>
    <w:p>
      <w:pPr>
        <w:spacing w:after="0" w:line="175" w:lineRule="exact"/>
        <w:rPr>
          <w:rFonts w:ascii="Arial" w:cs="Arial" w:eastAsia="Arial" w:hAnsi="Arial"/>
          <w:sz w:val="18"/>
          <w:szCs w:val="18"/>
          <w:color w:val="auto"/>
        </w:rPr>
      </w:pPr>
    </w:p>
    <w:p>
      <w:pPr>
        <w:ind w:left="652" w:hanging="652"/>
        <w:spacing w:after="0" w:line="282" w:lineRule="auto"/>
        <w:tabs>
          <w:tab w:leader="none" w:pos="6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NO LICENSE OR IMPLIED RIGHTS. </w:t>
      </w:r>
      <w:r>
        <w:rPr>
          <w:rFonts w:ascii="Arial" w:cs="Arial" w:eastAsia="Arial" w:hAnsi="Arial"/>
          <w:sz w:val="18"/>
          <w:szCs w:val="18"/>
          <w:color w:val="auto"/>
        </w:rPr>
        <w:t>No rights or licenses to copyrights, inventions, know-how, patents, trademarks, trade secrets,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intellectual property rights, are implied or granted under this Agreement except as expressly set forth herein.</w:t>
      </w:r>
    </w:p>
    <w:p>
      <w:pPr>
        <w:spacing w:after="0" w:line="165" w:lineRule="exact"/>
        <w:rPr>
          <w:rFonts w:ascii="Arial" w:cs="Arial" w:eastAsia="Arial" w:hAnsi="Arial"/>
          <w:sz w:val="18"/>
          <w:szCs w:val="18"/>
          <w:color w:val="auto"/>
        </w:rPr>
      </w:pPr>
    </w:p>
    <w:p>
      <w:pPr>
        <w:ind w:left="5572" w:hanging="106"/>
        <w:spacing w:after="0"/>
        <w:tabs>
          <w:tab w:leader="none" w:pos="5572" w:val="left"/>
        </w:tabs>
        <w:numPr>
          <w:ilvl w:val="1"/>
          <w:numId w:val="3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94" w:name="page95"/>
    <w:bookmarkEnd w:id="94"/>
    <w:p>
      <w:pPr>
        <w:jc w:val="both"/>
        <w:ind w:left="652" w:hanging="652"/>
        <w:spacing w:after="0" w:line="292" w:lineRule="auto"/>
        <w:tabs>
          <w:tab w:leader="none" w:pos="652"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TERM, TERMINATION AND SURVIVAL. </w:t>
      </w:r>
      <w:r>
        <w:rPr>
          <w:rFonts w:ascii="Arial" w:cs="Arial" w:eastAsia="Arial" w:hAnsi="Arial"/>
          <w:sz w:val="16"/>
          <w:szCs w:val="16"/>
          <w:color w:val="auto"/>
        </w:rPr>
        <w:t>This term of this Agreement will extend from November 11, 2022 (“Effective Date”) to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2024, unless earlier terminated or extended by mutual agreement. Each Party reserves the right, in its sole discretion, to terminate the Agreement at any time and for any reason, including no reason. Either Party may terminate this Agreement if the other Party commits a material breach of this Agreement that is not remedied within thirty (30) days after receiving written notice of such breach or within such other period as is reasonable under the circumstances. Receiving Party’s obligations regarding confidentiality under this Agreement will continue for a period of five (5) years after any expiration or termination of this Agreement. The provisions of this Agreement that expressly or by implication are intended to come into or remain in force on or after its expiration or termination shall remain in full force and effect, including Sections 4 – 8 and 10.</w:t>
      </w:r>
    </w:p>
    <w:p>
      <w:pPr>
        <w:spacing w:after="0" w:line="161" w:lineRule="exact"/>
        <w:rPr>
          <w:rFonts w:ascii="Arial" w:cs="Arial" w:eastAsia="Arial" w:hAnsi="Arial"/>
          <w:sz w:val="16"/>
          <w:szCs w:val="16"/>
          <w:color w:val="auto"/>
        </w:rPr>
      </w:pPr>
    </w:p>
    <w:p>
      <w:pPr>
        <w:jc w:val="both"/>
        <w:ind w:left="652" w:hanging="652"/>
        <w:spacing w:after="0" w:line="255"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TREATMENT OF CONFIDENTIAL INFORMATION UPON TERMINATION. </w:t>
      </w:r>
      <w:r>
        <w:rPr>
          <w:rFonts w:ascii="Arial" w:cs="Arial" w:eastAsia="Arial" w:hAnsi="Arial"/>
          <w:sz w:val="18"/>
          <w:szCs w:val="18"/>
          <w:color w:val="auto"/>
        </w:rPr>
        <w:t>Upon expiration or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Party shall promptly return or destroy, as directed by Disclosing Party, all copies of Confidential Information and provide Disclosing Party with all work product and deliverables described in the Services and confirm such actions in writing. Notwithstanding the foregoing, Receiving Party may retain copies of Confidential Information as is reasonably required to comply with its internal document retention policies or applicable law or to ensure its compliance with the provisions of this Agreement. In addition, Receiving Party will not be obligated to destroy copies of such information remaining on its standard computer back-up systems. Any Confidential Information so retained will continue to be subject to the terms of this Agreement for the period set forth herein.</w:t>
      </w:r>
    </w:p>
    <w:p>
      <w:pPr>
        <w:spacing w:after="0" w:line="188" w:lineRule="exact"/>
        <w:rPr>
          <w:rFonts w:ascii="Arial" w:cs="Arial" w:eastAsia="Arial" w:hAnsi="Arial"/>
          <w:sz w:val="18"/>
          <w:szCs w:val="18"/>
          <w:color w:val="auto"/>
        </w:rPr>
      </w:pPr>
    </w:p>
    <w:p>
      <w:pPr>
        <w:jc w:val="both"/>
        <w:ind w:left="652" w:hanging="652"/>
        <w:spacing w:after="0" w:line="261"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Consultant understands and agrees that money damages may not be a sufficient remedy for a breach of this Agreement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Vistagen will be entitled to seek specific performance, injunctive relief and/or other equitable relief as a remedy for any such breach. Such remedy shall not be deemed to be the exclusive remedy for a breach of this Agreement but shall be in addition to other remedies available at law or in equity.</w:t>
      </w:r>
    </w:p>
    <w:p>
      <w:pPr>
        <w:spacing w:after="0" w:line="179" w:lineRule="exact"/>
        <w:rPr>
          <w:rFonts w:ascii="Arial" w:cs="Arial" w:eastAsia="Arial" w:hAnsi="Arial"/>
          <w:sz w:val="18"/>
          <w:szCs w:val="18"/>
          <w:color w:val="auto"/>
        </w:rPr>
      </w:pPr>
    </w:p>
    <w:p>
      <w:pPr>
        <w:jc w:val="both"/>
        <w:ind w:left="652" w:hanging="652"/>
        <w:spacing w:after="0" w:line="303" w:lineRule="auto"/>
        <w:tabs>
          <w:tab w:leader="none" w:pos="652"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SECURITIES LAWS. </w:t>
      </w:r>
      <w:r>
        <w:rPr>
          <w:rFonts w:ascii="Arial" w:cs="Arial" w:eastAsia="Arial" w:hAnsi="Arial"/>
          <w:sz w:val="16"/>
          <w:szCs w:val="16"/>
          <w:color w:val="auto"/>
        </w:rPr>
        <w:t>Vistagen is a publicly traded company. Consultant acknowledges that: (i) trading in securities of Vistagen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securities legislation; (ii) as a result of the disclosure of the Confidential Information by Vistagen to Consultant, Consultant may possess material, non-public information of Vistagen; and (iii) any trading by Consultant or its Representatives in the securities of Vistagen while in possession of such material, non-public information may be a violation of applicable securities legislation and is at all times prohibited.</w:t>
      </w:r>
    </w:p>
    <w:p>
      <w:pPr>
        <w:spacing w:after="0" w:line="150" w:lineRule="exact"/>
        <w:rPr>
          <w:rFonts w:ascii="Arial" w:cs="Arial" w:eastAsia="Arial" w:hAnsi="Arial"/>
          <w:sz w:val="16"/>
          <w:szCs w:val="16"/>
          <w:color w:val="auto"/>
        </w:rPr>
      </w:pPr>
    </w:p>
    <w:p>
      <w:pPr>
        <w:jc w:val="both"/>
        <w:ind w:left="652" w:hanging="652"/>
        <w:spacing w:after="0" w:line="258"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All demands, notices and requests under this Agreement, other than routine communications, shall be in writing, in each case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of the other Party’s signatory at the address above. Either Party may give any notice under this Agreement by customary means (including personal delivery, overnight courier, or by certified postal delivery but expressly not including fax or email), and such notice or other communication shall not be deemed duly given when the Party for whom it is intended receives it. Any Party may change the address to which notices and other communications are to be delivered.</w:t>
      </w:r>
    </w:p>
    <w:p>
      <w:pPr>
        <w:spacing w:after="0" w:line="187" w:lineRule="exact"/>
        <w:rPr>
          <w:rFonts w:ascii="Arial" w:cs="Arial" w:eastAsia="Arial" w:hAnsi="Arial"/>
          <w:sz w:val="18"/>
          <w:szCs w:val="18"/>
          <w:color w:val="auto"/>
        </w:rPr>
      </w:pPr>
    </w:p>
    <w:p>
      <w:pPr>
        <w:ind w:left="5572" w:hanging="106"/>
        <w:spacing w:after="0"/>
        <w:tabs>
          <w:tab w:leader="none" w:pos="55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95" w:name="page96"/>
    <w:bookmarkEnd w:id="95"/>
    <w:p>
      <w:pPr>
        <w:ind w:left="652" w:hanging="652"/>
        <w:spacing w:after="0"/>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2" w:right="460" w:hanging="4"/>
        <w:spacing w:after="0" w:line="277" w:lineRule="auto"/>
        <w:tabs>
          <w:tab w:leader="none" w:pos="10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of the undersigned warrants that they have the authority to enter into this Agreement and to disclose the Confidential Information provided hereunder.</w:t>
      </w:r>
    </w:p>
    <w:p>
      <w:pPr>
        <w:spacing w:after="0" w:line="170" w:lineRule="exact"/>
        <w:rPr>
          <w:rFonts w:ascii="Arial" w:cs="Arial" w:eastAsia="Arial" w:hAnsi="Arial"/>
          <w:sz w:val="18"/>
          <w:szCs w:val="18"/>
          <w:color w:val="auto"/>
        </w:rPr>
      </w:pPr>
    </w:p>
    <w:p>
      <w:pPr>
        <w:ind w:left="652" w:hanging="4"/>
        <w:spacing w:after="0" w:line="277" w:lineRule="auto"/>
        <w:tabs>
          <w:tab w:leader="none" w:pos="10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performance of its permitted activities under this Agreement, each Party shall comply with all applicable laws, including all applicable export control, anti-corruption and anti-bribery laws and regulations.</w:t>
      </w:r>
    </w:p>
    <w:p>
      <w:pPr>
        <w:spacing w:after="0" w:line="170" w:lineRule="exact"/>
        <w:rPr>
          <w:rFonts w:ascii="Arial" w:cs="Arial" w:eastAsia="Arial" w:hAnsi="Arial"/>
          <w:sz w:val="18"/>
          <w:szCs w:val="18"/>
          <w:color w:val="auto"/>
        </w:rPr>
      </w:pPr>
    </w:p>
    <w:p>
      <w:pPr>
        <w:ind w:left="1032" w:hanging="384"/>
        <w:spacing w:after="0"/>
        <w:tabs>
          <w:tab w:leader="none" w:pos="10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the Parties and their successors and permitted assigns.</w:t>
      </w:r>
    </w:p>
    <w:p>
      <w:pPr>
        <w:spacing w:after="0" w:line="225" w:lineRule="exact"/>
        <w:rPr>
          <w:rFonts w:ascii="Arial" w:cs="Arial" w:eastAsia="Arial" w:hAnsi="Arial"/>
          <w:sz w:val="18"/>
          <w:szCs w:val="18"/>
          <w:color w:val="auto"/>
        </w:rPr>
      </w:pPr>
    </w:p>
    <w:p>
      <w:pPr>
        <w:ind w:left="652" w:right="180" w:hanging="4"/>
        <w:spacing w:after="0" w:line="277" w:lineRule="auto"/>
        <w:tabs>
          <w:tab w:leader="none" w:pos="10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Neither Party shall have the right to use the other Party’s name or likeness in any publications, publicity or other materials or presentations without obtaining the prior written consent of the other Party.</w:t>
      </w:r>
    </w:p>
    <w:p>
      <w:pPr>
        <w:spacing w:after="0" w:line="170" w:lineRule="exact"/>
        <w:rPr>
          <w:rFonts w:ascii="Arial" w:cs="Arial" w:eastAsia="Arial" w:hAnsi="Arial"/>
          <w:sz w:val="18"/>
          <w:szCs w:val="18"/>
          <w:color w:val="auto"/>
        </w:rPr>
      </w:pPr>
    </w:p>
    <w:p>
      <w:pPr>
        <w:ind w:left="652" w:right="140" w:hanging="4"/>
        <w:spacing w:after="0" w:line="286" w:lineRule="auto"/>
        <w:tabs>
          <w:tab w:leader="none" w:pos="1032" w:val="left"/>
        </w:tabs>
        <w:numPr>
          <w:ilvl w:val="1"/>
          <w:numId w:val="40"/>
        </w:numPr>
        <w:rPr>
          <w:rFonts w:ascii="Arial" w:cs="Arial" w:eastAsia="Arial" w:hAnsi="Arial"/>
          <w:sz w:val="17"/>
          <w:szCs w:val="17"/>
          <w:color w:val="auto"/>
        </w:rPr>
      </w:pPr>
      <w:r>
        <w:rPr>
          <w:rFonts w:ascii="Arial" w:cs="Arial" w:eastAsia="Arial" w:hAnsi="Arial"/>
          <w:sz w:val="17"/>
          <w:szCs w:val="17"/>
          <w:color w:val="auto"/>
        </w:rPr>
        <w:t>Neither this Agreement nor any rights or obligations under this Agreement are assignable by either Party without the prior written approval of the other Party, except that either Party may assign this Agreement to an Affiliate without such consent and Vistagen may assign this Agreement in the context of a sale of all or substantially all of its assets that relate to this Agreement without such consent.</w:t>
      </w:r>
    </w:p>
    <w:p>
      <w:pPr>
        <w:spacing w:after="0" w:line="165" w:lineRule="exact"/>
        <w:rPr>
          <w:rFonts w:ascii="Arial" w:cs="Arial" w:eastAsia="Arial" w:hAnsi="Arial"/>
          <w:sz w:val="17"/>
          <w:szCs w:val="17"/>
          <w:color w:val="auto"/>
        </w:rPr>
      </w:pPr>
    </w:p>
    <w:p>
      <w:pPr>
        <w:ind w:left="652" w:right="40" w:hanging="4"/>
        <w:spacing w:after="0" w:line="259" w:lineRule="auto"/>
        <w:tabs>
          <w:tab w:leader="none" w:pos="10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California as applied to disputes involving parties located entirely within the State and without giving effect to its choice of law provisions. Any claim or controversy arising out of or related to this Agreement, or any breach hereof, shall be submitted to a court of competent jurisdiction in the State of California, and each Party hereby consents to the jurisdiction and venue of such court.</w:t>
      </w:r>
    </w:p>
    <w:p>
      <w:pPr>
        <w:spacing w:after="0" w:line="186" w:lineRule="exact"/>
        <w:rPr>
          <w:rFonts w:ascii="Arial" w:cs="Arial" w:eastAsia="Arial" w:hAnsi="Arial"/>
          <w:sz w:val="18"/>
          <w:szCs w:val="18"/>
          <w:color w:val="auto"/>
        </w:rPr>
      </w:pPr>
    </w:p>
    <w:p>
      <w:pPr>
        <w:ind w:left="1032" w:hanging="384"/>
        <w:spacing w:after="0"/>
        <w:tabs>
          <w:tab w:leader="none" w:pos="10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has been prepared in the English language and the English language shall control its interpretation.</w:t>
      </w:r>
    </w:p>
    <w:p>
      <w:pPr>
        <w:spacing w:after="0" w:line="225" w:lineRule="exact"/>
        <w:rPr>
          <w:rFonts w:ascii="Arial" w:cs="Arial" w:eastAsia="Arial" w:hAnsi="Arial"/>
          <w:sz w:val="18"/>
          <w:szCs w:val="18"/>
          <w:color w:val="auto"/>
        </w:rPr>
      </w:pPr>
    </w:p>
    <w:p>
      <w:pPr>
        <w:jc w:val="both"/>
        <w:ind w:left="652" w:hanging="4"/>
        <w:spacing w:after="0" w:line="263" w:lineRule="auto"/>
        <w:tabs>
          <w:tab w:leader="none" w:pos="103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constitutes the final, complete and exclusive agreement of the Parties relative to the subject matter hereof and supersedes all prior and contemporaneous understandings and agreements relating to its subject matter. This Agreement may not be changed, modified, amended or supplemented except by a written instrument signed by both Parties.</w:t>
      </w:r>
    </w:p>
    <w:p>
      <w:pPr>
        <w:spacing w:after="0" w:line="183" w:lineRule="exact"/>
        <w:rPr>
          <w:rFonts w:ascii="Arial" w:cs="Arial" w:eastAsia="Arial" w:hAnsi="Arial"/>
          <w:sz w:val="18"/>
          <w:szCs w:val="18"/>
          <w:color w:val="auto"/>
        </w:rPr>
      </w:pPr>
    </w:p>
    <w:p>
      <w:pPr>
        <w:ind w:left="992" w:hanging="344"/>
        <w:spacing w:after="0"/>
        <w:tabs>
          <w:tab w:leader="none" w:pos="9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Section headings are included for convenience only and will not be deemed to be a part of this Agreement.</w:t>
      </w:r>
    </w:p>
    <w:p>
      <w:pPr>
        <w:spacing w:after="0" w:line="225" w:lineRule="exact"/>
        <w:rPr>
          <w:rFonts w:ascii="Arial" w:cs="Arial" w:eastAsia="Arial" w:hAnsi="Arial"/>
          <w:sz w:val="18"/>
          <w:szCs w:val="18"/>
          <w:color w:val="auto"/>
        </w:rPr>
      </w:pPr>
    </w:p>
    <w:p>
      <w:pPr>
        <w:ind w:left="652" w:right="80" w:hanging="4"/>
        <w:spacing w:after="0" w:line="259" w:lineRule="auto"/>
        <w:tabs>
          <w:tab w:leader="none" w:pos="9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failure to enforce any provision of this Agreement shall not constitute a waiver thereof or of any other provision, nor will any single or partial exercise thereof preclude any other or further exercise thereof or the exercise of any other right, power or privilege hereunder. To be effective hereunder, any waiver of any right, power, or privilege hereunder shall be in writing and signed by the Party against whom the waiver is sought to be enforced.</w:t>
      </w:r>
    </w:p>
    <w:p>
      <w:pPr>
        <w:spacing w:after="0" w:line="186" w:lineRule="exact"/>
        <w:rPr>
          <w:rFonts w:ascii="Arial" w:cs="Arial" w:eastAsia="Arial" w:hAnsi="Arial"/>
          <w:sz w:val="18"/>
          <w:szCs w:val="18"/>
          <w:color w:val="auto"/>
        </w:rPr>
      </w:pPr>
    </w:p>
    <w:p>
      <w:pPr>
        <w:ind w:left="5572" w:hanging="106"/>
        <w:spacing w:after="0"/>
        <w:tabs>
          <w:tab w:leader="none" w:pos="55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96" w:name="page97"/>
    <w:bookmarkEnd w:id="96"/>
    <w:p>
      <w:pPr>
        <w:ind w:left="660" w:hanging="4"/>
        <w:spacing w:after="0" w:line="279" w:lineRule="auto"/>
        <w:tabs>
          <w:tab w:leader="none" w:pos="105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into this Agreement may be realized.</w:t>
      </w:r>
    </w:p>
    <w:p>
      <w:pPr>
        <w:spacing w:after="0" w:line="171" w:lineRule="exact"/>
        <w:rPr>
          <w:rFonts w:ascii="Arial" w:cs="Arial" w:eastAsia="Arial" w:hAnsi="Arial"/>
          <w:sz w:val="17"/>
          <w:szCs w:val="17"/>
          <w:color w:val="auto"/>
        </w:rPr>
      </w:pPr>
    </w:p>
    <w:p>
      <w:pPr>
        <w:ind w:left="660" w:right="120" w:hanging="4"/>
        <w:spacing w:after="0" w:line="257" w:lineRule="auto"/>
        <w:tabs>
          <w:tab w:leader="none" w:pos="10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Party shall be deemed to have defaulted under or to be in breach of this Agreement for failure or delay in fulfilling material obligations when such failure or delay is directly caused by an event outside of their reasonable control, including but not limited to war, acts of war, insurrections, acts of terrorism, epidemics or pandemics, or acts of God (a “Force Majeure Event”). Each Party shall inform the other promptly and in writing of any such Force Majeure Event and the Parties will discuss the situation, and acting in good faith, agree on the appropriate course of action under the circumstances.</w:t>
      </w:r>
    </w:p>
    <w:p>
      <w:pPr>
        <w:spacing w:after="0" w:line="187" w:lineRule="exact"/>
        <w:rPr>
          <w:rFonts w:ascii="Arial" w:cs="Arial" w:eastAsia="Arial" w:hAnsi="Arial"/>
          <w:sz w:val="18"/>
          <w:szCs w:val="18"/>
          <w:color w:val="auto"/>
        </w:rPr>
      </w:pPr>
    </w:p>
    <w:p>
      <w:pPr>
        <w:ind w:left="660" w:hanging="4"/>
        <w:spacing w:after="0" w:line="286" w:lineRule="auto"/>
        <w:tabs>
          <w:tab w:leader="none" w:pos="11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the convenience of the Parties, this Agreement may be executed in counterparts, each of which shall be deemed an original, but all of which together shall constitute one and the same instrument. This Agreement may be executed in PDF form or by other electronically transmitted signatures and such signatures will be deemed to bind each Party as if they were the original signatures.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54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IN WITNESS WHEREOF</w:t>
            </w:r>
            <w:r>
              <w:rPr>
                <w:rFonts w:ascii="Arial" w:cs="Arial" w:eastAsia="Arial" w:hAnsi="Arial"/>
                <w:sz w:val="18"/>
                <w:szCs w:val="18"/>
                <w:color w:val="auto"/>
                <w:w w:val="98"/>
              </w:rPr>
              <w:t>, each Party has caused the Agreement to be executed effective as of the date set forth above.</w:t>
            </w: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AGREED TO:</w:t>
            </w:r>
          </w:p>
        </w:tc>
        <w:tc>
          <w:tcPr>
            <w:tcW w:w="5600" w:type="dxa"/>
            <w:vAlign w:val="bottom"/>
            <w:gridSpan w:val="2"/>
          </w:tcPr>
          <w:p>
            <w:pPr>
              <w:ind w:left="1120"/>
              <w:spacing w:after="0"/>
              <w:rPr>
                <w:sz w:val="20"/>
                <w:szCs w:val="20"/>
                <w:color w:val="auto"/>
              </w:rPr>
            </w:pPr>
            <w:r>
              <w:rPr>
                <w:rFonts w:ascii="Arial" w:cs="Arial" w:eastAsia="Arial" w:hAnsi="Arial"/>
                <w:sz w:val="18"/>
                <w:szCs w:val="18"/>
                <w:color w:val="auto"/>
              </w:rPr>
              <w:t>AGREED TO:</w:t>
            </w: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VISTAGEN THERAPEUTICS, INC.</w:t>
            </w:r>
          </w:p>
        </w:tc>
        <w:tc>
          <w:tcPr>
            <w:tcW w:w="5600" w:type="dxa"/>
            <w:vAlign w:val="bottom"/>
            <w:gridSpan w:val="2"/>
          </w:tcPr>
          <w:p>
            <w:pPr>
              <w:ind w:left="1120"/>
              <w:spacing w:after="0"/>
              <w:rPr>
                <w:sz w:val="20"/>
                <w:szCs w:val="20"/>
                <w:color w:val="auto"/>
              </w:rPr>
            </w:pPr>
            <w:r>
              <w:rPr>
                <w:rFonts w:ascii="Arial" w:cs="Arial" w:eastAsia="Arial" w:hAnsi="Arial"/>
                <w:sz w:val="18"/>
                <w:szCs w:val="18"/>
                <w:b w:val="1"/>
                <w:bCs w:val="1"/>
                <w:color w:val="auto"/>
              </w:rPr>
              <w:t>CONSULTANT</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K. Singh</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M. Cunningham</w:t>
            </w:r>
          </w:p>
        </w:tc>
      </w:tr>
      <w:tr>
        <w:trPr>
          <w:trHeight w:val="426"/>
        </w:trPr>
        <w:tc>
          <w:tcPr>
            <w:tcW w:w="4520" w:type="dxa"/>
            <w:vAlign w:val="bottom"/>
            <w:gridSpan w:val="2"/>
          </w:tcPr>
          <w:p>
            <w:pPr>
              <w:spacing w:after="0"/>
              <w:rPr>
                <w:sz w:val="20"/>
                <w:szCs w:val="20"/>
                <w:color w:val="auto"/>
              </w:rPr>
            </w:pPr>
            <w:r>
              <w:rPr>
                <w:rFonts w:ascii="Arial" w:cs="Arial" w:eastAsia="Arial" w:hAnsi="Arial"/>
                <w:sz w:val="18"/>
                <w:szCs w:val="18"/>
                <w:color w:val="auto"/>
              </w:rPr>
              <w:t>Name: Shawn K. Singh, J.D.</w:t>
            </w:r>
          </w:p>
        </w:tc>
        <w:tc>
          <w:tcPr>
            <w:tcW w:w="5600" w:type="dxa"/>
            <w:vAlign w:val="bottom"/>
            <w:gridSpan w:val="2"/>
          </w:tcPr>
          <w:p>
            <w:pPr>
              <w:ind w:left="1120"/>
              <w:spacing w:after="0"/>
              <w:rPr>
                <w:sz w:val="20"/>
                <w:szCs w:val="20"/>
                <w:color w:val="auto"/>
              </w:rPr>
            </w:pPr>
            <w:r>
              <w:rPr>
                <w:rFonts w:ascii="Arial" w:cs="Arial" w:eastAsia="Arial" w:hAnsi="Arial"/>
                <w:sz w:val="18"/>
                <w:szCs w:val="18"/>
                <w:color w:val="auto"/>
              </w:rPr>
              <w:t>Name: Ann M. Cunningham</w:t>
            </w: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Managing Partner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2022</w:t>
            </w:r>
          </w:p>
        </w:tc>
        <w:tc>
          <w:tcPr>
            <w:tcW w:w="1680" w:type="dxa"/>
            <w:vAlign w:val="bottom"/>
          </w:tcPr>
          <w:p>
            <w:pPr>
              <w:ind w:left="112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(Appendix A is attached)</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98" w:name="page99"/>
    <w:bookmarkEnd w:id="98"/>
    <w:p>
      <w:pPr>
        <w:jc w:val="center"/>
        <w:ind w:right="-2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Services to be Provided by Consultant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OBJECTIVE:</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Provide corporate development and strategic advisory services to senior management and internal Tiger Teams regarding development and commercialization, including potential corporate partnering, of the Company’s clinical stage drug candidates, PH94B, PH10 and AV-101, for neuropsychiatric and neurological disorders, with primary emphasis on PH94B for treatment of Social Anxiety Disorder (SAD) and PH10 for Major Depression Disorder (MDD).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Services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Advise and support senior management on strategic imperatives and critical success factors.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 qualitative research as needed and act as point of contact on any quantitative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 current primary and secondary research, data and analyses germane to the Company’s pipeline and competitive landscape.</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and fill gaps in Company understanding of key market dynamics – unmet needs, customer insights (patient, HCP and payer), market access environment, competition, etc.</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Advise on worldwide market potential for PH94B and PH10, including market size, market and treatment dynamics, etc.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Advise on Company’s “Neurobiology of Fear”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Support Company’s ongoing maintenance of Thought Leader Advisory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Support Company’s positioning exercise and brand story development.</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Support key initiatives and communication objectives, including, but not limited to, supporting Company’s CEO in discussions with Wall Street analysts and bankers, as well as institutional investors and existing and potential drug development and commercialization collaborators.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from Vistagen to Consultant: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Vistagen agrees to provide compensation to Consultant as follows, by check or wire to a U.S. bank account: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$120,000 for Services from the Effective Date through March 31, 2023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$10,000 per month for Services from April 1, 2023, through March 31, 2024</w:t>
      </w:r>
    </w:p>
    <w:p>
      <w:pPr>
        <w:spacing w:after="0" w:line="9" w:lineRule="exact"/>
        <w:rPr>
          <w:rFonts w:ascii="Arial" w:cs="Arial" w:eastAsia="Arial" w:hAnsi="Arial"/>
          <w:sz w:val="18"/>
          <w:szCs w:val="18"/>
          <w:color w:val="auto"/>
        </w:rPr>
      </w:pPr>
    </w:p>
    <w:p>
      <w:pPr>
        <w:ind w:left="660" w:right="680" w:hanging="328"/>
        <w:spacing w:after="0" w:line="26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Reasonable expenses will be reimbursed by Vistagen at cost. Substantial expenses not in the usual course of business, airfare and hotel accommodations must be pre-approved by Vistagen.</w:t>
      </w:r>
    </w:p>
    <w:p>
      <w:pPr>
        <w:spacing w:after="0" w:line="185" w:lineRule="exact"/>
        <w:rPr>
          <w:rFonts w:ascii="Arial" w:cs="Arial" w:eastAsia="Arial" w:hAnsi="Arial"/>
          <w:sz w:val="18"/>
          <w:szCs w:val="18"/>
          <w:color w:val="auto"/>
        </w:rPr>
      </w:pPr>
    </w:p>
    <w:p>
      <w:pPr>
        <w:ind w:left="5580" w:hanging="106"/>
        <w:spacing w:after="0"/>
        <w:tabs>
          <w:tab w:leader="none" w:pos="5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20"/>
          </w:cols>
          <w:pgMar w:left="320" w:top="580" w:right="559" w:bottom="1440" w:gutter="0" w:footer="0" w:header="0"/>
        </w:sectPr>
      </w:pPr>
    </w:p>
    <w:bookmarkStart w:id="99" w:name="page100"/>
    <w:bookmarkEnd w:id="9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5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26"/>
        <w:spacing w:after="0" w:line="263"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4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November 10, 2022</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30"/>
        </w:trPr>
        <w:tc>
          <w:tcPr>
            <w:tcW w:w="56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4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4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26"/>
        <w:spacing w:after="0" w:line="263"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4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November 10, 2022</w:t>
      </w:r>
      <w:r>
        <w:rPr>
          <w:sz w:val="20"/>
          <w:szCs w:val="20"/>
          <w:color w:val="auto"/>
        </w:rPr>
        <w:tab/>
      </w:r>
      <w:r>
        <w:rPr>
          <w:rFonts w:ascii="Arial" w:cs="Arial" w:eastAsia="Arial" w:hAnsi="Arial"/>
          <w:sz w:val="16"/>
          <w:szCs w:val="16"/>
          <w:color w:val="auto"/>
        </w:rPr>
        <w:t>Jerrold D. Dotson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2022,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1000" w:hanging="33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1000" w:right="580" w:hanging="331"/>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20"/>
    </w:lvl>
  </w:abstractNum>
  <w:abstractNum w:abstractNumId="3">
    <w:nsid w:val="79838CB2"/>
    <w:multiLevelType w:val="hybridMultilevel"/>
    <w:lvl w:ilvl="0">
      <w:lvlJc w:val="left"/>
      <w:lvlText w:val="(%1)"/>
      <w:numFmt w:val="lowerRoman"/>
      <w:start w:val="3"/>
    </w:lvl>
  </w:abstractNum>
  <w:abstractNum w:abstractNumId="4">
    <w:nsid w:val="4353D0CD"/>
    <w:multiLevelType w:val="hybridMultilevel"/>
    <w:lvl w:ilvl="0">
      <w:lvlJc w:val="left"/>
      <w:lvlText w:val="(%1)"/>
      <w:numFmt w:val="lowerRoman"/>
      <w:start w:val="3"/>
    </w:lvl>
  </w:abstractNum>
  <w:abstractNum w:abstractNumId="5">
    <w:nsid w:val="B03E0C6"/>
    <w:multiLevelType w:val="hybridMultilevel"/>
    <w:lvl w:ilvl="0">
      <w:lvlJc w:val="left"/>
      <w:lvlText w:val="%1."/>
      <w:numFmt w:val="lowerRoman"/>
      <w:start w:val="1"/>
    </w:lvl>
  </w:abstractNum>
  <w:abstractNum w:abstractNumId="6">
    <w:nsid w:val="189A769B"/>
    <w:multiLevelType w:val="hybridMultilevel"/>
    <w:lvl w:ilvl="0">
      <w:lvlJc w:val="left"/>
      <w:lvlText w:val="(%1)"/>
      <w:numFmt w:val="lowerRoman"/>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lvl w:ilvl="1">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5"/>
    </w:lvl>
    <w:lvl w:ilvl="1">
      <w:lvlJc w:val="left"/>
      <w:lvlText w:val="-"/>
      <w:numFmt w:val="bullet"/>
      <w:start w:val="1"/>
    </w:lvl>
  </w:abstractNum>
  <w:abstractNum w:abstractNumId="32">
    <w:nsid w:val="51EAD36B"/>
    <w:multiLevelType w:val="hybridMultilevel"/>
    <w:lvl w:ilvl="0">
      <w:lvlJc w:val="left"/>
      <w:lvlText w:val="%1."/>
      <w:numFmt w:val="decimal"/>
      <w:start w:val="10"/>
    </w:lvl>
    <w:lvl w:ilvl="1">
      <w:lvlJc w:val="left"/>
      <w:lvlText w:val="-"/>
      <w:numFmt w:val="bullet"/>
      <w:start w:val="1"/>
    </w:lvl>
  </w:abstractNum>
  <w:abstractNum w:abstractNumId="33">
    <w:nsid w:val="2D517796"/>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34">
    <w:nsid w:val="580BD78F"/>
    <w:multiLevelType w:val="hybridMultilevel"/>
    <w:lvl w:ilvl="0">
      <w:lvlJc w:val="left"/>
      <w:lvlText w:val="(%1)"/>
      <w:numFmt w:val="lowerLetter"/>
      <w:start w:val="10"/>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5"/>
    </w:lvl>
    <w:lvl w:ilvl="1">
      <w:lvlJc w:val="left"/>
      <w:lvlText w:val="-"/>
      <w:numFmt w:val="bullet"/>
      <w:start w:val="1"/>
    </w:lvl>
  </w:abstractNum>
  <w:abstractNum w:abstractNumId="38">
    <w:nsid w:val="6A2342EC"/>
    <w:multiLevelType w:val="hybridMultilevel"/>
    <w:lvl w:ilvl="0">
      <w:lvlJc w:val="left"/>
      <w:lvlText w:val="%1."/>
      <w:numFmt w:val="decimal"/>
      <w:start w:val="11"/>
    </w:lvl>
    <w:lvl w:ilvl="1">
      <w:lvlJc w:val="left"/>
      <w:lvlText w:val="-"/>
      <w:numFmt w:val="bullet"/>
      <w:start w:val="1"/>
    </w:lvl>
  </w:abstractNum>
  <w:abstractNum w:abstractNumId="39">
    <w:nsid w:val="2A487CB0"/>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40">
    <w:nsid w:val="1D4ED43B"/>
    <w:multiLevelType w:val="hybridMultilevel"/>
    <w:lvl w:ilvl="0">
      <w:lvlJc w:val="left"/>
      <w:lvlText w:val="(%1)"/>
      <w:numFmt w:val="lowerLetter"/>
      <w:start w:val="1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lvl w:ilvl="1">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81" Type="http://schemas.openxmlformats.org/officeDocument/2006/relationships/hyperlink" Target="http://www.sec.gov/Archives/edgar/data/1411685/000185173422000516/ex_418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2022-11-10T17:16:58Z</dcterms:created>
  <dcterms:modified xsi:type="dcterms:W3CDTF">2022-11-10T17:16:58Z</dcterms:modified>
</cp:coreProperties>
</file>