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92840H202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1"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Rule 13d-1(b)</w:t>
      </w:r>
    </w:p>
    <w:p>
      <w:pPr>
        <w:spacing w:after="0" w:line="229"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Rule 13d-1(c)</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firstLine="8"/>
        <w:spacing w:after="0" w:line="282" w:lineRule="auto"/>
        <w:tabs>
          <w:tab w:leader="none" w:pos="13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2" w:lineRule="exact"/>
        <w:rPr>
          <w:sz w:val="24"/>
          <w:szCs w:val="24"/>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400" w:hanging="744"/>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1" w:lineRule="exact"/>
        <w:rPr>
          <w:rFonts w:ascii="Times New Roman" w:cs="Times New Roman" w:eastAsia="Times New Roman" w:hAnsi="Times New Roman"/>
          <w:sz w:val="18"/>
          <w:szCs w:val="18"/>
          <w:color w:val="auto"/>
        </w:rPr>
      </w:pP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Acuta Capital Partners, LLC</w:t>
      </w:r>
    </w:p>
    <w:p>
      <w:pPr>
        <w:spacing w:after="0" w:line="200" w:lineRule="exact"/>
        <w:rPr>
          <w:rFonts w:ascii="Times New Roman" w:cs="Times New Roman" w:eastAsia="Times New Roman" w:hAnsi="Times New Roman"/>
          <w:sz w:val="18"/>
          <w:szCs w:val="18"/>
          <w:color w:val="auto"/>
        </w:rPr>
      </w:pPr>
    </w:p>
    <w:p>
      <w:pPr>
        <w:spacing w:after="0" w:line="299"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5" w:lineRule="exact"/>
        <w:rPr>
          <w:rFonts w:ascii="Times New Roman" w:cs="Times New Roman" w:eastAsia="Times New Roman" w:hAnsi="Times New Roman"/>
          <w:sz w:val="18"/>
          <w:szCs w:val="18"/>
          <w:color w:val="auto"/>
        </w:rPr>
      </w:pPr>
    </w:p>
    <w:p>
      <w:pPr>
        <w:ind w:left="1640" w:hanging="242"/>
        <w:spacing w:after="0"/>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7" w:lineRule="exact"/>
        <w:rPr>
          <w:rFonts w:ascii="Times New Roman" w:cs="Times New Roman" w:eastAsia="Times New Roman" w:hAnsi="Times New Roman"/>
          <w:sz w:val="18"/>
          <w:szCs w:val="18"/>
          <w:color w:val="auto"/>
        </w:rPr>
      </w:pPr>
    </w:p>
    <w:p>
      <w:pPr>
        <w:ind w:left="1660" w:hanging="262"/>
        <w:spacing w:after="0"/>
        <w:tabs>
          <w:tab w:leader="none" w:pos="1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 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1400" w:hanging="744"/>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2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Voting Power</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98"/>
        </w:trPr>
        <w:tc>
          <w:tcPr>
            <w:tcW w:w="158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2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Voting Power</w:t>
            </w:r>
          </w:p>
        </w:tc>
        <w:tc>
          <w:tcPr>
            <w:tcW w:w="1780" w:type="dxa"/>
            <w:vAlign w:val="bottom"/>
          </w:tcPr>
          <w:p>
            <w:pPr>
              <w:jc w:val="right"/>
              <w:spacing w:after="0" w:line="247" w:lineRule="exact"/>
              <w:rPr>
                <w:sz w:val="20"/>
                <w:szCs w:val="20"/>
                <w:color w:val="auto"/>
              </w:rPr>
            </w:pPr>
            <w:r>
              <w:rPr>
                <w:rFonts w:ascii="Times New Roman" w:cs="Times New Roman" w:eastAsia="Times New Roman" w:hAnsi="Times New Roman"/>
                <w:sz w:val="17"/>
                <w:szCs w:val="17"/>
                <w:b w:val="1"/>
                <w:bCs w:val="1"/>
                <w:color w:val="auto"/>
              </w:rPr>
              <w:t>7,500,000</w:t>
            </w:r>
            <w:r>
              <w:rPr>
                <w:rFonts w:ascii="Times New Roman" w:cs="Times New Roman" w:eastAsia="Times New Roman" w:hAnsi="Times New Roman"/>
                <w:sz w:val="28"/>
                <w:szCs w:val="28"/>
                <w:b w:val="1"/>
                <w:bCs w:val="1"/>
                <w:color w:val="auto"/>
                <w:vertAlign w:val="superscript"/>
              </w:rPr>
              <w:t>(1)</w:t>
            </w:r>
          </w:p>
        </w:tc>
        <w:tc>
          <w:tcPr>
            <w:tcW w:w="0" w:type="dxa"/>
            <w:vAlign w:val="bottom"/>
          </w:tcPr>
          <w:p>
            <w:pPr>
              <w:spacing w:after="0"/>
              <w:rPr>
                <w:sz w:val="1"/>
                <w:szCs w:val="1"/>
                <w:color w:val="auto"/>
              </w:rPr>
            </w:pPr>
          </w:p>
        </w:tc>
      </w:tr>
      <w:tr>
        <w:trPr>
          <w:trHeight w:val="184"/>
        </w:trPr>
        <w:tc>
          <w:tcPr>
            <w:tcW w:w="15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Beneficially</w:t>
            </w:r>
          </w:p>
        </w:tc>
        <w:tc>
          <w:tcPr>
            <w:tcW w:w="8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2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Dispositive Power</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98"/>
        </w:trPr>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Each Reporting</w:t>
            </w:r>
          </w:p>
        </w:tc>
        <w:tc>
          <w:tcPr>
            <w:tcW w:w="8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8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29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7,500,000</w:t>
            </w:r>
            <w:r>
              <w:rPr>
                <w:rFonts w:ascii="Times New Roman" w:cs="Times New Roman" w:eastAsia="Times New Roman" w:hAnsi="Times New Roman"/>
                <w:sz w:val="29"/>
                <w:szCs w:val="29"/>
                <w:b w:val="1"/>
                <w:bCs w:val="1"/>
                <w:color w:val="auto"/>
                <w:vertAlign w:val="superscript"/>
              </w:rPr>
              <w:t>(1)</w:t>
            </w:r>
          </w:p>
        </w:tc>
        <w:tc>
          <w:tcPr>
            <w:tcW w:w="0" w:type="dxa"/>
            <w:vAlign w:val="bottom"/>
          </w:tcPr>
          <w:p>
            <w:pPr>
              <w:spacing w:after="0"/>
              <w:rPr>
                <w:sz w:val="1"/>
                <w:szCs w:val="1"/>
                <w:color w:val="auto"/>
              </w:rPr>
            </w:pPr>
          </w:p>
        </w:tc>
      </w:tr>
      <w:tr>
        <w:trPr>
          <w:trHeight w:val="244"/>
        </w:trPr>
        <w:tc>
          <w:tcPr>
            <w:tcW w:w="158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2980" w:type="dxa"/>
            <w:vAlign w:val="bottom"/>
            <w:vMerge w:val="continue"/>
          </w:tcPr>
          <w:p>
            <w:pPr>
              <w:spacing w:after="0"/>
              <w:rPr>
                <w:sz w:val="21"/>
                <w:szCs w:val="21"/>
                <w:color w:val="auto"/>
              </w:rPr>
            </w:pPr>
          </w:p>
        </w:tc>
        <w:tc>
          <w:tcPr>
            <w:tcW w:w="1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-257175</wp:posOffset>
            </wp:positionV>
            <wp:extent cx="58978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97880" cy="171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-548640</wp:posOffset>
            </wp:positionV>
            <wp:extent cx="58978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97880" cy="171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-840105</wp:posOffset>
            </wp:positionV>
            <wp:extent cx="58978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978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7,500,000</w:t>
      </w:r>
      <w:r>
        <w:rPr>
          <w:rFonts w:ascii="Times New Roman" w:cs="Times New Roman" w:eastAsia="Times New Roman" w:hAnsi="Times New Roman"/>
          <w:sz w:val="28"/>
          <w:szCs w:val="28"/>
          <w:b w:val="1"/>
          <w:bCs w:val="1"/>
          <w:color w:val="auto"/>
          <w:vertAlign w:val="superscript"/>
        </w:rPr>
        <w:t>(1)</w:t>
      </w:r>
    </w:p>
    <w:p>
      <w:pPr>
        <w:spacing w:after="0" w:line="3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_____</w:t>
      </w:r>
    </w:p>
    <w:p>
      <w:pPr>
        <w:spacing w:after="0" w:line="200" w:lineRule="exact"/>
        <w:rPr>
          <w:sz w:val="20"/>
          <w:szCs w:val="20"/>
          <w:color w:val="auto"/>
        </w:rPr>
      </w:pPr>
    </w:p>
    <w:p>
      <w:pPr>
        <w:sectPr>
          <w:pgSz w:w="11900" w:h="16838" w:orient="portrait"/>
          <w:cols w:equalWidth="0" w:num="2">
            <w:col w:w="9620" w:space="720"/>
            <w:col w:w="900"/>
          </w:cols>
          <w:pgMar w:left="320" w:top="225" w:right="339" w:bottom="1440" w:gutter="0" w:footer="0" w:header="0"/>
          <w:type w:val="continuous"/>
        </w:sect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r>
      <w:tr>
        <w:trPr>
          <w:trHeight w:val="223"/>
        </w:trPr>
        <w:tc>
          <w:tcPr>
            <w:tcW w:w="1100" w:type="dxa"/>
            <w:vAlign w:val="bottom"/>
            <w:tcBorders>
              <w:bottom w:val="single" w:sz="8" w:color="auto"/>
            </w:tcBorders>
          </w:tcPr>
          <w:p>
            <w:pPr>
              <w:spacing w:after="0"/>
              <w:rPr>
                <w:sz w:val="19"/>
                <w:szCs w:val="19"/>
                <w:color w:val="auto"/>
              </w:rPr>
            </w:pPr>
          </w:p>
        </w:tc>
        <w:tc>
          <w:tcPr>
            <w:tcW w:w="678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r>
      <w:tr>
        <w:trPr>
          <w:trHeight w:val="432"/>
        </w:trPr>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OO, 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firstLine="8"/>
        <w:spacing w:after="0" w:line="223" w:lineRule="auto"/>
        <w:tabs>
          <w:tab w:leader="none" w:pos="212" w:val="left"/>
        </w:tabs>
        <w:numPr>
          <w:ilvl w:val="0"/>
          <w:numId w:val="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Excludes an aggregate of 240,741 shares of Series D Convertible Preferred Stock that will become convertible into 5,537,043 shares of Common Stock upon approval of the Issuer’s stockholders, subject to a 9.99% beneficial ownership limitation.</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400" w:hanging="74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1" w:lineRule="exact"/>
        <w:rPr>
          <w:rFonts w:ascii="Times New Roman" w:cs="Times New Roman" w:eastAsia="Times New Roman" w:hAnsi="Times New Roman"/>
          <w:sz w:val="18"/>
          <w:szCs w:val="18"/>
          <w:color w:val="auto"/>
        </w:rPr>
      </w:pP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Anupam Dalal</w:t>
      </w:r>
    </w:p>
    <w:p>
      <w:pPr>
        <w:spacing w:after="0" w:line="200" w:lineRule="exact"/>
        <w:rPr>
          <w:rFonts w:ascii="Times New Roman" w:cs="Times New Roman" w:eastAsia="Times New Roman" w:hAnsi="Times New Roman"/>
          <w:sz w:val="18"/>
          <w:szCs w:val="18"/>
          <w:color w:val="auto"/>
        </w:rPr>
      </w:pPr>
    </w:p>
    <w:p>
      <w:pPr>
        <w:spacing w:after="0" w:line="299"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5" w:lineRule="exact"/>
        <w:rPr>
          <w:rFonts w:ascii="Times New Roman" w:cs="Times New Roman" w:eastAsia="Times New Roman" w:hAnsi="Times New Roman"/>
          <w:sz w:val="18"/>
          <w:szCs w:val="18"/>
          <w:color w:val="auto"/>
        </w:rPr>
      </w:pPr>
    </w:p>
    <w:p>
      <w:pPr>
        <w:ind w:left="1640" w:hanging="242"/>
        <w:spacing w:after="0"/>
        <w:tabs>
          <w:tab w:leader="none" w:pos="1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7" w:lineRule="exact"/>
        <w:rPr>
          <w:rFonts w:ascii="Times New Roman" w:cs="Times New Roman" w:eastAsia="Times New Roman" w:hAnsi="Times New Roman"/>
          <w:sz w:val="18"/>
          <w:szCs w:val="18"/>
          <w:color w:val="auto"/>
        </w:rPr>
      </w:pPr>
    </w:p>
    <w:p>
      <w:pPr>
        <w:ind w:left="1660" w:hanging="262"/>
        <w:spacing w:after="0"/>
        <w:tabs>
          <w:tab w:leader="none" w:pos="1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 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1400" w:hanging="744"/>
        <w:spacing w:after="0"/>
        <w:tabs>
          <w:tab w:leader="none" w:pos="1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2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Voting Power</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98"/>
        </w:trPr>
        <w:tc>
          <w:tcPr>
            <w:tcW w:w="158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2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Voting Power</w:t>
            </w:r>
          </w:p>
        </w:tc>
        <w:tc>
          <w:tcPr>
            <w:tcW w:w="1780" w:type="dxa"/>
            <w:vAlign w:val="bottom"/>
          </w:tcPr>
          <w:p>
            <w:pPr>
              <w:jc w:val="right"/>
              <w:spacing w:after="0" w:line="247" w:lineRule="exact"/>
              <w:rPr>
                <w:sz w:val="20"/>
                <w:szCs w:val="20"/>
                <w:color w:val="auto"/>
              </w:rPr>
            </w:pPr>
            <w:r>
              <w:rPr>
                <w:rFonts w:ascii="Times New Roman" w:cs="Times New Roman" w:eastAsia="Times New Roman" w:hAnsi="Times New Roman"/>
                <w:sz w:val="17"/>
                <w:szCs w:val="17"/>
                <w:b w:val="1"/>
                <w:bCs w:val="1"/>
                <w:color w:val="auto"/>
              </w:rPr>
              <w:t>7,500,000</w:t>
            </w:r>
            <w:r>
              <w:rPr>
                <w:rFonts w:ascii="Times New Roman" w:cs="Times New Roman" w:eastAsia="Times New Roman" w:hAnsi="Times New Roman"/>
                <w:sz w:val="28"/>
                <w:szCs w:val="28"/>
                <w:b w:val="1"/>
                <w:bCs w:val="1"/>
                <w:color w:val="auto"/>
                <w:vertAlign w:val="superscript"/>
              </w:rPr>
              <w:t>(1)</w:t>
            </w:r>
          </w:p>
        </w:tc>
        <w:tc>
          <w:tcPr>
            <w:tcW w:w="0" w:type="dxa"/>
            <w:vAlign w:val="bottom"/>
          </w:tcPr>
          <w:p>
            <w:pPr>
              <w:spacing w:after="0"/>
              <w:rPr>
                <w:sz w:val="1"/>
                <w:szCs w:val="1"/>
                <w:color w:val="auto"/>
              </w:rPr>
            </w:pPr>
          </w:p>
        </w:tc>
      </w:tr>
      <w:tr>
        <w:trPr>
          <w:trHeight w:val="184"/>
        </w:trPr>
        <w:tc>
          <w:tcPr>
            <w:tcW w:w="15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Beneficially</w:t>
            </w:r>
          </w:p>
        </w:tc>
        <w:tc>
          <w:tcPr>
            <w:tcW w:w="8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2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Dispositive Power</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98"/>
        </w:trPr>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Each Reporting</w:t>
            </w:r>
          </w:p>
        </w:tc>
        <w:tc>
          <w:tcPr>
            <w:tcW w:w="8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8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29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7,500,000</w:t>
            </w:r>
            <w:r>
              <w:rPr>
                <w:rFonts w:ascii="Times New Roman" w:cs="Times New Roman" w:eastAsia="Times New Roman" w:hAnsi="Times New Roman"/>
                <w:sz w:val="29"/>
                <w:szCs w:val="29"/>
                <w:b w:val="1"/>
                <w:bCs w:val="1"/>
                <w:color w:val="auto"/>
                <w:vertAlign w:val="superscript"/>
              </w:rPr>
              <w:t>(1)</w:t>
            </w:r>
          </w:p>
        </w:tc>
        <w:tc>
          <w:tcPr>
            <w:tcW w:w="0" w:type="dxa"/>
            <w:vAlign w:val="bottom"/>
          </w:tcPr>
          <w:p>
            <w:pPr>
              <w:spacing w:after="0"/>
              <w:rPr>
                <w:sz w:val="1"/>
                <w:szCs w:val="1"/>
                <w:color w:val="auto"/>
              </w:rPr>
            </w:pPr>
          </w:p>
        </w:tc>
      </w:tr>
      <w:tr>
        <w:trPr>
          <w:trHeight w:val="244"/>
        </w:trPr>
        <w:tc>
          <w:tcPr>
            <w:tcW w:w="158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2980" w:type="dxa"/>
            <w:vAlign w:val="bottom"/>
            <w:vMerge w:val="continue"/>
          </w:tcPr>
          <w:p>
            <w:pPr>
              <w:spacing w:after="0"/>
              <w:rPr>
                <w:sz w:val="21"/>
                <w:szCs w:val="21"/>
                <w:color w:val="auto"/>
              </w:rPr>
            </w:pPr>
          </w:p>
        </w:tc>
        <w:tc>
          <w:tcPr>
            <w:tcW w:w="1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-257175</wp:posOffset>
            </wp:positionV>
            <wp:extent cx="589788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97880" cy="171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-548640</wp:posOffset>
            </wp:positionV>
            <wp:extent cx="589788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97880" cy="171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-840105</wp:posOffset>
            </wp:positionV>
            <wp:extent cx="589788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978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7,500,000</w:t>
      </w:r>
      <w:r>
        <w:rPr>
          <w:rFonts w:ascii="Times New Roman" w:cs="Times New Roman" w:eastAsia="Times New Roman" w:hAnsi="Times New Roman"/>
          <w:sz w:val="29"/>
          <w:szCs w:val="29"/>
          <w:b w:val="1"/>
          <w:bCs w:val="1"/>
          <w:color w:val="auto"/>
          <w:vertAlign w:val="superscript"/>
        </w:rPr>
        <w:t>(1)</w:t>
      </w:r>
    </w:p>
    <w:p>
      <w:pPr>
        <w:spacing w:after="0" w:line="3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_____</w:t>
      </w:r>
    </w:p>
    <w:p>
      <w:pPr>
        <w:spacing w:after="0" w:line="200" w:lineRule="exact"/>
        <w:rPr>
          <w:sz w:val="20"/>
          <w:szCs w:val="20"/>
          <w:color w:val="auto"/>
        </w:rPr>
      </w:pPr>
    </w:p>
    <w:p>
      <w:pPr>
        <w:sectPr>
          <w:pgSz w:w="11900" w:h="16838" w:orient="portrait"/>
          <w:cols w:equalWidth="0" w:num="2">
            <w:col w:w="9400" w:space="720"/>
            <w:col w:w="1120"/>
          </w:cols>
          <w:pgMar w:left="320" w:top="225" w:right="339" w:bottom="1440" w:gutter="0" w:footer="0" w:header="0"/>
          <w:type w:val="continuous"/>
        </w:sect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r>
      <w:tr>
        <w:trPr>
          <w:trHeight w:val="223"/>
        </w:trPr>
        <w:tc>
          <w:tcPr>
            <w:tcW w:w="1100" w:type="dxa"/>
            <w:vAlign w:val="bottom"/>
            <w:tcBorders>
              <w:bottom w:val="single" w:sz="8" w:color="auto"/>
            </w:tcBorders>
          </w:tcPr>
          <w:p>
            <w:pPr>
              <w:spacing w:after="0"/>
              <w:rPr>
                <w:sz w:val="19"/>
                <w:szCs w:val="19"/>
                <w:color w:val="auto"/>
              </w:rPr>
            </w:pPr>
          </w:p>
        </w:tc>
        <w:tc>
          <w:tcPr>
            <w:tcW w:w="678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r>
      <w:tr>
        <w:trPr>
          <w:trHeight w:val="432"/>
        </w:trPr>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 HC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firstLine="8"/>
        <w:spacing w:after="0" w:line="223" w:lineRule="auto"/>
        <w:tabs>
          <w:tab w:leader="none" w:pos="212" w:val="left"/>
        </w:tabs>
        <w:numPr>
          <w:ilvl w:val="0"/>
          <w:numId w:val="1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Excludes an aggregate of 240,741 shares of Series D Convertible Preferred Stock that will become convertible into 5,537,043 shares of Common Stock upon approval of the Issuer’s stockholders, subject to a 9.99% beneficial ownership limitation.</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92840H202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9" w:lineRule="exact"/>
        <w:rPr>
          <w:sz w:val="20"/>
          <w:szCs w:val="20"/>
          <w:color w:val="auto"/>
        </w:rPr>
      </w:pPr>
    </w:p>
    <w:p>
      <w:pPr>
        <w:ind w:left="1500" w:hanging="750"/>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21"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VistaGen Therapeutics, Inc.</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1500" w:hanging="750"/>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1"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343 Allerton Avenue, 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19685</wp:posOffset>
            </wp:positionV>
            <wp:extent cx="618934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-682625</wp:posOffset>
            </wp:positionV>
            <wp:extent cx="618934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9" w:lineRule="exact"/>
        <w:rPr>
          <w:sz w:val="20"/>
          <w:szCs w:val="20"/>
          <w:color w:val="auto"/>
        </w:rPr>
      </w:pPr>
    </w:p>
    <w:p>
      <w:pPr>
        <w:ind w:left="1500" w:hanging="750"/>
        <w:spacing w:after="0"/>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persons filing this statement are:</w:t>
      </w:r>
    </w:p>
    <w:p>
      <w:pPr>
        <w:spacing w:after="0" w:line="221"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Acuta Capital Partners LLC (“Acuta”) and Dr. Anupam Dalal (collectively, the “Filers”).</w:t>
      </w:r>
    </w:p>
    <w:p>
      <w:pPr>
        <w:spacing w:after="0" w:line="225"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Each Filer disclaims beneficial ownership of the Stock except to the extent of that person’s pecuniary interest therein.</w:t>
      </w:r>
    </w:p>
    <w:p>
      <w:pPr>
        <w:spacing w:after="0" w:line="240" w:lineRule="exact"/>
        <w:rPr>
          <w:rFonts w:ascii="Times New Roman" w:cs="Times New Roman" w:eastAsia="Times New Roman" w:hAnsi="Times New Roman"/>
          <w:sz w:val="18"/>
          <w:szCs w:val="18"/>
          <w:color w:val="auto"/>
        </w:rPr>
      </w:pPr>
    </w:p>
    <w:p>
      <w:pPr>
        <w:ind w:left="1500" w:hanging="750"/>
        <w:spacing w:after="0"/>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office of the Filers is located at:</w:t>
      </w:r>
    </w:p>
    <w:p>
      <w:pPr>
        <w:spacing w:after="0" w:line="221"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1301 Shoreway Road, Suite 350, Belmont, CA 94002</w:t>
      </w:r>
    </w:p>
    <w:p>
      <w:pPr>
        <w:spacing w:after="0" w:line="229" w:lineRule="exact"/>
        <w:rPr>
          <w:rFonts w:ascii="Times New Roman" w:cs="Times New Roman" w:eastAsia="Times New Roman" w:hAnsi="Times New Roman"/>
          <w:sz w:val="18"/>
          <w:szCs w:val="18"/>
          <w:color w:val="auto"/>
        </w:rPr>
      </w:pPr>
    </w:p>
    <w:p>
      <w:pPr>
        <w:ind w:left="1500" w:hanging="750"/>
        <w:spacing w:after="0"/>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citizenship of Filers, see Item 4 of the cover sheet for each Filer.</w:t>
      </w:r>
    </w:p>
    <w:p>
      <w:pPr>
        <w:spacing w:after="0" w:line="221" w:lineRule="exact"/>
        <w:rPr>
          <w:rFonts w:ascii="Times New Roman" w:cs="Times New Roman" w:eastAsia="Times New Roman" w:hAnsi="Times New Roman"/>
          <w:sz w:val="18"/>
          <w:szCs w:val="18"/>
          <w:color w:val="auto"/>
        </w:rPr>
      </w:pPr>
    </w:p>
    <w:p>
      <w:pPr>
        <w:ind w:left="1500" w:hanging="750"/>
        <w:spacing w:after="0"/>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statement relates to the Issuer’s shares of </w:t>
      </w:r>
      <w:r>
        <w:rPr>
          <w:rFonts w:ascii="Times New Roman" w:cs="Times New Roman" w:eastAsia="Times New Roman" w:hAnsi="Times New Roman"/>
          <w:sz w:val="18"/>
          <w:szCs w:val="18"/>
          <w:b w:val="1"/>
          <w:bCs w:val="1"/>
          <w:color w:val="auto"/>
        </w:rPr>
        <w:t>Common Stock, par value $0.001 per share</w:t>
      </w:r>
      <w:r>
        <w:rPr>
          <w:rFonts w:ascii="Times New Roman" w:cs="Times New Roman" w:eastAsia="Times New Roman" w:hAnsi="Times New Roman"/>
          <w:sz w:val="18"/>
          <w:szCs w:val="18"/>
          <w:color w:val="auto"/>
        </w:rPr>
        <w:t xml:space="preserve"> (the “Stock”).</w:t>
      </w:r>
    </w:p>
    <w:p>
      <w:pPr>
        <w:spacing w:after="0" w:line="225" w:lineRule="exact"/>
        <w:rPr>
          <w:rFonts w:ascii="Times New Roman" w:cs="Times New Roman" w:eastAsia="Times New Roman" w:hAnsi="Times New Roman"/>
          <w:sz w:val="18"/>
          <w:szCs w:val="18"/>
          <w:color w:val="auto"/>
        </w:rPr>
      </w:pPr>
    </w:p>
    <w:p>
      <w:pPr>
        <w:ind w:left="1500" w:hanging="750"/>
        <w:spacing w:after="0"/>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CUSIP number of the Issuer is: </w:t>
      </w:r>
      <w:r>
        <w:rPr>
          <w:rFonts w:ascii="Times New Roman" w:cs="Times New Roman" w:eastAsia="Times New Roman" w:hAnsi="Times New Roman"/>
          <w:sz w:val="18"/>
          <w:szCs w:val="18"/>
          <w:b w:val="1"/>
          <w:bCs w:val="1"/>
          <w:color w:val="auto"/>
        </w:rPr>
        <w:t>92840H202</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Page 4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320" w:top="225" w:right="10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92840H202</w:t>
      </w:r>
    </w:p>
    <w:p>
      <w:pPr>
        <w:spacing w:after="0" w:line="22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rule 240.13d-1(b) or 240.13d-2(b) or (c), check whether the person filing is a:</w:t>
      </w:r>
    </w:p>
    <w:p>
      <w:pPr>
        <w:spacing w:after="0" w:line="229" w:lineRule="exact"/>
        <w:rPr>
          <w:sz w:val="20"/>
          <w:szCs w:val="20"/>
          <w:color w:val="auto"/>
        </w:rPr>
      </w:pPr>
    </w:p>
    <w:p>
      <w:pPr>
        <w:ind w:left="1400" w:hanging="74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7"/>
          <w:szCs w:val="17"/>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7"/>
          <w:szCs w:val="17"/>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 ]</w:t>
      </w:r>
      <w:r>
        <w:rPr>
          <w:rFonts w:ascii="Times New Roman" w:cs="Times New Roman" w:eastAsia="Times New Roman" w:hAnsi="Times New Roman"/>
          <w:sz w:val="17"/>
          <w:szCs w:val="17"/>
          <w:color w:val="auto"/>
        </w:rPr>
        <w:t>An investment adviser in accordance with section 240.13d-1(b)(1)(ii)(E) as to Acuta.</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7"/>
          <w:szCs w:val="17"/>
          <w:color w:val="auto"/>
        </w:rPr>
        <w:t>An employee benefit plan or endowment fund in accordance with section 240.13d-1(b)(1)(ii)(F).</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 ]A parent holding company or control person in accordance with 240.13d-1(b)(1)(ii)(G)</w:t>
      </w:r>
    </w:p>
    <w:p>
      <w:pPr>
        <w:spacing w:after="0" w:line="2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as to Dr. Dalal.</w:t>
      </w:r>
    </w:p>
    <w:p>
      <w:pPr>
        <w:spacing w:after="0" w:line="207" w:lineRule="exact"/>
        <w:rPr>
          <w:sz w:val="20"/>
          <w:szCs w:val="20"/>
          <w:color w:val="auto"/>
        </w:rPr>
      </w:pPr>
    </w:p>
    <w:p>
      <w:pPr>
        <w:ind w:left="1400" w:hanging="744"/>
        <w:spacing w:after="0"/>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7"/>
          <w:szCs w:val="17"/>
          <w:color w:val="auto"/>
        </w:rPr>
        <w:t>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2140" w:right="100" w:hanging="1484"/>
        <w:spacing w:after="0" w:line="282" w:lineRule="auto"/>
        <w:tabs>
          <w:tab w:leader="none" w:pos="139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 church plan that is excluded from the definition of an investment company under section 3(c)(14) of the Investment Company Act of 1940 (15 U.S.C. 80a-3).</w:t>
      </w:r>
    </w:p>
    <w:p>
      <w:pPr>
        <w:spacing w:after="0" w:line="16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]Group, in accordance with section 240.13d-1(b)(1)(ii)(J).</w:t>
      </w:r>
    </w:p>
    <w:p>
      <w:pPr>
        <w:spacing w:after="0" w:line="221"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Items 5-9 and 11 of the cover page for each Filer.</w:t>
      </w:r>
    </w:p>
    <w:p>
      <w:pPr>
        <w:spacing w:after="0" w:line="221"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5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funds managed by Acuta hold the Stock for the benefit of their investors and have the right to receive or the power to direct the receipt of dividends from, or the proceeds from the sale of, the Stock.</w:t>
      </w:r>
    </w:p>
    <w:p>
      <w:pPr>
        <w:spacing w:after="0" w:line="158" w:lineRule="exact"/>
        <w:rPr>
          <w:sz w:val="20"/>
          <w:szCs w:val="20"/>
          <w:color w:val="auto"/>
        </w:rPr>
      </w:pPr>
    </w:p>
    <w:p>
      <w:pPr>
        <w:ind w:left="1400" w:right="100" w:hanging="1389"/>
        <w:spacing w:after="0" w:line="286" w:lineRule="auto"/>
        <w:tabs>
          <w:tab w:leader="none" w:pos="13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Acuta is the general partner and investment adviser of investment funds. Dr. Dalal is the control person of Acuta.</w:t>
      </w:r>
    </w:p>
    <w:p>
      <w:pPr>
        <w:spacing w:after="0" w:line="221"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92840H202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February 16, 2021</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432"/>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Acuta Capital Partners LLC</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439"/>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Scott R. Smith</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Anupam Dalal</w:t>
            </w:r>
          </w:p>
        </w:tc>
      </w:tr>
      <w:tr>
        <w:trPr>
          <w:trHeight w:val="238"/>
        </w:trPr>
        <w:tc>
          <w:tcPr>
            <w:tcW w:w="340" w:type="dxa"/>
            <w:vAlign w:val="bottom"/>
          </w:tcPr>
          <w:p>
            <w:pPr>
              <w:spacing w:after="0"/>
              <w:rPr>
                <w:sz w:val="20"/>
                <w:szCs w:val="20"/>
                <w:color w:val="auto"/>
              </w:rPr>
            </w:pPr>
          </w:p>
        </w:tc>
        <w:tc>
          <w:tcPr>
            <w:tcW w:w="3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Scott R. Smith, Chief Operating Officer</w:t>
            </w:r>
          </w:p>
        </w:tc>
        <w:tc>
          <w:tcPr>
            <w:tcW w:w="11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Anupam Dalal</w:t>
            </w:r>
          </w:p>
        </w:tc>
      </w:tr>
      <w:tr>
        <w:trPr>
          <w:trHeight w:val="417"/>
        </w:trPr>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color w:val="auto"/>
              </w:rPr>
              <w:t>Page 6 of 7</w:t>
            </w:r>
          </w:p>
        </w:tc>
      </w:tr>
    </w:tbl>
    <w:p>
      <w:pPr>
        <w:sectPr>
          <w:pgSz w:w="11900" w:h="16838" w:orient="portrait"/>
          <w:cols w:equalWidth="0" w:num="1">
            <w:col w:w="11240"/>
          </w:cols>
          <w:pgMar w:left="320" w:top="22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92840H202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 REGARDING JOINT FILING</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STATEMENT ON SCHEDULE 13D OR 13G</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Acuta Capital Partners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February 16, 2021</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432"/>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Acuta Capital Partners LLC</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439"/>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Scott R. Smith</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 Anupam Dalal</w:t>
            </w:r>
          </w:p>
        </w:tc>
      </w:tr>
      <w:tr>
        <w:trPr>
          <w:trHeight w:val="238"/>
        </w:trPr>
        <w:tc>
          <w:tcPr>
            <w:tcW w:w="340" w:type="dxa"/>
            <w:vAlign w:val="bottom"/>
          </w:tcPr>
          <w:p>
            <w:pPr>
              <w:spacing w:after="0"/>
              <w:rPr>
                <w:sz w:val="20"/>
                <w:szCs w:val="20"/>
                <w:color w:val="auto"/>
              </w:rPr>
            </w:pPr>
          </w:p>
        </w:tc>
        <w:tc>
          <w:tcPr>
            <w:tcW w:w="3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Scott R. Smith, Chief Operating Officer</w:t>
            </w:r>
          </w:p>
        </w:tc>
        <w:tc>
          <w:tcPr>
            <w:tcW w:w="11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Anupam Dalal</w:t>
            </w:r>
          </w:p>
        </w:tc>
      </w:tr>
      <w:tr>
        <w:trPr>
          <w:trHeight w:val="417"/>
        </w:trPr>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color w:val="auto"/>
              </w:rPr>
              <w:t>Page 7 of 7</w:t>
            </w:r>
          </w:p>
        </w:tc>
      </w:tr>
    </w:tbl>
    <w:p>
      <w:pPr>
        <w:spacing w:after="0" w:line="1" w:lineRule="exact"/>
        <w:rPr>
          <w:sz w:val="20"/>
          <w:szCs w:val="20"/>
          <w:color w:val="auto"/>
        </w:rPr>
      </w:pP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lvl w:ilvl="1">
      <w:lvlJc w:val="left"/>
      <w:lvlText w:val="(%2)"/>
      <w:numFmt w:val="lowerLetter"/>
      <w:start w:val="1"/>
    </w:lvl>
  </w:abstractNum>
  <w:abstractNum w:abstractNumId="3">
    <w:nsid w:val="5BD062C2"/>
    <w:multiLevelType w:val="hybridMultilevel"/>
    <w:lvl w:ilvl="0">
      <w:lvlJc w:val="left"/>
      <w:lvlText w:val="%1."/>
      <w:numFmt w:val="decimal"/>
      <w:start w:val="4"/>
    </w:lvl>
  </w:abstractNum>
  <w:abstractNum w:abstractNumId="4">
    <w:nsid w:val="12200854"/>
    <w:multiLevelType w:val="hybridMultilevel"/>
    <w:lvl w:ilvl="0">
      <w:lvlJc w:val="left"/>
      <w:lvlText w:val="%1."/>
      <w:numFmt w:val="decimal"/>
      <w:start w:val="9"/>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lvl w:ilvl="1">
      <w:lvlJc w:val="left"/>
      <w:lvlText w:val="(%2)"/>
      <w:numFmt w:val="lowerLetter"/>
      <w:start w:val="1"/>
    </w:lvl>
  </w:abstractNum>
  <w:abstractNum w:abstractNumId="7">
    <w:nsid w:val="1F16E9E8"/>
    <w:multiLevelType w:val="hybridMultilevel"/>
    <w:lvl w:ilvl="0">
      <w:lvlJc w:val="left"/>
      <w:lvlText w:val="%1."/>
      <w:numFmt w:val="decimal"/>
      <w:start w:val="4"/>
    </w:lvl>
  </w:abstractNum>
  <w:abstractNum w:abstractNumId="8">
    <w:nsid w:val="1190CDE7"/>
    <w:multiLevelType w:val="hybridMultilevel"/>
    <w:lvl w:ilvl="0">
      <w:lvlJc w:val="left"/>
      <w:lvlText w:val="%1."/>
      <w:numFmt w:val="decimal"/>
      <w:start w:val="9"/>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2021-02-16T06:08:43Z</dcterms:created>
  <dcterms:modified xsi:type="dcterms:W3CDTF">2021-02-16T06:08:43Z</dcterms:modified>
</cp:coreProperties>
</file>