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106045</wp:posOffset>
            </wp:positionV>
            <wp:extent cx="728218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180" cy="33020"/>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59" w:lineRule="exact"/>
        <w:rPr>
          <w:sz w:val="24"/>
          <w:szCs w:val="24"/>
          <w:color w:val="auto"/>
        </w:rPr>
      </w:pPr>
    </w:p>
    <w:p>
      <w:pPr>
        <w:ind w:left="1300" w:hanging="974"/>
        <w:spacing w:after="0"/>
        <w:tabs>
          <w:tab w:leader="none" w:pos="13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December 31, 2015</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1" w:lineRule="exact"/>
        <w:rPr>
          <w:sz w:val="24"/>
          <w:szCs w:val="24"/>
          <w:color w:val="auto"/>
        </w:rPr>
      </w:pPr>
    </w:p>
    <w:p>
      <w:pPr>
        <w:ind w:left="1300" w:hanging="946"/>
        <w:spacing w:after="0"/>
        <w:tabs>
          <w:tab w:leader="none" w:pos="13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70"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349"/>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720" w:type="dxa"/>
            <w:vAlign w:val="bottom"/>
            <w:gridSpan w:val="8"/>
          </w:tcPr>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Commission File Number: 000-54014</w:t>
            </w:r>
          </w:p>
        </w:tc>
      </w:tr>
      <w:tr>
        <w:trPr>
          <w:trHeight w:val="413"/>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25"/>
                <w:szCs w:val="25"/>
                <w:b w:val="1"/>
                <w:bCs w:val="1"/>
                <w:color w:val="auto"/>
              </w:rPr>
              <w:t>VistaGen Therapeutics, Inc.</w:t>
            </w:r>
          </w:p>
        </w:tc>
        <w:tc>
          <w:tcPr>
            <w:tcW w:w="2060" w:type="dxa"/>
            <w:vAlign w:val="bottom"/>
            <w:gridSpan w:val="3"/>
          </w:tcPr>
          <w:p>
            <w:pPr>
              <w:spacing w:after="0"/>
              <w:rPr>
                <w:sz w:val="24"/>
                <w:szCs w:val="24"/>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00" w:type="dxa"/>
            <w:vAlign w:val="bottom"/>
            <w:gridSpan w:val="9"/>
          </w:tcPr>
          <w:p>
            <w:pPr>
              <w:jc w:val="center"/>
              <w:ind w:right="20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476"/>
        </w:trPr>
        <w:tc>
          <w:tcPr>
            <w:tcW w:w="12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8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560" w:type="dxa"/>
            <w:vAlign w:val="bottom"/>
            <w:gridSpan w:val="8"/>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20-5093315</w:t>
            </w:r>
          </w:p>
        </w:tc>
      </w:tr>
      <w:tr>
        <w:trPr>
          <w:trHeight w:val="20"/>
        </w:trPr>
        <w:tc>
          <w:tcPr>
            <w:tcW w:w="1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4"/>
        </w:trPr>
        <w:tc>
          <w:tcPr>
            <w:tcW w:w="2560" w:type="dxa"/>
            <w:vAlign w:val="bottom"/>
            <w:gridSpan w:val="4"/>
          </w:tcPr>
          <w:p>
            <w:pPr>
              <w:jc w:val="center"/>
              <w:ind w:left="370"/>
              <w:spacing w:after="0"/>
              <w:rPr>
                <w:sz w:val="20"/>
                <w:szCs w:val="20"/>
                <w:color w:val="auto"/>
              </w:rPr>
            </w:pPr>
            <w:r>
              <w:rPr>
                <w:rFonts w:ascii="Times New Roman" w:cs="Times New Roman" w:eastAsia="Times New Roman" w:hAnsi="Times New Roman"/>
                <w:sz w:val="14"/>
                <w:szCs w:val="14"/>
                <w:i w:val="1"/>
                <w:iCs w:val="1"/>
                <w:color w:val="auto"/>
                <w:w w:val="99"/>
              </w:rPr>
              <w:t>(State or other jurisdiction of</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60" w:type="dxa"/>
            <w:vAlign w:val="bottom"/>
            <w:gridSpan w:val="3"/>
          </w:tcPr>
          <w:p>
            <w:pPr>
              <w:jc w:val="center"/>
              <w:ind w:left="970"/>
              <w:spacing w:after="0"/>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85"/>
        </w:trPr>
        <w:tc>
          <w:tcPr>
            <w:tcW w:w="2560" w:type="dxa"/>
            <w:vAlign w:val="bottom"/>
            <w:gridSpan w:val="4"/>
          </w:tcPr>
          <w:p>
            <w:pPr>
              <w:jc w:val="center"/>
              <w:ind w:left="390"/>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60" w:type="dxa"/>
            <w:vAlign w:val="bottom"/>
            <w:gridSpan w:val="3"/>
          </w:tcPr>
          <w:p>
            <w:pPr>
              <w:jc w:val="center"/>
              <w:ind w:left="950"/>
              <w:spacing w:after="0"/>
              <w:rPr>
                <w:sz w:val="20"/>
                <w:szCs w:val="20"/>
                <w:color w:val="auto"/>
              </w:rPr>
            </w:pPr>
            <w:r>
              <w:rPr>
                <w:rFonts w:ascii="Times New Roman" w:cs="Times New Roman" w:eastAsia="Times New Roman" w:hAnsi="Times New Roman"/>
                <w:sz w:val="14"/>
                <w:szCs w:val="14"/>
                <w:i w:val="1"/>
                <w:iCs w:val="1"/>
                <w:color w:val="auto"/>
              </w:rPr>
              <w:t>Identification No.)</w:t>
            </w:r>
          </w:p>
        </w:tc>
      </w:tr>
      <w:tr>
        <w:trPr>
          <w:trHeight w:val="322"/>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7"/>
          </w:tcPr>
          <w:p>
            <w:pPr>
              <w:jc w:val="center"/>
              <w:ind w:right="2640"/>
              <w:spacing w:after="0"/>
              <w:rPr>
                <w:sz w:val="20"/>
                <w:szCs w:val="20"/>
                <w:color w:val="auto"/>
              </w:rPr>
            </w:pPr>
            <w:r>
              <w:rPr>
                <w:rFonts w:ascii="Times New Roman" w:cs="Times New Roman" w:eastAsia="Times New Roman" w:hAnsi="Times New Roman"/>
                <w:sz w:val="14"/>
                <w:szCs w:val="14"/>
                <w:b w:val="1"/>
                <w:bCs w:val="1"/>
                <w:color w:val="auto"/>
                <w:w w:val="99"/>
              </w:rPr>
              <w:t>343 Allerton Avenue</w:t>
            </w:r>
          </w:p>
        </w:tc>
      </w:tr>
      <w:tr>
        <w:trPr>
          <w:trHeight w:val="154"/>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540" w:type="dxa"/>
            <w:vAlign w:val="bottom"/>
            <w:gridSpan w:val="7"/>
          </w:tcPr>
          <w:p>
            <w:pPr>
              <w:jc w:val="center"/>
              <w:ind w:right="2640"/>
              <w:spacing w:after="0" w:line="154" w:lineRule="exact"/>
              <w:rPr>
                <w:sz w:val="20"/>
                <w:szCs w:val="20"/>
                <w:color w:val="auto"/>
              </w:rPr>
            </w:pPr>
            <w:r>
              <w:rPr>
                <w:rFonts w:ascii="Times New Roman" w:cs="Times New Roman" w:eastAsia="Times New Roman" w:hAnsi="Times New Roman"/>
                <w:sz w:val="14"/>
                <w:szCs w:val="14"/>
                <w:b w:val="1"/>
                <w:bCs w:val="1"/>
                <w:color w:val="auto"/>
              </w:rPr>
              <w:t>South San Francisco, CA 94080</w:t>
            </w:r>
          </w:p>
        </w:tc>
      </w:tr>
      <w:tr>
        <w:trPr>
          <w:trHeight w:val="20"/>
        </w:trPr>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r>
      <w:tr>
        <w:trPr>
          <w:trHeight w:val="180"/>
        </w:trPr>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20" w:type="dxa"/>
            <w:vAlign w:val="bottom"/>
            <w:gridSpan w:val="10"/>
          </w:tcPr>
          <w:p>
            <w:pPr>
              <w:jc w:val="center"/>
              <w:ind w:right="176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tc>
      </w:tr>
      <w:tr>
        <w:trPr>
          <w:trHeight w:val="30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center"/>
              <w:ind w:left="1330"/>
              <w:spacing w:after="0"/>
              <w:rPr>
                <w:sz w:val="20"/>
                <w:szCs w:val="20"/>
                <w:color w:val="auto"/>
              </w:rPr>
            </w:pPr>
            <w:r>
              <w:rPr>
                <w:rFonts w:ascii="Times New Roman" w:cs="Times New Roman" w:eastAsia="Times New Roman" w:hAnsi="Times New Roman"/>
                <w:sz w:val="14"/>
                <w:szCs w:val="14"/>
                <w:b w:val="1"/>
                <w:bCs w:val="1"/>
                <w:color w:val="auto"/>
              </w:rPr>
              <w:t>(650) 577-3600</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r>
      <w:tr>
        <w:trPr>
          <w:trHeight w:val="180"/>
        </w:trPr>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00" w:type="dxa"/>
            <w:vAlign w:val="bottom"/>
            <w:gridSpan w:val="9"/>
          </w:tcPr>
          <w:p>
            <w:pPr>
              <w:jc w:val="center"/>
              <w:ind w:right="2080"/>
              <w:spacing w:after="0"/>
              <w:rPr>
                <w:sz w:val="20"/>
                <w:szCs w:val="20"/>
                <w:color w:val="auto"/>
              </w:rPr>
            </w:pPr>
            <w:r>
              <w:rPr>
                <w:rFonts w:ascii="Times New Roman" w:cs="Times New Roman" w:eastAsia="Times New Roman" w:hAnsi="Times New Roman"/>
                <w:sz w:val="14"/>
                <w:szCs w:val="14"/>
                <w:i w:val="1"/>
                <w:iCs w:val="1"/>
                <w:color w:val="auto"/>
                <w:w w:val="98"/>
              </w:rPr>
              <w:t>(Registrant’s telephone number, including area code)</w:t>
            </w:r>
          </w:p>
        </w:tc>
      </w:tr>
    </w:tbl>
    <w:p>
      <w:pPr>
        <w:spacing w:after="0" w:line="155" w:lineRule="exact"/>
        <w:rPr>
          <w:sz w:val="24"/>
          <w:szCs w:val="24"/>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5" w:lineRule="exact"/>
        <w:rPr>
          <w:sz w:val="24"/>
          <w:szCs w:val="24"/>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(Sec.232.405 of this chapter) during the preceding 12 months (or for such shorter period that the registrant was required to submit and post such files). Yes x No o</w:t>
      </w:r>
    </w:p>
    <w:p>
      <w:pPr>
        <w:spacing w:after="0" w:line="125" w:lineRule="exact"/>
        <w:rPr>
          <w:sz w:val="24"/>
          <w:szCs w:val="24"/>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20" w:top="453" w:right="219" w:bottom="1440" w:gutter="0" w:footer="0" w:header="0"/>
        </w:sectPr>
      </w:pP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8" w:lineRule="exact"/>
        <w:rPr>
          <w:sz w:val="24"/>
          <w:szCs w:val="24"/>
          <w:color w:val="auto"/>
        </w:rPr>
      </w:pPr>
    </w:p>
    <w:p>
      <w:pPr>
        <w:sectPr>
          <w:pgSz w:w="11900" w:h="16838" w:orient="portrait"/>
          <w:cols w:equalWidth="0" w:num="4">
            <w:col w:w="2620" w:space="720"/>
            <w:col w:w="2920" w:space="720"/>
            <w:col w:w="2700" w:space="720"/>
            <w:col w:w="1060"/>
          </w:cols>
          <w:pgMar w:left="220" w:top="453" w:right="2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(do not check if a smaller reporting company)</w:t>
      </w:r>
    </w:p>
    <w:p>
      <w:pPr>
        <w:sectPr>
          <w:pgSz w:w="11900" w:h="16838" w:orient="portrait"/>
          <w:cols w:equalWidth="0" w:num="1">
            <w:col w:w="11460"/>
          </w:cols>
          <w:pgMar w:left="220" w:top="453" w:right="219" w:bottom="1440" w:gutter="0" w:footer="0" w:header="0"/>
          <w:type w:val="continuous"/>
        </w:sectPr>
      </w:pP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 o No x</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12, 2016, 2,272,406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219075</wp:posOffset>
            </wp:positionV>
            <wp:extent cx="728218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18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299720</wp:posOffset>
            </wp:positionV>
            <wp:extent cx="728218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453" w:right="2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Quarterly Report on Form 10-Q</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 Ended December 31, 2015</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60" w:type="dxa"/>
            <w:vAlign w:val="bottom"/>
            <w:gridSpan w:val="6"/>
          </w:tcPr>
          <w:p>
            <w:pPr>
              <w:jc w:val="center"/>
              <w:ind w:right="368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0" w:type="dxa"/>
            <w:vAlign w:val="bottom"/>
            <w:gridSpan w:val="8"/>
          </w:tcPr>
          <w:p>
            <w:pPr>
              <w:jc w:val="center"/>
              <w:ind w:right="4000"/>
              <w:spacing w:after="0" w:line="137" w:lineRule="exact"/>
              <w:rPr>
                <w:rFonts w:ascii="Times New Roman" w:cs="Times New Roman" w:eastAsia="Times New Roman" w:hAnsi="Times New Roman"/>
                <w:sz w:val="14"/>
                <w:szCs w:val="14"/>
                <w:b w:val="1"/>
                <w:bCs w:val="1"/>
                <w:color w:val="0000EE"/>
                <w:w w:val="99"/>
              </w:rPr>
            </w:pPr>
            <w:hyperlink w:anchor="page3">
              <w:r>
                <w:rPr>
                  <w:rFonts w:ascii="Times New Roman" w:cs="Times New Roman" w:eastAsia="Times New Roman" w:hAnsi="Times New Roman"/>
                  <w:sz w:val="14"/>
                  <w:szCs w:val="14"/>
                  <w:b w:val="1"/>
                  <w:bCs w:val="1"/>
                  <w:color w:val="0000EE"/>
                  <w:w w:val="99"/>
                </w:rPr>
                <w:t>PART I. FINANCIAL INFORMATION</w:t>
              </w:r>
            </w:hyperlink>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6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10380" w:type="dxa"/>
            <w:vAlign w:val="bottom"/>
            <w:gridSpan w:val="19"/>
            <w:shd w:val="clear" w:color="auto" w:fill="CCEEFF"/>
          </w:tcPr>
          <w:p>
            <w:pPr>
              <w:spacing w:after="0" w:line="137" w:lineRule="exact"/>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Item 1. Condensed Consolidated Financial Statements (Unaudited)</w:t>
              </w:r>
            </w:hyperlink>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10380" w:type="dxa"/>
            <w:vAlign w:val="bottom"/>
            <w:gridSpan w:val="19"/>
          </w:tcPr>
          <w:p>
            <w:pPr>
              <w:spacing w:after="0" w:line="137" w:lineRule="exact"/>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Condensed Consolidated Balance Sheets at December 31, 2015 and March 31, 2015</w:t>
              </w:r>
            </w:hyperlink>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380" w:type="dxa"/>
            <w:vAlign w:val="bottom"/>
            <w:gridSpan w:val="19"/>
            <w:shd w:val="clear" w:color="auto" w:fill="CCEEFF"/>
          </w:tcPr>
          <w:p>
            <w:pPr>
              <w:spacing w:after="0" w:line="149" w:lineRule="exact"/>
              <w:rPr>
                <w:rFonts w:ascii="Times New Roman" w:cs="Times New Roman" w:eastAsia="Times New Roman" w:hAnsi="Times New Roman"/>
                <w:sz w:val="14"/>
                <w:szCs w:val="14"/>
                <w:color w:val="0000EE"/>
              </w:rPr>
            </w:pPr>
            <w:hyperlink w:anchor="page4">
              <w:r>
                <w:rPr>
                  <w:rFonts w:ascii="Times New Roman" w:cs="Times New Roman" w:eastAsia="Times New Roman" w:hAnsi="Times New Roman"/>
                  <w:sz w:val="14"/>
                  <w:szCs w:val="14"/>
                  <w:color w:val="0000EE"/>
                </w:rPr>
                <w:t>Condensed Consolidated Statements of Operations and Comprehensive Loss for the three and nine months ended December 31, 2015 and 2014</w:t>
              </w:r>
            </w:hyperlink>
          </w:p>
        </w:tc>
        <w:tc>
          <w:tcPr>
            <w:tcW w:w="10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00" w:type="dxa"/>
            <w:vAlign w:val="bottom"/>
            <w:tcBorders>
              <w:top w:val="single" w:sz="8" w:color="0000EE"/>
              <w:bottom w:val="single" w:sz="8" w:color="0000EE"/>
            </w:tcBorders>
            <w:gridSpan w:val="15"/>
          </w:tcPr>
          <w:p>
            <w:pPr>
              <w:spacing w:after="0" w:line="137" w:lineRule="exact"/>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Condensed Consolidated Statements of Cash Flows for the nine months ended December 31, 2015 and 2014</w:t>
              </w:r>
            </w:hyperlink>
          </w:p>
        </w:tc>
        <w:tc>
          <w:tcPr>
            <w:tcW w:w="1960" w:type="dxa"/>
            <w:vAlign w:val="bottom"/>
            <w:tcBorders>
              <w:top w:val="single" w:sz="8" w:color="0000EE"/>
            </w:tcBorders>
            <w:gridSpan w:val="3"/>
          </w:tcPr>
          <w:p>
            <w:pPr>
              <w:spacing w:after="0"/>
              <w:rPr>
                <w:sz w:val="11"/>
                <w:szCs w:val="11"/>
                <w:color w:val="auto"/>
              </w:rPr>
            </w:pPr>
          </w:p>
        </w:tc>
        <w:tc>
          <w:tcPr>
            <w:tcW w:w="2320" w:type="dxa"/>
            <w:vAlign w:val="bottom"/>
            <w:tcBorders>
              <w:top w:val="single" w:sz="8" w:color="CCEEFF"/>
            </w:tcBorders>
          </w:tcPr>
          <w:p>
            <w:pPr>
              <w:spacing w:after="0"/>
              <w:rPr>
                <w:sz w:val="11"/>
                <w:szCs w:val="11"/>
                <w:color w:val="auto"/>
              </w:rPr>
            </w:pPr>
          </w:p>
        </w:tc>
        <w:tc>
          <w:tcPr>
            <w:tcW w:w="1060" w:type="dxa"/>
            <w:vAlign w:val="bottom"/>
            <w:tcBorders>
              <w:top w:val="single" w:sz="8" w:color="CCEEFF"/>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320" w:type="dxa"/>
            <w:vAlign w:val="bottom"/>
            <w:tcBorders>
              <w:bottom w:val="single" w:sz="8" w:color="0000EE"/>
            </w:tcBorders>
            <w:gridSpan w:val="8"/>
            <w:shd w:val="clear" w:color="auto" w:fill="CCEEFF"/>
          </w:tcPr>
          <w:p>
            <w:pPr>
              <w:spacing w:after="0" w:line="149" w:lineRule="exact"/>
              <w:rPr>
                <w:rFonts w:ascii="Times New Roman" w:cs="Times New Roman" w:eastAsia="Times New Roman" w:hAnsi="Times New Roman"/>
                <w:sz w:val="14"/>
                <w:szCs w:val="14"/>
                <w:color w:val="0000EE"/>
                <w:w w:val="99"/>
              </w:rPr>
            </w:pPr>
            <w:hyperlink w:anchor="page6">
              <w:r>
                <w:rPr>
                  <w:rFonts w:ascii="Times New Roman" w:cs="Times New Roman" w:eastAsia="Times New Roman" w:hAnsi="Times New Roman"/>
                  <w:sz w:val="14"/>
                  <w:szCs w:val="14"/>
                  <w:color w:val="0000EE"/>
                  <w:w w:val="99"/>
                </w:rPr>
                <w:t>Notes to the Condensed Consolidated Financial Statements</w:t>
              </w:r>
            </w:hyperlink>
          </w:p>
        </w:tc>
        <w:tc>
          <w:tcPr>
            <w:tcW w:w="7060" w:type="dxa"/>
            <w:vAlign w:val="bottom"/>
            <w:tcBorders>
              <w:bottom w:val="single" w:sz="8" w:color="CCEEFF"/>
            </w:tcBorders>
            <w:gridSpan w:val="11"/>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380" w:type="dxa"/>
            <w:vAlign w:val="bottom"/>
            <w:gridSpan w:val="19"/>
          </w:tcPr>
          <w:p>
            <w:pPr>
              <w:spacing w:after="0" w:line="137" w:lineRule="exact"/>
              <w:rPr>
                <w:rFonts w:ascii="Times New Roman" w:cs="Times New Roman" w:eastAsia="Times New Roman" w:hAnsi="Times New Roman"/>
                <w:sz w:val="14"/>
                <w:szCs w:val="14"/>
                <w:color w:val="0000EE"/>
              </w:rPr>
            </w:pPr>
            <w:hyperlink w:anchor="page27">
              <w:r>
                <w:rPr>
                  <w:rFonts w:ascii="Times New Roman" w:cs="Times New Roman" w:eastAsia="Times New Roman" w:hAnsi="Times New Roman"/>
                  <w:sz w:val="14"/>
                  <w:szCs w:val="14"/>
                  <w:color w:val="0000EE"/>
                </w:rPr>
                <w:t>Item 2. Management’s Discussion and Analysis of Financial Condition and Results of Operations</w:t>
              </w:r>
            </w:hyperlink>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24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60" w:type="dxa"/>
            <w:vAlign w:val="bottom"/>
            <w:tcBorders>
              <w:top w:val="single" w:sz="8" w:color="0000EE"/>
            </w:tcBorders>
            <w:gridSpan w:val="14"/>
            <w:shd w:val="clear" w:color="auto" w:fill="CCEEFF"/>
          </w:tcPr>
          <w:p>
            <w:pPr>
              <w:spacing w:after="0" w:line="149" w:lineRule="exact"/>
              <w:rPr>
                <w:rFonts w:ascii="Times New Roman" w:cs="Times New Roman" w:eastAsia="Times New Roman" w:hAnsi="Times New Roman"/>
                <w:sz w:val="14"/>
                <w:szCs w:val="14"/>
                <w:color w:val="0000EE"/>
              </w:rPr>
            </w:pPr>
            <w:hyperlink w:anchor="page39">
              <w:r>
                <w:rPr>
                  <w:rFonts w:ascii="Times New Roman" w:cs="Times New Roman" w:eastAsia="Times New Roman" w:hAnsi="Times New Roman"/>
                  <w:sz w:val="14"/>
                  <w:szCs w:val="14"/>
                  <w:color w:val="0000EE"/>
                </w:rPr>
                <w:t>Item 4. Controls and Procedures</w:t>
              </w:r>
            </w:hyperlink>
          </w:p>
        </w:tc>
        <w:tc>
          <w:tcPr>
            <w:tcW w:w="4920" w:type="dxa"/>
            <w:vAlign w:val="bottom"/>
            <w:gridSpan w:val="5"/>
            <w:shd w:val="clear" w:color="auto" w:fill="CCEEFF"/>
          </w:tcPr>
          <w:p>
            <w:pPr>
              <w:spacing w:after="0"/>
              <w:rPr>
                <w:sz w:val="13"/>
                <w:szCs w:val="13"/>
                <w:color w:val="auto"/>
              </w:rPr>
            </w:pPr>
          </w:p>
        </w:tc>
        <w:tc>
          <w:tcPr>
            <w:tcW w:w="10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36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80" w:type="dxa"/>
            <w:vAlign w:val="bottom"/>
            <w:tcBorders>
              <w:top w:val="single" w:sz="8" w:color="CCEEFF"/>
            </w:tcBorders>
          </w:tcPr>
          <w:p>
            <w:pPr>
              <w:spacing w:after="0"/>
              <w:rPr>
                <w:sz w:val="14"/>
                <w:szCs w:val="14"/>
                <w:color w:val="auto"/>
              </w:rPr>
            </w:pPr>
          </w:p>
        </w:tc>
        <w:tc>
          <w:tcPr>
            <w:tcW w:w="232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0" w:type="dxa"/>
            <w:vAlign w:val="bottom"/>
            <w:gridSpan w:val="8"/>
            <w:shd w:val="clear" w:color="auto" w:fill="CCEEFF"/>
          </w:tcPr>
          <w:p>
            <w:pPr>
              <w:jc w:val="center"/>
              <w:ind w:right="4000"/>
              <w:spacing w:after="0" w:line="137" w:lineRule="exact"/>
              <w:rPr>
                <w:rFonts w:ascii="Times New Roman" w:cs="Times New Roman" w:eastAsia="Times New Roman" w:hAnsi="Times New Roman"/>
                <w:sz w:val="14"/>
                <w:szCs w:val="14"/>
                <w:b w:val="1"/>
                <w:bCs w:val="1"/>
                <w:color w:val="0000EE"/>
                <w:w w:val="99"/>
              </w:rPr>
            </w:pPr>
            <w:hyperlink w:anchor="page40">
              <w:r>
                <w:rPr>
                  <w:rFonts w:ascii="Times New Roman" w:cs="Times New Roman" w:eastAsia="Times New Roman" w:hAnsi="Times New Roman"/>
                  <w:sz w:val="14"/>
                  <w:szCs w:val="14"/>
                  <w:b w:val="1"/>
                  <w:bCs w:val="1"/>
                  <w:color w:val="0000EE"/>
                  <w:w w:val="99"/>
                </w:rPr>
                <w:t>PART II. OTHER INFORMATION</w:t>
              </w:r>
            </w:hyperlink>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80" w:type="dxa"/>
            <w:vAlign w:val="bottom"/>
            <w:tcBorders>
              <w:top w:val="single" w:sz="8" w:color="CCEEFF"/>
            </w:tcBorders>
          </w:tcPr>
          <w:p>
            <w:pPr>
              <w:spacing w:after="0"/>
              <w:rPr>
                <w:sz w:val="14"/>
                <w:szCs w:val="14"/>
                <w:color w:val="auto"/>
              </w:rPr>
            </w:pPr>
          </w:p>
        </w:tc>
        <w:tc>
          <w:tcPr>
            <w:tcW w:w="232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 w:type="dxa"/>
            <w:vAlign w:val="bottom"/>
            <w:tcBorders>
              <w:bottom w:val="single" w:sz="8" w:color="0000EE"/>
            </w:tcBorders>
            <w:shd w:val="clear" w:color="auto" w:fill="CCEEFF"/>
          </w:tcPr>
          <w:p>
            <w:pPr>
              <w:spacing w:after="0" w:line="137" w:lineRule="exact"/>
              <w:rPr>
                <w:rFonts w:ascii="Times New Roman" w:cs="Times New Roman" w:eastAsia="Times New Roman" w:hAnsi="Times New Roman"/>
                <w:sz w:val="14"/>
                <w:szCs w:val="14"/>
                <w:color w:val="0000EE"/>
              </w:rPr>
            </w:pPr>
            <w:hyperlink w:anchor="page40">
              <w:r>
                <w:rPr>
                  <w:rFonts w:ascii="Times New Roman" w:cs="Times New Roman" w:eastAsia="Times New Roman" w:hAnsi="Times New Roman"/>
                  <w:sz w:val="14"/>
                  <w:szCs w:val="14"/>
                  <w:color w:val="0000EE"/>
                </w:rPr>
                <w:t>Item 1.</w:t>
              </w:r>
            </w:hyperlink>
          </w:p>
        </w:tc>
        <w:tc>
          <w:tcPr>
            <w:tcW w:w="1080" w:type="dxa"/>
            <w:vAlign w:val="bottom"/>
            <w:tcBorders>
              <w:bottom w:val="single" w:sz="8" w:color="0000EE"/>
            </w:tcBorders>
            <w:gridSpan w:val="4"/>
            <w:shd w:val="clear" w:color="auto" w:fill="CCEEFF"/>
          </w:tcPr>
          <w:p>
            <w:pPr>
              <w:ind w:left="40"/>
              <w:spacing w:after="0" w:line="137" w:lineRule="exact"/>
              <w:rPr>
                <w:rFonts w:ascii="Times New Roman" w:cs="Times New Roman" w:eastAsia="Times New Roman" w:hAnsi="Times New Roman"/>
                <w:sz w:val="14"/>
                <w:szCs w:val="14"/>
                <w:color w:val="0000EE"/>
                <w:w w:val="98"/>
              </w:rPr>
            </w:pPr>
            <w:hyperlink w:anchor="page40">
              <w:r>
                <w:rPr>
                  <w:rFonts w:ascii="Times New Roman" w:cs="Times New Roman" w:eastAsia="Times New Roman" w:hAnsi="Times New Roman"/>
                  <w:sz w:val="14"/>
                  <w:szCs w:val="14"/>
                  <w:color w:val="0000EE"/>
                  <w:w w:val="98"/>
                </w:rPr>
                <w:t>Legal Proceedings</w:t>
              </w:r>
            </w:hyperlink>
          </w:p>
        </w:tc>
        <w:tc>
          <w:tcPr>
            <w:tcW w:w="8880" w:type="dxa"/>
            <w:vAlign w:val="bottom"/>
            <w:tcBorders>
              <w:bottom w:val="single" w:sz="8" w:color="CCEEFF"/>
            </w:tcBorders>
            <w:gridSpan w:val="14"/>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37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380" w:type="dxa"/>
            <w:vAlign w:val="bottom"/>
            <w:gridSpan w:val="19"/>
          </w:tcPr>
          <w:p>
            <w:pPr>
              <w:spacing w:after="0" w:line="137" w:lineRule="exact"/>
              <w:rPr>
                <w:rFonts w:ascii="Times New Roman" w:cs="Times New Roman" w:eastAsia="Times New Roman" w:hAnsi="Times New Roman"/>
                <w:sz w:val="14"/>
                <w:szCs w:val="14"/>
                <w:color w:val="0000EE"/>
              </w:rPr>
            </w:pPr>
            <w:hyperlink w:anchor="page40">
              <w:r>
                <w:rPr>
                  <w:rFonts w:ascii="Times New Roman" w:cs="Times New Roman" w:eastAsia="Times New Roman" w:hAnsi="Times New Roman"/>
                  <w:sz w:val="14"/>
                  <w:szCs w:val="14"/>
                  <w:color w:val="0000EE"/>
                </w:rPr>
                <w:t>Item 1A. Risk Factors</w:t>
              </w:r>
            </w:hyperlink>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20" w:type="dxa"/>
            <w:vAlign w:val="bottom"/>
            <w:tcBorders>
              <w:bottom w:val="single" w:sz="8" w:color="0000EE"/>
            </w:tcBorders>
            <w:shd w:val="clear" w:color="auto" w:fill="CCEEFF"/>
          </w:tcPr>
          <w:p>
            <w:pPr>
              <w:spacing w:after="0" w:line="149" w:lineRule="exact"/>
              <w:rPr>
                <w:rFonts w:ascii="Times New Roman" w:cs="Times New Roman" w:eastAsia="Times New Roman" w:hAnsi="Times New Roman"/>
                <w:sz w:val="14"/>
                <w:szCs w:val="14"/>
                <w:color w:val="0000EE"/>
              </w:rPr>
            </w:pPr>
            <w:hyperlink w:anchor="page70">
              <w:r>
                <w:rPr>
                  <w:rFonts w:ascii="Times New Roman" w:cs="Times New Roman" w:eastAsia="Times New Roman" w:hAnsi="Times New Roman"/>
                  <w:sz w:val="14"/>
                  <w:szCs w:val="14"/>
                  <w:color w:val="0000EE"/>
                </w:rPr>
                <w:t>Item 2.</w:t>
              </w:r>
            </w:hyperlink>
          </w:p>
        </w:tc>
        <w:tc>
          <w:tcPr>
            <w:tcW w:w="3440" w:type="dxa"/>
            <w:vAlign w:val="bottom"/>
            <w:tcBorders>
              <w:bottom w:val="single" w:sz="8" w:color="0000EE"/>
            </w:tcBorders>
            <w:gridSpan w:val="9"/>
            <w:shd w:val="clear" w:color="auto" w:fill="CCEEFF"/>
          </w:tcPr>
          <w:p>
            <w:pPr>
              <w:ind w:left="40"/>
              <w:spacing w:after="0" w:line="149" w:lineRule="exact"/>
              <w:rPr>
                <w:rFonts w:ascii="Times New Roman" w:cs="Times New Roman" w:eastAsia="Times New Roman" w:hAnsi="Times New Roman"/>
                <w:sz w:val="14"/>
                <w:szCs w:val="14"/>
                <w:color w:val="0000EE"/>
                <w:w w:val="99"/>
              </w:rPr>
            </w:pPr>
            <w:hyperlink w:anchor="page70">
              <w:r>
                <w:rPr>
                  <w:rFonts w:ascii="Times New Roman" w:cs="Times New Roman" w:eastAsia="Times New Roman" w:hAnsi="Times New Roman"/>
                  <w:sz w:val="14"/>
                  <w:szCs w:val="14"/>
                  <w:color w:val="0000EE"/>
                  <w:w w:val="99"/>
                </w:rPr>
                <w:t>Unregistered Sales of Equity Securities and Use of Proceeds</w:t>
              </w:r>
            </w:hyperlink>
          </w:p>
        </w:tc>
        <w:tc>
          <w:tcPr>
            <w:tcW w:w="6520" w:type="dxa"/>
            <w:vAlign w:val="bottom"/>
            <w:tcBorders>
              <w:bottom w:val="single" w:sz="8" w:color="CCEEFF"/>
            </w:tcBorders>
            <w:gridSpan w:val="9"/>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20" w:type="dxa"/>
            <w:vAlign w:val="bottom"/>
            <w:tcBorders>
              <w:bottom w:val="single" w:sz="8" w:color="0000EE"/>
            </w:tcBorders>
          </w:tcPr>
          <w:p>
            <w:pPr>
              <w:spacing w:after="0" w:line="137" w:lineRule="exact"/>
              <w:rPr>
                <w:rFonts w:ascii="Times New Roman" w:cs="Times New Roman" w:eastAsia="Times New Roman" w:hAnsi="Times New Roman"/>
                <w:sz w:val="14"/>
                <w:szCs w:val="14"/>
                <w:color w:val="0000EE"/>
              </w:rPr>
            </w:pPr>
            <w:hyperlink w:anchor="page71">
              <w:r>
                <w:rPr>
                  <w:rFonts w:ascii="Times New Roman" w:cs="Times New Roman" w:eastAsia="Times New Roman" w:hAnsi="Times New Roman"/>
                  <w:sz w:val="14"/>
                  <w:szCs w:val="14"/>
                  <w:color w:val="0000EE"/>
                </w:rPr>
                <w:t>Item 3.</w:t>
              </w:r>
            </w:hyperlink>
          </w:p>
        </w:tc>
        <w:tc>
          <w:tcPr>
            <w:tcW w:w="2340" w:type="dxa"/>
            <w:vAlign w:val="bottom"/>
            <w:tcBorders>
              <w:bottom w:val="single" w:sz="8" w:color="0000EE"/>
            </w:tcBorders>
            <w:gridSpan w:val="6"/>
          </w:tcPr>
          <w:p>
            <w:pPr>
              <w:ind w:left="40"/>
              <w:spacing w:after="0" w:line="137" w:lineRule="exact"/>
              <w:rPr>
                <w:rFonts w:ascii="Times New Roman" w:cs="Times New Roman" w:eastAsia="Times New Roman" w:hAnsi="Times New Roman"/>
                <w:sz w:val="14"/>
                <w:szCs w:val="14"/>
                <w:color w:val="0000EE"/>
                <w:w w:val="99"/>
              </w:rPr>
            </w:pPr>
            <w:hyperlink w:anchor="page71">
              <w:r>
                <w:rPr>
                  <w:rFonts w:ascii="Times New Roman" w:cs="Times New Roman" w:eastAsia="Times New Roman" w:hAnsi="Times New Roman"/>
                  <w:sz w:val="14"/>
                  <w:szCs w:val="14"/>
                  <w:color w:val="0000EE"/>
                  <w:w w:val="99"/>
                </w:rPr>
                <w:t>Defaults Upon Senior Secured Securities</w:t>
              </w:r>
            </w:hyperlink>
          </w:p>
        </w:tc>
        <w:tc>
          <w:tcPr>
            <w:tcW w:w="7620" w:type="dxa"/>
            <w:vAlign w:val="bottom"/>
            <w:gridSpan w:val="12"/>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68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0" w:type="dxa"/>
            <w:vAlign w:val="bottom"/>
            <w:shd w:val="clear" w:color="auto" w:fill="CCEEFF"/>
          </w:tcPr>
          <w:p>
            <w:pPr>
              <w:spacing w:after="0" w:line="149" w:lineRule="exact"/>
              <w:rPr>
                <w:rFonts w:ascii="Times New Roman" w:cs="Times New Roman" w:eastAsia="Times New Roman" w:hAnsi="Times New Roman"/>
                <w:sz w:val="14"/>
                <w:szCs w:val="14"/>
                <w:color w:val="0000EE"/>
              </w:rPr>
            </w:pPr>
            <w:hyperlink w:anchor="page71">
              <w:r>
                <w:rPr>
                  <w:rFonts w:ascii="Times New Roman" w:cs="Times New Roman" w:eastAsia="Times New Roman" w:hAnsi="Times New Roman"/>
                  <w:sz w:val="14"/>
                  <w:szCs w:val="14"/>
                  <w:color w:val="0000EE"/>
                </w:rPr>
                <w:t>Item 6.</w:t>
              </w:r>
            </w:hyperlink>
          </w:p>
        </w:tc>
        <w:tc>
          <w:tcPr>
            <w:tcW w:w="9960" w:type="dxa"/>
            <w:vAlign w:val="bottom"/>
            <w:gridSpan w:val="18"/>
            <w:shd w:val="clear" w:color="auto" w:fill="CCEEFF"/>
          </w:tcPr>
          <w:p>
            <w:pPr>
              <w:ind w:left="40"/>
              <w:spacing w:after="0" w:line="149" w:lineRule="exact"/>
              <w:rPr>
                <w:rFonts w:ascii="Times New Roman" w:cs="Times New Roman" w:eastAsia="Times New Roman" w:hAnsi="Times New Roman"/>
                <w:sz w:val="14"/>
                <w:szCs w:val="14"/>
                <w:color w:val="0000EE"/>
              </w:rPr>
            </w:pPr>
            <w:hyperlink w:anchor="page71">
              <w:r>
                <w:rPr>
                  <w:rFonts w:ascii="Times New Roman" w:cs="Times New Roman" w:eastAsia="Times New Roman" w:hAnsi="Times New Roman"/>
                  <w:sz w:val="14"/>
                  <w:szCs w:val="14"/>
                  <w:color w:val="0000EE"/>
                </w:rPr>
                <w:t>Exhibits</w:t>
              </w:r>
            </w:hyperlink>
          </w:p>
        </w:tc>
        <w:tc>
          <w:tcPr>
            <w:tcW w:w="10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40" w:type="dxa"/>
            <w:vAlign w:val="bottom"/>
            <w:tcBorders>
              <w:top w:val="single" w:sz="8" w:color="0000EE"/>
            </w:tcBorders>
            <w:gridSpan w:val="2"/>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80" w:type="dxa"/>
            <w:vAlign w:val="bottom"/>
            <w:tcBorders>
              <w:top w:val="single" w:sz="8" w:color="CCEEFF"/>
            </w:tcBorders>
          </w:tcPr>
          <w:p>
            <w:pPr>
              <w:spacing w:after="0"/>
              <w:rPr>
                <w:sz w:val="14"/>
                <w:szCs w:val="14"/>
                <w:color w:val="auto"/>
              </w:rPr>
            </w:pPr>
          </w:p>
        </w:tc>
        <w:tc>
          <w:tcPr>
            <w:tcW w:w="232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80" w:type="dxa"/>
            <w:vAlign w:val="bottom"/>
            <w:gridSpan w:val="19"/>
            <w:shd w:val="clear" w:color="auto" w:fill="CCEEFF"/>
          </w:tcPr>
          <w:p>
            <w:pPr>
              <w:spacing w:after="0" w:line="137" w:lineRule="exact"/>
              <w:rPr>
                <w:rFonts w:ascii="Times New Roman" w:cs="Times New Roman" w:eastAsia="Times New Roman" w:hAnsi="Times New Roman"/>
                <w:sz w:val="14"/>
                <w:szCs w:val="14"/>
                <w:color w:val="0000EE"/>
              </w:rPr>
            </w:pPr>
            <w:hyperlink w:anchor="page72">
              <w:r>
                <w:rPr>
                  <w:rFonts w:ascii="Times New Roman" w:cs="Times New Roman" w:eastAsia="Times New Roman" w:hAnsi="Times New Roman"/>
                  <w:sz w:val="14"/>
                  <w:szCs w:val="14"/>
                  <w:color w:val="0000EE"/>
                </w:rPr>
                <w:t>SIGNATURES</w:t>
              </w:r>
            </w:hyperlink>
          </w:p>
        </w:tc>
        <w:tc>
          <w:tcPr>
            <w:tcW w:w="1060" w:type="dxa"/>
            <w:vAlign w:val="bottom"/>
            <w:shd w:val="clear" w:color="auto" w:fill="CCEEFF"/>
          </w:tcPr>
          <w:p>
            <w:pPr>
              <w:jc w:val="right"/>
              <w:ind w:right="370"/>
              <w:spacing w:after="0" w:line="137"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4920" w:type="dxa"/>
            <w:vAlign w:val="bottom"/>
            <w:tcBorders>
              <w:top w:val="single" w:sz="8" w:color="CCEEFF"/>
            </w:tcBorders>
            <w:gridSpan w:val="5"/>
          </w:tcPr>
          <w:p>
            <w:pPr>
              <w:jc w:val="center"/>
              <w:ind w:right="4420"/>
              <w:spacing w:after="0"/>
              <w:rPr>
                <w:sz w:val="20"/>
                <w:szCs w:val="20"/>
                <w:color w:val="auto"/>
              </w:rPr>
            </w:pPr>
            <w:r>
              <w:rPr>
                <w:rFonts w:ascii="Times New Roman" w:cs="Times New Roman" w:eastAsia="Times New Roman" w:hAnsi="Times New Roman"/>
                <w:sz w:val="14"/>
                <w:szCs w:val="14"/>
                <w:color w:val="auto"/>
              </w:rPr>
              <w:t>-i-</w:t>
            </w:r>
          </w:p>
        </w:tc>
        <w:tc>
          <w:tcPr>
            <w:tcW w:w="10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680" w:type="dxa"/>
            <w:vAlign w:val="bottom"/>
            <w:tcBorders>
              <w:bottom w:val="single" w:sz="8" w:color="808080"/>
            </w:tcBorders>
          </w:tcPr>
          <w:p>
            <w:pPr>
              <w:spacing w:after="0"/>
              <w:rPr>
                <w:sz w:val="7"/>
                <w:szCs w:val="7"/>
                <w:color w:val="auto"/>
              </w:rPr>
            </w:pPr>
          </w:p>
        </w:tc>
        <w:tc>
          <w:tcPr>
            <w:tcW w:w="232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7269480</wp:posOffset>
            </wp:positionH>
            <wp:positionV relativeFrom="paragraph">
              <wp:posOffset>-12700</wp:posOffset>
            </wp:positionV>
            <wp:extent cx="127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127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29"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26"/>
        </w:trPr>
        <w:tc>
          <w:tcPr>
            <w:tcW w:w="820" w:type="dxa"/>
            <w:vAlign w:val="bottom"/>
            <w:tcBorders>
              <w:bottom w:val="single" w:sz="8" w:color="0000EE"/>
            </w:tcBorders>
            <w:gridSpan w:val="2"/>
          </w:tcPr>
          <w:p>
            <w:pPr>
              <w:spacing w:after="0"/>
              <w:rPr>
                <w:rFonts w:ascii="Times New Roman" w:cs="Times New Roman" w:eastAsia="Times New Roman" w:hAnsi="Times New Roman"/>
                <w:sz w:val="11"/>
                <w:szCs w:val="11"/>
                <w:b w:val="1"/>
                <w:bCs w:val="1"/>
                <w:i w:val="1"/>
                <w:iCs w:val="1"/>
                <w:color w:val="0000EE"/>
                <w:w w:val="99"/>
              </w:rPr>
            </w:pPr>
            <w:hyperlink w:anchor="page2">
              <w:r>
                <w:rPr>
                  <w:rFonts w:ascii="Times New Roman" w:cs="Times New Roman" w:eastAsia="Times New Roman" w:hAnsi="Times New Roman"/>
                  <w:sz w:val="11"/>
                  <w:szCs w:val="11"/>
                  <w:b w:val="1"/>
                  <w:bCs w:val="1"/>
                  <w:i w:val="1"/>
                  <w:iCs w:val="1"/>
                  <w:color w:val="0000EE"/>
                  <w:w w:val="99"/>
                </w:rPr>
                <w:t>Table of Contents</w:t>
              </w:r>
            </w:hyperlink>
          </w:p>
        </w:tc>
        <w:tc>
          <w:tcPr>
            <w:tcW w:w="8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8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 Condensed Consolidated Financial Statements (Unaudited)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20" w:type="dxa"/>
            <w:vAlign w:val="bottom"/>
          </w:tcPr>
          <w:p>
            <w:pPr>
              <w:jc w:val="center"/>
              <w:ind w:left="1750"/>
              <w:spacing w:after="0"/>
              <w:rPr>
                <w:sz w:val="20"/>
                <w:szCs w:val="20"/>
                <w:color w:val="auto"/>
              </w:rPr>
            </w:pPr>
            <w:r>
              <w:rPr>
                <w:rFonts w:ascii="Times New Roman" w:cs="Times New Roman" w:eastAsia="Times New Roman" w:hAnsi="Times New Roman"/>
                <w:sz w:val="14"/>
                <w:szCs w:val="14"/>
                <w:b w:val="1"/>
                <w:bCs w:val="1"/>
                <w:color w:val="auto"/>
              </w:rPr>
              <w:t>VISTAGEN THERAPEUTICS, INC.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20" w:type="dxa"/>
            <w:vAlign w:val="bottom"/>
          </w:tcPr>
          <w:p>
            <w:pPr>
              <w:jc w:val="center"/>
              <w:ind w:left="175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20" w:type="dxa"/>
            <w:vAlign w:val="bottom"/>
          </w:tcPr>
          <w:p>
            <w:pPr>
              <w:jc w:val="center"/>
              <w:ind w:left="1750"/>
              <w:spacing w:after="0"/>
              <w:rPr>
                <w:sz w:val="20"/>
                <w:szCs w:val="20"/>
                <w:color w:val="auto"/>
              </w:rPr>
            </w:pPr>
            <w:r>
              <w:rPr>
                <w:rFonts w:ascii="Times New Roman" w:cs="Times New Roman" w:eastAsia="Times New Roman" w:hAnsi="Times New Roman"/>
                <w:sz w:val="14"/>
                <w:szCs w:val="14"/>
                <w:b w:val="1"/>
                <w:bCs w:val="1"/>
                <w:color w:val="auto"/>
              </w:rPr>
              <w:t>(Amounts in Dollars, except share amounts)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20" w:type="dxa"/>
            <w:vAlign w:val="bottom"/>
            <w:vMerge w:val="restart"/>
          </w:tcPr>
          <w:p>
            <w:pPr>
              <w:jc w:val="center"/>
              <w:ind w:right="83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40" w:type="dxa"/>
            <w:vAlign w:val="bottom"/>
          </w:tcPr>
          <w:p>
            <w:pPr>
              <w:spacing w:after="0"/>
              <w:rPr>
                <w:sz w:val="16"/>
                <w:szCs w:val="16"/>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1,158,400</w:t>
            </w:r>
          </w:p>
        </w:tc>
        <w:tc>
          <w:tcPr>
            <w:tcW w:w="140" w:type="dxa"/>
            <w:vAlign w:val="bottom"/>
            <w:tcBorders>
              <w:left w:val="single" w:sz="8" w:color="CCEEFF"/>
            </w:tcBorders>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1,886,700</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105,700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117,100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Security deposits and other assets</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46,900</w:t>
            </w:r>
          </w:p>
        </w:tc>
        <w:tc>
          <w:tcPr>
            <w:tcW w:w="14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2,012,200</w:t>
            </w:r>
          </w:p>
        </w:tc>
        <w:tc>
          <w:tcPr>
            <w:tcW w:w="14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269,700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20" w:type="dxa"/>
            <w:vAlign w:val="bottom"/>
          </w:tcPr>
          <w:p>
            <w:pPr>
              <w:jc w:val="center"/>
              <w:ind w:right="830"/>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1,097,600</w:t>
            </w:r>
          </w:p>
        </w:tc>
        <w:tc>
          <w:tcPr>
            <w:tcW w:w="14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2,251,100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929,100</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1,206,500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maturities of senior secured convertible promissory notes and accrued interest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4,146,100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notes payable, net of discount of $0 at December 31, 2015 and $474,500 at March 31, 2015, and accrued interest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73,800</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4,117,000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notes payable to related parties, net of discount of $0 at December 31, 2015 and $54,500 at March 31, 2015, and accrued interest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1,508,800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Convertible promissory notes and accrued interest, net of discount of $0 at December 31, 2015 and $180,000 at March 31, 2015, respectively</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4,157,600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Capital lease obligations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2,101,600</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17,388,100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Senior secured convertible promissory notes and accrued interest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296,200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payable</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29,300</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35,600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Warrant liability</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3,008,500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dividends on Series B Preferred Stock</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1,415,800</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rent liability</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83,000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lease obligations</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4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1,508,900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3,424,400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3,610,500</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20,812,500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deficit: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Preferred stock, $0.001 par value; 10,000,000 shares authorized at December 31, 2015 and March 31, 2015:</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Series A Preferred, 500,000 shares authorized and outstanding at December 31, 2015 and March 31, 2015</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20" w:type="dxa"/>
            <w:vAlign w:val="bottom"/>
            <w:gridSpan w:val="2"/>
          </w:tcPr>
          <w:p>
            <w:pPr>
              <w:ind w:left="300"/>
              <w:spacing w:after="0" w:line="155" w:lineRule="exact"/>
              <w:rPr>
                <w:sz w:val="20"/>
                <w:szCs w:val="20"/>
                <w:color w:val="auto"/>
              </w:rPr>
            </w:pPr>
            <w:r>
              <w:rPr>
                <w:rFonts w:ascii="Times New Roman" w:cs="Times New Roman" w:eastAsia="Times New Roman" w:hAnsi="Times New Roman"/>
                <w:sz w:val="14"/>
                <w:szCs w:val="14"/>
                <w:color w:val="auto"/>
              </w:rPr>
              <w:t>Series B Preferred, 4,000,000 shares and no shares authorized at December 31, 2015 and March 31, 2015, respectively; 3,588,863 shares and no</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shares issued and outstanding at December 31, 2015 and March 31, 2015, respectively</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20" w:type="dxa"/>
            <w:vAlign w:val="bottom"/>
            <w:gridSpan w:val="2"/>
            <w:shd w:val="clear" w:color="auto" w:fill="CCEEFF"/>
          </w:tcPr>
          <w:p>
            <w:pPr>
              <w:ind w:left="140"/>
              <w:spacing w:after="0" w:line="155" w:lineRule="exact"/>
              <w:rPr>
                <w:sz w:val="20"/>
                <w:szCs w:val="20"/>
                <w:color w:val="auto"/>
              </w:rPr>
            </w:pPr>
            <w:r>
              <w:rPr>
                <w:rFonts w:ascii="Times New Roman" w:cs="Times New Roman" w:eastAsia="Times New Roman" w:hAnsi="Times New Roman"/>
                <w:sz w:val="14"/>
                <w:szCs w:val="14"/>
                <w:color w:val="auto"/>
              </w:rPr>
              <w:t>Common stock, $0.001 par value; 30,000,000 shares and 10,000,000 shares authorized at December 31, 2015 and March 31, 2015, respectively;</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1,965,170 shares and 1,677,110 shares issued at December 31, 2015 and March 31, 2015 respectively</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4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125,605,200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67,945,800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 at cost, 135,665 shares of common stock held at December 31, 2015 and March 31, 2015, respectively</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(3,968,100)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(3,968,100)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(123,241,500)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(84,522,700)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(1,598,300)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(20,542,800)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Total liabilities and stockholders’ deficit</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2,012,200</w:t>
            </w:r>
          </w:p>
        </w:tc>
        <w:tc>
          <w:tcPr>
            <w:tcW w:w="14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269,700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19" w:right="219" w:bottom="1440" w:gutter="0" w:footer="0" w:header="0"/>
        </w:sectPr>
      </w:pPr>
    </w:p>
    <w:bookmarkStart w:id="3" w:name="page4"/>
    <w:bookmarkEnd w:id="3"/>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dollars, except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806,300</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445,400</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2,835,000</w:t>
            </w:r>
          </w:p>
        </w:tc>
        <w:tc>
          <w:tcPr>
            <w:tcW w:w="1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1,476,600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1,335,500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671,300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6,514,500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2,024,600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2,141,800</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1,116,700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9,349,500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3,501,200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from operations</w:t>
            </w: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(2,141,800)</w:t>
            </w:r>
          </w:p>
        </w:tc>
        <w:tc>
          <w:tcPr>
            <w:tcW w:w="3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(1,116,700)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(9,349,500)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(3,501,200)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expenses, net:</w:t>
            </w:r>
          </w:p>
        </w:tc>
        <w:tc>
          <w:tcPr>
            <w:tcW w:w="1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3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(792,400)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(769,800)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(2,182,900)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warrant liability</w:t>
            </w:r>
          </w:p>
        </w:tc>
        <w:tc>
          <w:tcPr>
            <w:tcW w:w="1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953,700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(1,894,700)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528,300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(26,700,200)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(2,371,400)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expense</w:t>
            </w:r>
          </w:p>
        </w:tc>
        <w:tc>
          <w:tcPr>
            <w:tcW w:w="1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(2,300)</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(134,900)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(134,900)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(2,146,600)</w:t>
            </w:r>
          </w:p>
        </w:tc>
        <w:tc>
          <w:tcPr>
            <w:tcW w:w="3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(1,090,300)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(38,716,500)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(7,662,100)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1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520" w:type="dxa"/>
            <w:vAlign w:val="bottom"/>
            <w:tcBorders>
              <w:top w:val="single" w:sz="8" w:color="CCEEFF"/>
            </w:tcBorders>
          </w:tcPr>
          <w:p>
            <w:pPr>
              <w:spacing w:after="0"/>
              <w:rPr>
                <w:sz w:val="14"/>
                <w:szCs w:val="14"/>
                <w:color w:val="auto"/>
              </w:rPr>
            </w:pPr>
          </w:p>
        </w:tc>
        <w:tc>
          <w:tcPr>
            <w:tcW w:w="15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(2,146,600)</w:t>
            </w:r>
          </w:p>
        </w:tc>
        <w:tc>
          <w:tcPr>
            <w:tcW w:w="36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(1,090,300)</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(38,718,800)</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(7,664,500)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Accrued dividends on Series B Preferred stock</w:t>
            </w: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(631,300)</w:t>
            </w:r>
          </w:p>
        </w:tc>
        <w:tc>
          <w:tcPr>
            <w:tcW w:w="3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(1,459,300)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Deemed dividend on Series B Preferred Units</w:t>
            </w:r>
          </w:p>
        </w:tc>
        <w:tc>
          <w:tcPr>
            <w:tcW w:w="1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(668,700)</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(1,811,800)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520" w:type="dxa"/>
            <w:vAlign w:val="bottom"/>
            <w:tcBorders>
              <w:top w:val="single" w:sz="8" w:color="CCEEFF"/>
            </w:tcBorders>
          </w:tcPr>
          <w:p>
            <w:pPr>
              <w:spacing w:after="0"/>
              <w:rPr>
                <w:sz w:val="14"/>
                <w:szCs w:val="14"/>
                <w:color w:val="auto"/>
              </w:rPr>
            </w:pPr>
          </w:p>
        </w:tc>
        <w:tc>
          <w:tcPr>
            <w:tcW w:w="15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(3,446,600)</w:t>
            </w:r>
          </w:p>
        </w:tc>
        <w:tc>
          <w:tcPr>
            <w:tcW w:w="36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(1,090,300)</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(41,989,900)</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(7,664,500)</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52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5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Basic net loss attributable to common stockholders</w:t>
            </w:r>
          </w:p>
        </w:tc>
        <w:tc>
          <w:tcPr>
            <w:tcW w:w="1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 common share</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(1.95)</w:t>
            </w:r>
          </w:p>
        </w:tc>
        <w:tc>
          <w:tcPr>
            <w:tcW w:w="36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(0.84)</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(25.45)</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(6.03)</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52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5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Diluted net loss attributable to common stockholders</w:t>
            </w:r>
          </w:p>
        </w:tc>
        <w:tc>
          <w:tcPr>
            <w:tcW w:w="1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 common share</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(1.95)</w:t>
            </w:r>
          </w:p>
        </w:tc>
        <w:tc>
          <w:tcPr>
            <w:tcW w:w="36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(25.45)</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52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used in computing:</w:t>
            </w:r>
          </w:p>
        </w:tc>
        <w:tc>
          <w:tcPr>
            <w:tcW w:w="1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Basic net loss attributable to common stockholders</w:t>
            </w: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per common share</w:t>
            </w: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1,765,641</w:t>
            </w:r>
          </w:p>
        </w:tc>
        <w:tc>
          <w:tcPr>
            <w:tcW w:w="3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1,302,300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1,650,160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1,270,495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5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60"/>
          </w:cols>
          <w:pgMar w:left="220" w:top="120" w:right="219" w:bottom="1440" w:gutter="0" w:footer="0" w:header="0"/>
        </w:sectPr>
      </w:pPr>
    </w:p>
    <w:p>
      <w:pPr>
        <w:ind w:left="120" w:hanging="105"/>
        <w:spacing w:after="0" w:line="263" w:lineRule="auto"/>
        <w:rPr>
          <w:sz w:val="20"/>
          <w:szCs w:val="20"/>
          <w:color w:val="auto"/>
        </w:rPr>
      </w:pPr>
      <w:r>
        <w:rPr>
          <w:rFonts w:ascii="Times New Roman" w:cs="Times New Roman" w:eastAsia="Times New Roman" w:hAnsi="Times New Roman"/>
          <w:sz w:val="14"/>
          <w:szCs w:val="14"/>
          <w:color w:val="auto"/>
        </w:rPr>
        <w:t>Diluted net loss attributable to common stockholders per common share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both"/>
        <w:ind w:left="3060"/>
        <w:spacing w:after="0"/>
        <w:tabs>
          <w:tab w:leader="none" w:pos="4420" w:val="left"/>
          <w:tab w:leader="none" w:pos="5800" w:val="left"/>
          <w:tab w:leader="none" w:pos="7160" w:val="left"/>
        </w:tabs>
        <w:rPr>
          <w:sz w:val="20"/>
          <w:szCs w:val="20"/>
          <w:color w:val="auto"/>
        </w:rPr>
      </w:pPr>
      <w:r>
        <w:rPr>
          <w:rFonts w:ascii="Times New Roman" w:cs="Times New Roman" w:eastAsia="Times New Roman" w:hAnsi="Times New Roman"/>
          <w:sz w:val="14"/>
          <w:szCs w:val="14"/>
          <w:color w:val="auto"/>
        </w:rPr>
        <w:t>1,765,641</w:t>
      </w:r>
      <w:r>
        <w:rPr>
          <w:sz w:val="20"/>
          <w:szCs w:val="20"/>
          <w:color w:val="auto"/>
        </w:rPr>
        <w:tab/>
      </w:r>
      <w:r>
        <w:rPr>
          <w:rFonts w:ascii="Times New Roman" w:cs="Times New Roman" w:eastAsia="Times New Roman" w:hAnsi="Times New Roman"/>
          <w:sz w:val="14"/>
          <w:szCs w:val="14"/>
          <w:color w:val="auto"/>
        </w:rPr>
        <w:t>1,302,300</w:t>
      </w:r>
      <w:r>
        <w:rPr>
          <w:sz w:val="20"/>
          <w:szCs w:val="20"/>
          <w:color w:val="auto"/>
        </w:rPr>
        <w:tab/>
      </w:r>
      <w:r>
        <w:rPr>
          <w:rFonts w:ascii="Times New Roman" w:cs="Times New Roman" w:eastAsia="Times New Roman" w:hAnsi="Times New Roman"/>
          <w:sz w:val="14"/>
          <w:szCs w:val="14"/>
          <w:color w:val="auto"/>
        </w:rPr>
        <w:t>1,650,160</w:t>
      </w:r>
      <w:r>
        <w:rPr>
          <w:sz w:val="20"/>
          <w:szCs w:val="20"/>
          <w:color w:val="auto"/>
        </w:rPr>
        <w:tab/>
      </w:r>
      <w:r>
        <w:rPr>
          <w:rFonts w:ascii="Times New Roman" w:cs="Times New Roman" w:eastAsia="Times New Roman" w:hAnsi="Times New Roman"/>
          <w:sz w:val="14"/>
          <w:szCs w:val="14"/>
          <w:color w:val="auto"/>
        </w:rPr>
        <w:t>1,288,674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14605</wp:posOffset>
            </wp:positionV>
            <wp:extent cx="3346450" cy="26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6450" cy="2667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31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-2298065</wp:posOffset>
            </wp:positionH>
            <wp:positionV relativeFrom="paragraph">
              <wp:posOffset>64770</wp:posOffset>
            </wp:positionV>
            <wp:extent cx="728218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2">
            <w:col w:w="2980" w:space="640"/>
            <w:col w:w="7840"/>
          </w:cols>
          <w:pgMar w:left="220" w:top="120" w:right="2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26"/>
        </w:trPr>
        <w:tc>
          <w:tcPr>
            <w:tcW w:w="8840" w:type="dxa"/>
            <w:vAlign w:val="bottom"/>
            <w:gridSpan w:val="3"/>
          </w:tcPr>
          <w:p>
            <w:pPr>
              <w:spacing w:after="0"/>
              <w:rPr>
                <w:rFonts w:ascii="Times New Roman" w:cs="Times New Roman" w:eastAsia="Times New Roman" w:hAnsi="Times New Roman"/>
                <w:sz w:val="11"/>
                <w:szCs w:val="11"/>
                <w:b w:val="1"/>
                <w:bCs w:val="1"/>
                <w:i w:val="1"/>
                <w:iCs w:val="1"/>
                <w:color w:val="0000EE"/>
              </w:rPr>
            </w:pPr>
            <w:hyperlink w:anchor="page2">
              <w:r>
                <w:rPr>
                  <w:rFonts w:ascii="Times New Roman" w:cs="Times New Roman" w:eastAsia="Times New Roman" w:hAnsi="Times New Roman"/>
                  <w:sz w:val="11"/>
                  <w:szCs w:val="11"/>
                  <w:b w:val="1"/>
                  <w:bCs w:val="1"/>
                  <w:i w:val="1"/>
                  <w:iCs w:val="1"/>
                  <w:color w:val="0000EE"/>
                </w:rPr>
                <w:t>Table of Contents</w:t>
              </w:r>
            </w:hyperlink>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20" w:type="dxa"/>
            <w:vAlign w:val="bottom"/>
          </w:tcPr>
          <w:p>
            <w:pPr>
              <w:jc w:val="center"/>
              <w:ind w:left="1750"/>
              <w:spacing w:after="0"/>
              <w:rPr>
                <w:sz w:val="20"/>
                <w:szCs w:val="20"/>
                <w:color w:val="auto"/>
              </w:rPr>
            </w:pPr>
            <w:r>
              <w:rPr>
                <w:rFonts w:ascii="Times New Roman" w:cs="Times New Roman" w:eastAsia="Times New Roman" w:hAnsi="Times New Roman"/>
                <w:sz w:val="14"/>
                <w:szCs w:val="14"/>
                <w:b w:val="1"/>
                <w:bCs w:val="1"/>
                <w:color w:val="auto"/>
              </w:rPr>
              <w:t>VISTAGEN THERAPEUTICS, INC.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20" w:type="dxa"/>
            <w:vAlign w:val="bottom"/>
          </w:tcPr>
          <w:p>
            <w:pPr>
              <w:jc w:val="center"/>
              <w:ind w:left="1730"/>
              <w:spacing w:after="0"/>
              <w:rPr>
                <w:sz w:val="20"/>
                <w:szCs w:val="20"/>
                <w:color w:val="auto"/>
              </w:rPr>
            </w:pPr>
            <w:r>
              <w:rPr>
                <w:rFonts w:ascii="Times New Roman" w:cs="Times New Roman" w:eastAsia="Times New Roman" w:hAnsi="Times New Roman"/>
                <w:sz w:val="14"/>
                <w:szCs w:val="14"/>
                <w:b w:val="1"/>
                <w:bCs w:val="1"/>
                <w:color w:val="auto"/>
                <w:w w:val="99"/>
              </w:rPr>
              <w:t>CONDENSED CONSOLIDATED STATEMENTS OF CASH FLOWS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20" w:type="dxa"/>
            <w:vAlign w:val="bottom"/>
          </w:tcPr>
          <w:p>
            <w:pPr>
              <w:jc w:val="center"/>
              <w:ind w:left="175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20" w:type="dxa"/>
            <w:vAlign w:val="bottom"/>
          </w:tcPr>
          <w:p>
            <w:pPr>
              <w:jc w:val="center"/>
              <w:ind w:left="1730"/>
              <w:spacing w:after="0"/>
              <w:rPr>
                <w:sz w:val="20"/>
                <w:szCs w:val="20"/>
                <w:color w:val="auto"/>
              </w:rPr>
            </w:pPr>
            <w:r>
              <w:rPr>
                <w:rFonts w:ascii="Times New Roman" w:cs="Times New Roman" w:eastAsia="Times New Roman" w:hAnsi="Times New Roman"/>
                <w:sz w:val="14"/>
                <w:szCs w:val="14"/>
                <w:b w:val="1"/>
                <w:bCs w:val="1"/>
                <w:color w:val="auto"/>
                <w:w w:val="99"/>
              </w:rPr>
              <w:t>(Amounts in Dollars)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(38,718,800)</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(7,664,500)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40,800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39,200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discounts on convertible and promissory notes</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564,800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1,294,700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warrant liability</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1,894,700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(528,300)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3,868,300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564,000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 related to modification of warrants</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614,900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Non-cash rent expense</w:t>
            </w: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(19,500)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(9,700)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 on note receivable for common stock purchase</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Loss on settlement of note receivable for common stock purchase</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134,900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Fair value of common stock granted for services</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606,300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134,000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Fair value of Series B Preferred stock granted for services</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1,045,000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Fair value of warrants granted for services and interest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111,200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38,700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 transaction gain</w:t>
            </w: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26,700,200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2,371,400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Loss on disposition of fixed assets</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61,800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74,300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 and accrued expenses, including accrued interest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(264,500)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1,696,100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(3,498,900)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(1,874,400)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equipment, net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proceeds from issuance of common stock and warrants, including Units</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280,000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2,128,200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proceeds from issuance of Series B Preferred Units</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4,397,800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capital lease obligations</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Repayment of notes</w:t>
            </w: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(85,200)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(236,900)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4,591,900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1,887,600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1,088,400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1,158,400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restart"/>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Supplemental disclosure of noncash activities: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20" w:type="dxa"/>
            <w:vAlign w:val="bottom"/>
            <w:gridSpan w:val="2"/>
            <w:shd w:val="clear" w:color="auto" w:fill="CCEEFF"/>
          </w:tcPr>
          <w:p>
            <w:pPr>
              <w:ind w:left="140"/>
              <w:spacing w:after="0" w:line="155" w:lineRule="exact"/>
              <w:rPr>
                <w:sz w:val="20"/>
                <w:szCs w:val="20"/>
                <w:color w:val="auto"/>
              </w:rPr>
            </w:pPr>
            <w:r>
              <w:rPr>
                <w:rFonts w:ascii="Times New Roman" w:cs="Times New Roman" w:eastAsia="Times New Roman" w:hAnsi="Times New Roman"/>
                <w:sz w:val="14"/>
                <w:szCs w:val="14"/>
                <w:color w:val="auto"/>
              </w:rPr>
              <w:t>Senior Secured Notes, 2014 Unit Notes, other promissory notes and related accrued interest, and accounts payable, including conversion</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premiums, converted into Series B Preferred stock</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18,891,400</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19" w:right="219" w:bottom="1440" w:gutter="0" w:footer="0" w:header="0"/>
        </w:sectPr>
      </w:pPr>
    </w:p>
    <w:bookmarkStart w:id="5" w:name="page6"/>
    <w:bookmarkEnd w:id="5"/>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Description of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0"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VistaGen Therapeutics, Inc. (OTCQB: VSTA), a Nevada corporation, is a clinical-stage biopharmaceutical company committed to developing and commercializing innovative product candidates for patients with diseases and disorders involving the central nervous system (</w:t>
      </w:r>
      <w:r>
        <w:rPr>
          <w:rFonts w:ascii="Times New Roman" w:cs="Times New Roman" w:eastAsia="Times New Roman" w:hAnsi="Times New Roman"/>
          <w:sz w:val="14"/>
          <w:szCs w:val="14"/>
          <w:i w:val="1"/>
          <w:iCs w:val="1"/>
          <w:color w:val="auto"/>
        </w:rPr>
        <w:t>CNS</w:t>
      </w:r>
      <w:r>
        <w:rPr>
          <w:rFonts w:ascii="Times New Roman" w:cs="Times New Roman" w:eastAsia="Times New Roman" w:hAnsi="Times New Roman"/>
          <w:sz w:val="14"/>
          <w:szCs w:val="14"/>
          <w:color w:val="auto"/>
        </w:rPr>
        <w:t xml:space="preserve">). Our principal executive offices are located at 343 Allerton Avenue, South San Francisco, California 94080, and our telephone number is (650) 577-3600. Our website address is </w:t>
      </w:r>
      <w:r>
        <w:rPr>
          <w:rFonts w:ascii="Times New Roman" w:cs="Times New Roman" w:eastAsia="Times New Roman" w:hAnsi="Times New Roman"/>
          <w:sz w:val="14"/>
          <w:szCs w:val="14"/>
          <w:i w:val="1"/>
          <w:iCs w:val="1"/>
          <w:color w:val="auto"/>
        </w:rPr>
        <w:t>www.vistagen.com</w:t>
      </w:r>
      <w:r>
        <w:rPr>
          <w:rFonts w:ascii="Times New Roman" w:cs="Times New Roman" w:eastAsia="Times New Roman" w:hAnsi="Times New Roman"/>
          <w:sz w:val="14"/>
          <w:szCs w:val="14"/>
          <w:color w:val="auto"/>
        </w:rPr>
        <w:t>. Unless the context otherwise requires, the words “</w:t>
      </w:r>
      <w:r>
        <w:rPr>
          <w:rFonts w:ascii="Times New Roman" w:cs="Times New Roman" w:eastAsia="Times New Roman" w:hAnsi="Times New Roman"/>
          <w:sz w:val="14"/>
          <w:szCs w:val="14"/>
          <w:i w:val="1"/>
          <w:iCs w:val="1"/>
          <w:color w:val="auto"/>
        </w:rPr>
        <w:t>VistaGen Therapeutics, Inc.</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VistaGen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the Company</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our</w:t>
      </w:r>
      <w:r>
        <w:rPr>
          <w:rFonts w:ascii="Times New Roman" w:cs="Times New Roman" w:eastAsia="Times New Roman" w:hAnsi="Times New Roman"/>
          <w:sz w:val="14"/>
          <w:szCs w:val="14"/>
          <w:color w:val="auto"/>
        </w:rPr>
        <w:t>” refer to VistaGen Therapeutics, Inc., a Nevada corporation.</w:t>
      </w:r>
    </w:p>
    <w:p>
      <w:pPr>
        <w:spacing w:after="0" w:line="158"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Our lead drug candidate, AV-101, is a new generation, orally available prodrug candidate in Phase 2A development, initially for the adjunctive treatment of Major Depressive Disorder (</w:t>
      </w:r>
      <w:r>
        <w:rPr>
          <w:rFonts w:ascii="Times New Roman" w:cs="Times New Roman" w:eastAsia="Times New Roman" w:hAnsi="Times New Roman"/>
          <w:sz w:val="14"/>
          <w:szCs w:val="14"/>
          <w:i w:val="1"/>
          <w:iCs w:val="1"/>
          <w:color w:val="auto"/>
        </w:rPr>
        <w:t>MDD</w:t>
      </w:r>
      <w:r>
        <w:rPr>
          <w:rFonts w:ascii="Times New Roman" w:cs="Times New Roman" w:eastAsia="Times New Roman" w:hAnsi="Times New Roman"/>
          <w:sz w:val="14"/>
          <w:szCs w:val="14"/>
          <w:color w:val="auto"/>
        </w:rPr>
        <w:t>) in patients with an inadequate response to standard antidepressants. AV-101’s novel mechanism of action, as an N-methyl D aspartate receptor (</w:t>
      </w:r>
      <w:r>
        <w:rPr>
          <w:rFonts w:ascii="Times New Roman" w:cs="Times New Roman" w:eastAsia="Times New Roman" w:hAnsi="Times New Roman"/>
          <w:sz w:val="14"/>
          <w:szCs w:val="14"/>
          <w:i w:val="1"/>
          <w:iCs w:val="1"/>
          <w:color w:val="auto"/>
        </w:rPr>
        <w:t>NMDAR</w:t>
      </w:r>
      <w:r>
        <w:rPr>
          <w:rFonts w:ascii="Times New Roman" w:cs="Times New Roman" w:eastAsia="Times New Roman" w:hAnsi="Times New Roman"/>
          <w:sz w:val="14"/>
          <w:szCs w:val="14"/>
          <w:color w:val="auto"/>
        </w:rPr>
        <w:t>) antagonist binding selectively at the glycine binding (</w:t>
      </w:r>
      <w:r>
        <w:rPr>
          <w:rFonts w:ascii="Times New Roman" w:cs="Times New Roman" w:eastAsia="Times New Roman" w:hAnsi="Times New Roman"/>
          <w:sz w:val="14"/>
          <w:szCs w:val="14"/>
          <w:i w:val="1"/>
          <w:iCs w:val="1"/>
          <w:color w:val="auto"/>
        </w:rPr>
        <w:t>GlyB</w:t>
      </w:r>
      <w:r>
        <w:rPr>
          <w:rFonts w:ascii="Times New Roman" w:cs="Times New Roman" w:eastAsia="Times New Roman" w:hAnsi="Times New Roman"/>
          <w:sz w:val="14"/>
          <w:szCs w:val="14"/>
          <w:color w:val="auto"/>
        </w:rPr>
        <w:t>) co-agonist site of the NMDAR, is fundamentally differentiated from all antidepressants currently approved by the U.S. Food and Drug Administration (</w:t>
      </w:r>
      <w:r>
        <w:rPr>
          <w:rFonts w:ascii="Times New Roman" w:cs="Times New Roman" w:eastAsia="Times New Roman" w:hAnsi="Times New Roman"/>
          <w:sz w:val="14"/>
          <w:szCs w:val="14"/>
          <w:i w:val="1"/>
          <w:iCs w:val="1"/>
          <w:color w:val="auto"/>
        </w:rPr>
        <w:t>FDA</w:t>
      </w:r>
      <w:r>
        <w:rPr>
          <w:rFonts w:ascii="Times New Roman" w:cs="Times New Roman" w:eastAsia="Times New Roman" w:hAnsi="Times New Roman"/>
          <w:sz w:val="14"/>
          <w:szCs w:val="14"/>
          <w:color w:val="auto"/>
        </w:rPr>
        <w:t>). Our Phase 2A clinical study of AV-101 in subjects with treatment-resistant MDD is being conducted and funded by the U.S. National Institutes of Mental Health (</w:t>
      </w:r>
      <w:r>
        <w:rPr>
          <w:rFonts w:ascii="Times New Roman" w:cs="Times New Roman" w:eastAsia="Times New Roman" w:hAnsi="Times New Roman"/>
          <w:sz w:val="14"/>
          <w:szCs w:val="14"/>
          <w:i w:val="1"/>
          <w:iCs w:val="1"/>
          <w:color w:val="auto"/>
        </w:rPr>
        <w:t>NIMH</w:t>
      </w:r>
      <w:r>
        <w:rPr>
          <w:rFonts w:ascii="Times New Roman" w:cs="Times New Roman" w:eastAsia="Times New Roman" w:hAnsi="Times New Roman"/>
          <w:sz w:val="14"/>
          <w:szCs w:val="14"/>
          <w:color w:val="auto"/>
        </w:rPr>
        <w:t>) under our February 2015 Cooperative Research and Development Agreement (</w:t>
      </w:r>
      <w:r>
        <w:rPr>
          <w:rFonts w:ascii="Times New Roman" w:cs="Times New Roman" w:eastAsia="Times New Roman" w:hAnsi="Times New Roman"/>
          <w:sz w:val="14"/>
          <w:szCs w:val="14"/>
          <w:i w:val="1"/>
          <w:iCs w:val="1"/>
          <w:color w:val="auto"/>
        </w:rPr>
        <w:t>CRADA</w:t>
      </w:r>
      <w:r>
        <w:rPr>
          <w:rFonts w:ascii="Times New Roman" w:cs="Times New Roman" w:eastAsia="Times New Roman" w:hAnsi="Times New Roman"/>
          <w:sz w:val="14"/>
          <w:szCs w:val="14"/>
          <w:color w:val="auto"/>
        </w:rPr>
        <w:t>) with the NIMH. The Principal Investigator of this NIMH-funded Phase 2A study, which was initiated in late-2015, is Dr. Carlos Zarate, Jr., Chief of the NIMH’s Experimental Therapeutics &amp; Pathophysiology Branch and its Section on Neurobiology and Treatment of Mood and Anxiety Disorders. Dr. Zarate is an internationally recognized expert in the field of depression and was among the first clinical researchers in the world to discover the therapeutic potential of the NMDAR antagonist ketamine in treatment-resistant MDD.</w:t>
      </w:r>
    </w:p>
    <w:p>
      <w:pPr>
        <w:spacing w:after="0" w:line="168"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We believe AV-101 has therapeutic potential in multiple additional CNS indications, including neuropathic pain and epilepsy, and in neurodegenerative diseases such as Parkinson’s disease and Huntington’s disease.</w:t>
      </w:r>
    </w:p>
    <w:p>
      <w:pPr>
        <w:spacing w:after="0" w:line="144" w:lineRule="exact"/>
        <w:rPr>
          <w:sz w:val="20"/>
          <w:szCs w:val="20"/>
          <w:color w:val="auto"/>
        </w:rPr>
      </w:pPr>
    </w:p>
    <w:p>
      <w:pPr>
        <w:jc w:val="both"/>
        <w:ind w:firstLine="507"/>
        <w:spacing w:after="0" w:line="270" w:lineRule="auto"/>
        <w:rPr>
          <w:sz w:val="20"/>
          <w:szCs w:val="20"/>
          <w:color w:val="auto"/>
        </w:rPr>
      </w:pPr>
      <w:r>
        <w:rPr>
          <w:rFonts w:ascii="Times New Roman" w:cs="Times New Roman" w:eastAsia="Times New Roman" w:hAnsi="Times New Roman"/>
          <w:sz w:val="14"/>
          <w:szCs w:val="14"/>
          <w:color w:val="auto"/>
        </w:rPr>
        <w:t>In addition to our focus on CNS and neurology, we are applying our proprietary, human pluripotent stem cell (</w:t>
      </w:r>
      <w:r>
        <w:rPr>
          <w:rFonts w:ascii="Times New Roman" w:cs="Times New Roman" w:eastAsia="Times New Roman" w:hAnsi="Times New Roman"/>
          <w:sz w:val="14"/>
          <w:szCs w:val="14"/>
          <w:i w:val="1"/>
          <w:iCs w:val="1"/>
          <w:color w:val="auto"/>
        </w:rPr>
        <w:t>hPSC</w:t>
      </w:r>
      <w:r>
        <w:rPr>
          <w:rFonts w:ascii="Times New Roman" w:cs="Times New Roman" w:eastAsia="Times New Roman" w:hAnsi="Times New Roman"/>
          <w:sz w:val="14"/>
          <w:szCs w:val="14"/>
          <w:color w:val="auto"/>
        </w:rPr>
        <w:t>) technology for drug rescue to develop proprietary new chemical entities (</w:t>
      </w:r>
      <w:r>
        <w:rPr>
          <w:rFonts w:ascii="Times New Roman" w:cs="Times New Roman" w:eastAsia="Times New Roman" w:hAnsi="Times New Roman"/>
          <w:sz w:val="14"/>
          <w:szCs w:val="14"/>
          <w:i w:val="1"/>
          <w:iCs w:val="1"/>
          <w:color w:val="auto"/>
        </w:rPr>
        <w:t>NCEs</w:t>
      </w:r>
      <w:r>
        <w:rPr>
          <w:rFonts w:ascii="Times New Roman" w:cs="Times New Roman" w:eastAsia="Times New Roman" w:hAnsi="Times New Roman"/>
          <w:sz w:val="14"/>
          <w:szCs w:val="14"/>
          <w:color w:val="auto"/>
        </w:rPr>
        <w:t>) for our internal drug candidate pipeline. Initial drug rescue programs are focused on NCEs for the treatment of cancer. We are also considering potential therapeutic and commercial applications of our stem cell technology platform for regenerative medicine (</w:t>
      </w:r>
      <w:r>
        <w:rPr>
          <w:rFonts w:ascii="Times New Roman" w:cs="Times New Roman" w:eastAsia="Times New Roman" w:hAnsi="Times New Roman"/>
          <w:sz w:val="14"/>
          <w:szCs w:val="14"/>
          <w:i w:val="1"/>
          <w:iCs w:val="1"/>
          <w:color w:val="auto"/>
        </w:rPr>
        <w:t>RM</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AV-101 and Major Depressive Disorder</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Background</w:t>
      </w:r>
    </w:p>
    <w:p>
      <w:pPr>
        <w:spacing w:after="0" w:line="198" w:lineRule="exact"/>
        <w:rPr>
          <w:sz w:val="20"/>
          <w:szCs w:val="20"/>
          <w:color w:val="auto"/>
        </w:rPr>
      </w:pPr>
    </w:p>
    <w:p>
      <w:pPr>
        <w:jc w:val="both"/>
        <w:ind w:firstLine="507"/>
        <w:spacing w:after="0" w:line="270" w:lineRule="auto"/>
        <w:rPr>
          <w:sz w:val="20"/>
          <w:szCs w:val="20"/>
          <w:color w:val="auto"/>
        </w:rPr>
      </w:pPr>
      <w:r>
        <w:rPr>
          <w:rFonts w:ascii="Times New Roman" w:cs="Times New Roman" w:eastAsia="Times New Roman" w:hAnsi="Times New Roman"/>
          <w:sz w:val="14"/>
          <w:szCs w:val="14"/>
          <w:color w:val="auto"/>
        </w:rPr>
        <w:t>The World Health Organization estimates that 350 million people worldwide are affected by depression. According to the U.S. National Institutes of Health (</w:t>
      </w:r>
      <w:r>
        <w:rPr>
          <w:rFonts w:ascii="Times New Roman" w:cs="Times New Roman" w:eastAsia="Times New Roman" w:hAnsi="Times New Roman"/>
          <w:sz w:val="14"/>
          <w:szCs w:val="14"/>
          <w:i w:val="1"/>
          <w:iCs w:val="1"/>
          <w:color w:val="auto"/>
        </w:rPr>
        <w:t>NIH</w:t>
      </w:r>
      <w:r>
        <w:rPr>
          <w:rFonts w:ascii="Times New Roman" w:cs="Times New Roman" w:eastAsia="Times New Roman" w:hAnsi="Times New Roman"/>
          <w:sz w:val="14"/>
          <w:szCs w:val="14"/>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Times New Roman" w:cs="Times New Roman" w:eastAsia="Times New Roman" w:hAnsi="Times New Roman"/>
          <w:sz w:val="14"/>
          <w:szCs w:val="14"/>
          <w:i w:val="1"/>
          <w:iCs w:val="1"/>
          <w:color w:val="auto"/>
        </w:rPr>
        <w:t>CDC</w:t>
      </w:r>
      <w:r>
        <w:rPr>
          <w:rFonts w:ascii="Times New Roman" w:cs="Times New Roman" w:eastAsia="Times New Roman" w:hAnsi="Times New Roman"/>
          <w:sz w:val="14"/>
          <w:szCs w:val="14"/>
          <w:color w:val="auto"/>
        </w:rPr>
        <w:t>), one in 10 Americans takes an antidepressant medication.</w:t>
      </w:r>
    </w:p>
    <w:p>
      <w:pPr>
        <w:spacing w:after="0" w:line="154" w:lineRule="exact"/>
        <w:rPr>
          <w:sz w:val="20"/>
          <w:szCs w:val="20"/>
          <w:color w:val="auto"/>
        </w:rPr>
      </w:pPr>
    </w:p>
    <w:p>
      <w:pPr>
        <w:jc w:val="both"/>
        <w:ind w:firstLine="507"/>
        <w:spacing w:after="0" w:line="261" w:lineRule="auto"/>
        <w:rPr>
          <w:sz w:val="20"/>
          <w:szCs w:val="20"/>
          <w:color w:val="auto"/>
        </w:rPr>
      </w:pPr>
      <w:r>
        <w:rPr>
          <w:rFonts w:ascii="Times New Roman" w:cs="Times New Roman" w:eastAsia="Times New Roman" w:hAnsi="Times New Roman"/>
          <w:sz w:val="14"/>
          <w:szCs w:val="14"/>
          <w:color w:val="auto"/>
        </w:rPr>
        <w:t>Unfortunately, millions of depression sufferers (more than 30%) do not benefit from initial treatment with standard antidepressants, generally a selective serotonin reuptake inhibitor (</w:t>
      </w:r>
      <w:r>
        <w:rPr>
          <w:rFonts w:ascii="Times New Roman" w:cs="Times New Roman" w:eastAsia="Times New Roman" w:hAnsi="Times New Roman"/>
          <w:sz w:val="14"/>
          <w:szCs w:val="14"/>
          <w:i w:val="1"/>
          <w:iCs w:val="1"/>
          <w:color w:val="auto"/>
        </w:rPr>
        <w:t>SSRI</w:t>
      </w:r>
      <w:r>
        <w:rPr>
          <w:rFonts w:ascii="Times New Roman" w:cs="Times New Roman" w:eastAsia="Times New Roman" w:hAnsi="Times New Roman"/>
          <w:sz w:val="14"/>
          <w:szCs w:val="14"/>
          <w:color w:val="auto"/>
        </w:rPr>
        <w:t>) or a serotonin-norepinephrine reuptake inhibitor (</w:t>
      </w:r>
      <w:r>
        <w:rPr>
          <w:rFonts w:ascii="Times New Roman" w:cs="Times New Roman" w:eastAsia="Times New Roman" w:hAnsi="Times New Roman"/>
          <w:sz w:val="14"/>
          <w:szCs w:val="14"/>
          <w:i w:val="1"/>
          <w:iCs w:val="1"/>
          <w:color w:val="auto"/>
        </w:rPr>
        <w:t>SNRI</w:t>
      </w:r>
      <w:r>
        <w:rPr>
          <w:rFonts w:ascii="Times New Roman" w:cs="Times New Roman" w:eastAsia="Times New Roman" w:hAnsi="Times New Roman"/>
          <w:sz w:val="14"/>
          <w:szCs w:val="14"/>
          <w:color w:val="auto"/>
        </w:rPr>
        <w:t>). Moreover, even when they do relieve depressive symptoms and induce remission of a major depressive episode, SSRIs and SNRIs take many weeks to achieve therapeutic benefits because of their mechanism of action. During the weeks to months before onset of antidepressant effects, side effects of SSRIs and SNRIs, including anxiety, metabolic syndrome, sleep disturbance, sexual dysfunction and suicidal thoughts and behaviors, may be considerable. Unfortunately, even after treatment with as many as four different standard antidepressants, millions of patients (more than 30% of drug-treated patients) do not achieve an adequate therapeutic response to their standard antidepressant therapies.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AV-101</w:t>
      </w:r>
    </w:p>
    <w:p>
      <w:pPr>
        <w:spacing w:after="0" w:line="179"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 xml:space="preserve">AV-101, our orally available prodrug candidate, is in Phase 2 clinical development, initially for the adjunctive treatment of MDD patients with an inadequate response to standard antidepressant therapies. As published in the October 2015 issue of the peer-reviewed, </w:t>
      </w:r>
      <w:r>
        <w:rPr>
          <w:rFonts w:ascii="Times New Roman" w:cs="Times New Roman" w:eastAsia="Times New Roman" w:hAnsi="Times New Roman"/>
          <w:sz w:val="14"/>
          <w:szCs w:val="14"/>
          <w:i w:val="1"/>
          <w:iCs w:val="1"/>
          <w:color w:val="auto"/>
        </w:rPr>
        <w:t>Journal of Pharmacology and Experimental Therapeutics,</w:t>
      </w:r>
      <w:r>
        <w:rPr>
          <w:rFonts w:ascii="Times New Roman" w:cs="Times New Roman" w:eastAsia="Times New Roman" w:hAnsi="Times New Roman"/>
          <w:sz w:val="14"/>
          <w:szCs w:val="14"/>
          <w:color w:val="auto"/>
        </w:rPr>
        <w:t xml:space="preserve"> in an article entitled, </w:t>
      </w:r>
      <w:r>
        <w:rPr>
          <w:rFonts w:ascii="Times New Roman" w:cs="Times New Roman" w:eastAsia="Times New Roman" w:hAnsi="Times New Roman"/>
          <w:sz w:val="14"/>
          <w:szCs w:val="14"/>
          <w:i w:val="1"/>
          <w:iCs w:val="1"/>
          <w:color w:val="auto"/>
        </w:rPr>
        <w:t xml:space="preserve">The prodrug 4-chlorokynurenine causes ketamine-like antidepressant effects, but not side effects, by NMDA/glycineB-site inhibition, </w:t>
      </w:r>
      <w:r>
        <w:rPr>
          <w:rFonts w:ascii="Times New Roman" w:cs="Times New Roman" w:eastAsia="Times New Roman" w:hAnsi="Times New Roman"/>
          <w:sz w:val="14"/>
          <w:szCs w:val="14"/>
          <w:color w:val="auto"/>
        </w:rPr>
        <w:t>in well-established preclinical models of depression, AV-101 was shown to induce fast-acting, dose-dependent,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persistent and statistically significant antidepressant-like responses, following a single treatment, which responses were equivalent to responses seen with a control single sub-anesthetic dose of the NMDAR antagonist ketamine, an FDA-approved anesthetic administered intravenously by clinicians in a medical setting to treat MDD patients who have not responded adequately to standard antidepressant therapies). In the same preclinical studies, the SSRI fluoxetine did not induce rapid onset antidepressant-like responses.</w:t>
      </w:r>
    </w:p>
    <w:p>
      <w:pPr>
        <w:spacing w:after="0" w:line="166"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Following two successful randomized, double-blind, placebo-controlled Phase 1A and Phase 1B safety studies funded by the NIH, we are now collaborating with the NIMH on a Phase 2A efficacy and safety study of AV-101 in subjects with treatment-resistant MDD. This NIMH-funded Phase 2A study began in late-2015, and is expected to enroll from 24 to 28 patients. As noted above, Dr. Carlos Zarate, Jr. of the NIMH is the Principal Investigator of the study.</w:t>
      </w:r>
    </w:p>
    <w:p>
      <w:pPr>
        <w:spacing w:after="0" w:line="158"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have therapeutic benefit.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6" w:name="page7"/>
    <w:bookmarkEnd w:id="6"/>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NCE Drug Rescue and Regenerative Medicine</w:t>
      </w:r>
    </w:p>
    <w:p>
      <w:pPr>
        <w:spacing w:after="0" w:line="198" w:lineRule="exact"/>
        <w:rPr>
          <w:sz w:val="20"/>
          <w:szCs w:val="20"/>
          <w:color w:val="auto"/>
        </w:rPr>
      </w:pPr>
    </w:p>
    <w:p>
      <w:pPr>
        <w:jc w:val="both"/>
        <w:ind w:firstLine="507"/>
        <w:spacing w:after="0" w:line="264" w:lineRule="auto"/>
        <w:rPr>
          <w:sz w:val="20"/>
          <w:szCs w:val="20"/>
          <w:color w:val="auto"/>
        </w:rPr>
      </w:pPr>
      <w:r>
        <w:rPr>
          <w:rFonts w:ascii="Times New Roman" w:cs="Times New Roman" w:eastAsia="Times New Roman" w:hAnsi="Times New Roman"/>
          <w:sz w:val="14"/>
          <w:szCs w:val="14"/>
          <w:color w:val="auto"/>
        </w:rPr>
        <w:t xml:space="preserve">Our drug rescue programs involve using </w:t>
      </w:r>
      <w:r>
        <w:rPr>
          <w:rFonts w:ascii="Times New Roman" w:cs="Times New Roman" w:eastAsia="Times New Roman" w:hAnsi="Times New Roman"/>
          <w:sz w:val="14"/>
          <w:szCs w:val="14"/>
          <w:i w:val="1"/>
          <w:iCs w:val="1"/>
          <w:color w:val="auto"/>
        </w:rPr>
        <w:t>CardioSafe</w:t>
      </w:r>
      <w:r>
        <w:rPr>
          <w:rFonts w:ascii="Times New Roman" w:cs="Times New Roman" w:eastAsia="Times New Roman" w:hAnsi="Times New Roman"/>
          <w:sz w:val="14"/>
          <w:szCs w:val="14"/>
          <w:color w:val="auto"/>
        </w:rPr>
        <w:t xml:space="preserve"> 3D(TM)</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our customized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bioassay system, to predict potential human heart toxicity of NCEs, long before they are ever tested in animal and human studies. We are are focused on leveraging our stem cell technology platform to recapture value from substantial prior investments by pharmaceutical companies and others related to screening large-scale compound libraries, optimizing and testing for efficacy NCEs that were terminated before FDA approval due to heart toxicity risks and are now available in the public domain and amenable to drug rescue.</w:t>
      </w:r>
    </w:p>
    <w:p>
      <w:pPr>
        <w:spacing w:after="0" w:line="160"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Our current interests in the regenerative medicine arena include collaborative nonclinical proof of concept studies with academic research partners to explore potential regenerative medicine applications involving hPSC-derived blood, bone, cartilage, heart, and liver cells.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Subsidiaries and Stock Consolidation</w:t>
      </w:r>
    </w:p>
    <w:p>
      <w:pPr>
        <w:spacing w:after="0" w:line="198" w:lineRule="exact"/>
        <w:rPr>
          <w:sz w:val="20"/>
          <w:szCs w:val="20"/>
          <w:color w:val="auto"/>
        </w:rPr>
      </w:pPr>
    </w:p>
    <w:p>
      <w:pPr>
        <w:jc w:val="both"/>
        <w:ind w:firstLine="507"/>
        <w:spacing w:after="0" w:line="270" w:lineRule="auto"/>
        <w:rPr>
          <w:sz w:val="20"/>
          <w:szCs w:val="20"/>
          <w:color w:val="auto"/>
        </w:rPr>
      </w:pPr>
      <w:r>
        <w:rPr>
          <w:rFonts w:ascii="Times New Roman" w:cs="Times New Roman" w:eastAsia="Times New Roman" w:hAnsi="Times New Roman"/>
          <w:sz w:val="14"/>
          <w:szCs w:val="14"/>
          <w:color w:val="auto"/>
        </w:rPr>
        <w:t>VistaGen Therapeutics, Inc., a California corporation (</w:t>
      </w:r>
      <w:r>
        <w:rPr>
          <w:rFonts w:ascii="Times New Roman" w:cs="Times New Roman" w:eastAsia="Times New Roman" w:hAnsi="Times New Roman"/>
          <w:sz w:val="14"/>
          <w:szCs w:val="14"/>
          <w:i w:val="1"/>
          <w:iCs w:val="1"/>
          <w:color w:val="auto"/>
        </w:rPr>
        <w:t>VistaGen California</w:t>
      </w:r>
      <w:r>
        <w:rPr>
          <w:rFonts w:ascii="Times New Roman" w:cs="Times New Roman" w:eastAsia="Times New Roman" w:hAnsi="Times New Roman"/>
          <w:sz w:val="14"/>
          <w:szCs w:val="14"/>
          <w:color w:val="auto"/>
        </w:rPr>
        <w:t>), is our wholly-owned subsidiary.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54" w:lineRule="exact"/>
        <w:rPr>
          <w:sz w:val="20"/>
          <w:szCs w:val="20"/>
          <w:color w:val="auto"/>
        </w:rPr>
      </w:pPr>
    </w:p>
    <w:p>
      <w:pPr>
        <w:jc w:val="both"/>
        <w:ind w:firstLine="507"/>
        <w:spacing w:after="0" w:line="288" w:lineRule="auto"/>
        <w:rPr>
          <w:sz w:val="20"/>
          <w:szCs w:val="20"/>
          <w:color w:val="auto"/>
        </w:rPr>
      </w:pPr>
      <w:r>
        <w:rPr>
          <w:rFonts w:ascii="Times New Roman" w:cs="Times New Roman" w:eastAsia="Times New Roman" w:hAnsi="Times New Roman"/>
          <w:sz w:val="14"/>
          <w:szCs w:val="14"/>
          <w:color w:val="auto"/>
        </w:rPr>
        <w:t>Effective August 14, 2014, we consummated a 1-for-20 reverse split of our authorized, and issued and outstanding shares of common stock (</w:t>
      </w:r>
      <w:r>
        <w:rPr>
          <w:rFonts w:ascii="Times New Roman" w:cs="Times New Roman" w:eastAsia="Times New Roman" w:hAnsi="Times New Roman"/>
          <w:sz w:val="14"/>
          <w:szCs w:val="14"/>
          <w:i w:val="1"/>
          <w:iCs w:val="1"/>
          <w:color w:val="auto"/>
        </w:rPr>
        <w:t>Stock Consolidation</w:t>
      </w:r>
      <w:r>
        <w:rPr>
          <w:rFonts w:ascii="Times New Roman" w:cs="Times New Roman" w:eastAsia="Times New Roman" w:hAnsi="Times New Roman"/>
          <w:sz w:val="14"/>
          <w:szCs w:val="14"/>
          <w:color w:val="auto"/>
        </w:rPr>
        <w:t>). Each reference to shares of common stock or the price per share of common stock in these financial statements is post-Stock Consolidation, and reflects the 1-for-20 adjustment as a result of the Stock Consolidation.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Basis of Presentation and Going Concern</w:t>
      </w:r>
    </w:p>
    <w:p>
      <w:pPr>
        <w:spacing w:after="0" w:line="198" w:lineRule="exact"/>
        <w:rPr>
          <w:sz w:val="20"/>
          <w:szCs w:val="20"/>
          <w:color w:val="auto"/>
        </w:rPr>
      </w:pPr>
    </w:p>
    <w:p>
      <w:pPr>
        <w:jc w:val="both"/>
        <w:ind w:firstLine="507"/>
        <w:spacing w:after="0" w:line="259"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accordance with accounting principles generally accepted in the United States (</w:t>
      </w:r>
      <w:r>
        <w:rPr>
          <w:rFonts w:ascii="Times New Roman" w:cs="Times New Roman" w:eastAsia="Times New Roman" w:hAnsi="Times New Roman"/>
          <w:sz w:val="14"/>
          <w:szCs w:val="14"/>
          <w:i w:val="1"/>
          <w:iCs w:val="1"/>
          <w:color w:val="auto"/>
        </w:rPr>
        <w:t>U.S. GAAP</w:t>
      </w:r>
      <w:r>
        <w:rPr>
          <w:rFonts w:ascii="Times New Roman" w:cs="Times New Roman" w:eastAsia="Times New Roman" w:hAnsi="Times New Roman"/>
          <w:sz w:val="14"/>
          <w:szCs w:val="14"/>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2015 has been derived from our audited consolidated financial statements at that date but does not include all disclosures required by U.S. GAAP. The operating results for the nine months ended December 31, 2015 are not necessarily indicative of the operating results to be expected for our fiscal year ending March 31, 2016 or for any other interim period or any other future period.</w:t>
      </w:r>
    </w:p>
    <w:p>
      <w:pPr>
        <w:spacing w:after="0" w:line="142" w:lineRule="exact"/>
        <w:rPr>
          <w:sz w:val="20"/>
          <w:szCs w:val="20"/>
          <w:color w:val="auto"/>
        </w:rPr>
      </w:pPr>
    </w:p>
    <w:p>
      <w:pPr>
        <w:jc w:val="both"/>
        <w:ind w:firstLine="507"/>
        <w:spacing w:after="0" w:line="278"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and notes to Condensed Consolidated Financial Statements should be read in conjunction with our audited Consolidated Financial Statements for the fiscal year ended March 31, 2015 contained in our Annual Report on Form 10-K, as filed with the Securities and Exchange Commission (</w:t>
      </w:r>
      <w:r>
        <w:rPr>
          <w:rFonts w:ascii="Times New Roman" w:cs="Times New Roman" w:eastAsia="Times New Roman" w:hAnsi="Times New Roman"/>
          <w:sz w:val="14"/>
          <w:szCs w:val="14"/>
          <w:i w:val="1"/>
          <w:iCs w:val="1"/>
          <w:color w:val="auto"/>
        </w:rPr>
        <w:t>SEC</w:t>
      </w:r>
      <w:r>
        <w:rPr>
          <w:rFonts w:ascii="Times New Roman" w:cs="Times New Roman" w:eastAsia="Times New Roman" w:hAnsi="Times New Roman"/>
          <w:sz w:val="14"/>
          <w:szCs w:val="14"/>
          <w:color w:val="auto"/>
        </w:rPr>
        <w:t>) on June 29, 2015.</w:t>
      </w:r>
    </w:p>
    <w:p>
      <w:pPr>
        <w:spacing w:after="0" w:line="324"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assuming we will continue as a going concern. As an entity having not yet achieved sustainable revenues, we have experienced recurring losses and negative cash flows from operations resulting in a deficit of $123.2 million accumulated from inception in May 1998 through December 31, 2015. We expect losses and negative cash flows from operations to continue for the foreseeable future as we continue to develop AV-101 for Major Depressive Disorder and additional CNS indications, and engage in drug rescue, drug development and exploratory regenerative medicine programs.</w:t>
      </w:r>
    </w:p>
    <w:p>
      <w:pPr>
        <w:spacing w:after="0" w:line="139"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Since our inception in May 1998 through December 31, 2015, we have financed our operations through (1) the issuance and sale of our common stock, preferred stock, warrants for common stock, and promissory notes for aggregate cash proceeds of approximately $33.8 million; (2) issuance of common stock and preferred stock with an approximate value at issuance of $28.9 million as consideration for, among other things, technology license fees and patent prosecution, sponsored research, contract research, drug development, drug manufacturing, U.S. and foreign regulatory services, as well as legal, corporate development and financial advisory services; and (3) receipt of aggregate non-dilutive cash proceeds of approximately $16.4 million from government research and development grant awards and strategic collaboration transactions.</w:t>
      </w:r>
    </w:p>
    <w:p>
      <w:pPr>
        <w:spacing w:after="0" w:line="161"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 xml:space="preserve">As described more completely in Note 7, </w:t>
      </w:r>
      <w:r>
        <w:rPr>
          <w:rFonts w:ascii="Times New Roman" w:cs="Times New Roman" w:eastAsia="Times New Roman" w:hAnsi="Times New Roman"/>
          <w:sz w:val="14"/>
          <w:szCs w:val="14"/>
          <w:i w:val="1"/>
          <w:iCs w:val="1"/>
          <w:color w:val="auto"/>
        </w:rPr>
        <w:t>Convertible Promissory Notes and other Notes Payable</w:t>
      </w:r>
      <w:r>
        <w:rPr>
          <w:rFonts w:ascii="Times New Roman" w:cs="Times New Roman" w:eastAsia="Times New Roman" w:hAnsi="Times New Roman"/>
          <w:sz w:val="14"/>
          <w:szCs w:val="14"/>
          <w:color w:val="auto"/>
        </w:rPr>
        <w:t xml:space="preserve">, and Note 8, </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in May 2015, we created our Series B 10% Convertible Preferred Stock (</w:t>
      </w:r>
      <w:r>
        <w:rPr>
          <w:rFonts w:ascii="Times New Roman" w:cs="Times New Roman" w:eastAsia="Times New Roman" w:hAnsi="Times New Roman"/>
          <w:sz w:val="14"/>
          <w:szCs w:val="14"/>
          <w:i w:val="1"/>
          <w:iCs w:val="1"/>
          <w:color w:val="auto"/>
        </w:rPr>
        <w:t>Series B Preferred</w:t>
      </w:r>
      <w:r>
        <w:rPr>
          <w:rFonts w:ascii="Times New Roman" w:cs="Times New Roman" w:eastAsia="Times New Roman" w:hAnsi="Times New Roman"/>
          <w:sz w:val="14"/>
          <w:szCs w:val="14"/>
          <w:color w:val="auto"/>
        </w:rPr>
        <w:t>). Between March 31, 2015 and December 31, 2015, we extinguished approximately $17.2 million of indebtedness through conversion of such indebtedness into our Series B Preferred and, with respect to a portion of the indebtedness converted, warrants to purchase our common stock. More specifically, we converted (i) all Senior Secured Convertible Promissory Notes originally issued to Platinum Long Term Growth VII, LLC (</w:t>
      </w:r>
      <w:r>
        <w:rPr>
          <w:rFonts w:ascii="Times New Roman" w:cs="Times New Roman" w:eastAsia="Times New Roman" w:hAnsi="Times New Roman"/>
          <w:sz w:val="14"/>
          <w:szCs w:val="14"/>
          <w:i w:val="1"/>
          <w:iCs w:val="1"/>
          <w:color w:val="auto"/>
        </w:rPr>
        <w:t>Platinum</w:t>
      </w:r>
      <w:r>
        <w:rPr>
          <w:rFonts w:ascii="Times New Roman" w:cs="Times New Roman" w:eastAsia="Times New Roman" w:hAnsi="Times New Roman"/>
          <w:sz w:val="14"/>
          <w:szCs w:val="14"/>
          <w:color w:val="auto"/>
        </w:rPr>
        <w:t xml:space="preserve">), (ii) all 2014 Unit Notes outstanding at March 31, 2015 and those issued subsequently, and (iii) certain other outstanding promissory notes, including promissory notes issued to Cato Research Ltd., Cato Holding Company, Morrison &amp; Foerster LLP (Note A and Note B), McCarthy Tetrault, Burr Pilger &amp; Mayer, University Health Network (Toronto), the Icahn School of Medicine at Mount Sinai, National Jewish Health and others, into an aggregate of 2,618,917 shares of our Series B Preferred. Additionally, through December 31, 2015, we issued in self-placed private placement transactions with Platinum and other accredited investors, Series B Preferred Units consisting of an aggregate of 628,264 unregistered shares of Series B Preferred and five-year warrants to purchase 628,264 shares of our common stock, and we received cash proceeds of $4,397,800 therefrom. See Note 10,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regarding disclosure of additional self-placed private placement sales of Series B Preferred Units after December 31, 2015.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7" w:name="page8"/>
    <w:bookmarkEnd w:id="7"/>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4" w:lineRule="exact"/>
        <w:rPr>
          <w:sz w:val="20"/>
          <w:szCs w:val="20"/>
          <w:color w:val="auto"/>
        </w:rPr>
      </w:pPr>
    </w:p>
    <w:p>
      <w:pPr>
        <w:jc w:val="both"/>
        <w:ind w:firstLine="507"/>
        <w:spacing w:after="0" w:line="254" w:lineRule="auto"/>
        <w:rPr>
          <w:sz w:val="20"/>
          <w:szCs w:val="20"/>
          <w:color w:val="auto"/>
        </w:rPr>
      </w:pPr>
      <w:r>
        <w:rPr>
          <w:rFonts w:ascii="Times New Roman" w:cs="Times New Roman" w:eastAsia="Times New Roman" w:hAnsi="Times New Roman"/>
          <w:sz w:val="14"/>
          <w:szCs w:val="14"/>
          <w:color w:val="auto"/>
        </w:rPr>
        <w:t>At December 31, 2015, we did not have sufficient cash and cash equivalents to enable us to fund our planned operations over the next twelve months, including expected cash expenditures of approximately $6.0 million. In August 2015, we entered into an agreement with Platinum (</w:t>
      </w:r>
      <w:r>
        <w:rPr>
          <w:rFonts w:ascii="Times New Roman" w:cs="Times New Roman" w:eastAsia="Times New Roman" w:hAnsi="Times New Roman"/>
          <w:sz w:val="14"/>
          <w:szCs w:val="14"/>
          <w:i w:val="1"/>
          <w:iCs w:val="1"/>
          <w:color w:val="auto"/>
        </w:rPr>
        <w:t>August 2015 Agreement</w:t>
      </w:r>
      <w:r>
        <w:rPr>
          <w:rFonts w:ascii="Times New Roman" w:cs="Times New Roman" w:eastAsia="Times New Roman" w:hAnsi="Times New Roman"/>
          <w:sz w:val="14"/>
          <w:szCs w:val="14"/>
          <w:color w:val="auto"/>
        </w:rPr>
        <w:t xml:space="preserve">) pursuant to which we agreed to sell to Platinum an additional $3.0 million of our Series B Preferred and Series B Warrants (collectively, </w:t>
      </w:r>
      <w:r>
        <w:rPr>
          <w:rFonts w:ascii="Times New Roman" w:cs="Times New Roman" w:eastAsia="Times New Roman" w:hAnsi="Times New Roman"/>
          <w:sz w:val="14"/>
          <w:szCs w:val="14"/>
          <w:i w:val="1"/>
          <w:iCs w:val="1"/>
          <w:color w:val="auto"/>
        </w:rPr>
        <w:t>Series B Units</w:t>
      </w:r>
      <w:r>
        <w:rPr>
          <w:rFonts w:ascii="Times New Roman" w:cs="Times New Roman" w:eastAsia="Times New Roman" w:hAnsi="Times New Roman"/>
          <w:sz w:val="14"/>
          <w:szCs w:val="14"/>
          <w:color w:val="auto"/>
        </w:rPr>
        <w:t xml:space="preserve">). Through December 31, 2015, Platinum purchased an additional $1.65 million of Series B Units under the August 2015 Agreement. Concurrently with its December 2015 purchase of $1.0 million of Series B Units and at our request, Platinum agreed to cancel its right to purchase the remaining $1.35 million of the Series B Units under the August 2015 Agreement. As more particularly disclosed in Note 10,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from January 1, 2016 through February 12, 2016, we sold to certain accredited investors other than Platinum $128,000 of our Series B Units in self-placed private placement transactions. We intend to raise additional capital through conversions, exchanges, issuances, and/or sales of our securities, which may include both debt and equity securities. We may also seek research and development collaborations that could generate revenue, as well as government grant awards. Further, strategic collaborations, such as our February 2015 Cooperative Research and Development Agreement (</w:t>
      </w:r>
      <w:r>
        <w:rPr>
          <w:rFonts w:ascii="Times New Roman" w:cs="Times New Roman" w:eastAsia="Times New Roman" w:hAnsi="Times New Roman"/>
          <w:sz w:val="14"/>
          <w:szCs w:val="14"/>
          <w:i w:val="1"/>
          <w:iCs w:val="1"/>
          <w:color w:val="auto"/>
        </w:rPr>
        <w:t>CRADA</w:t>
      </w:r>
      <w:r>
        <w:rPr>
          <w:rFonts w:ascii="Times New Roman" w:cs="Times New Roman" w:eastAsia="Times New Roman" w:hAnsi="Times New Roman"/>
          <w:sz w:val="14"/>
          <w:szCs w:val="14"/>
          <w:color w:val="auto"/>
        </w:rPr>
        <w:t>) with the U.S. National Institute of Mental Health (</w:t>
      </w:r>
      <w:r>
        <w:rPr>
          <w:rFonts w:ascii="Times New Roman" w:cs="Times New Roman" w:eastAsia="Times New Roman" w:hAnsi="Times New Roman"/>
          <w:sz w:val="14"/>
          <w:szCs w:val="14"/>
          <w:i w:val="1"/>
          <w:iCs w:val="1"/>
          <w:color w:val="auto"/>
        </w:rPr>
        <w:t>NIMH</w:t>
      </w:r>
      <w:r>
        <w:rPr>
          <w:rFonts w:ascii="Times New Roman" w:cs="Times New Roman" w:eastAsia="Times New Roman" w:hAnsi="Times New Roman"/>
          <w:sz w:val="14"/>
          <w:szCs w:val="14"/>
          <w:color w:val="auto"/>
        </w:rPr>
        <w:t>)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the size of our staff and staff salaries and benefits, as well as costs relating to regulatory consulting, contract research and development, investor relations and corporate development, legal, accounting, public company compliance and other professional services and working capital costs.</w:t>
      </w:r>
    </w:p>
    <w:p>
      <w:pPr>
        <w:spacing w:after="0" w:line="148"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including those relating to AV-101, and we may not be able to continue as a going concern. The accompanying Condensed Consolidated Financial Statements do not include any adjustments that might result from the outcome of this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200"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to value warrants, warrant modifications, warrant liabilities. We do not currently have, nor have we had during the periods covered by this report, any arrangements requiring the recognition of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p>
      <w:pPr>
        <w:spacing w:after="0" w:line="200"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nonclinical and clinical development of AV-101, now in Phase 2 clinical development, initially for Major Depressive Disorder, stem cell technology-related research and development costs, and costs related to the filing, maintenance and prosecution of patents and patent applications. All such costs are charged to expense as incurred.</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8" w:name="page9"/>
    <w:bookmarkEnd w:id="8"/>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200" w:lineRule="exact"/>
        <w:rPr>
          <w:sz w:val="20"/>
          <w:szCs w:val="20"/>
          <w:color w:val="auto"/>
        </w:rPr>
      </w:pPr>
    </w:p>
    <w:p>
      <w:pPr>
        <w:jc w:val="both"/>
        <w:ind w:right="80" w:firstLine="507"/>
        <w:spacing w:after="0" w:line="263" w:lineRule="auto"/>
        <w:rPr>
          <w:sz w:val="20"/>
          <w:szCs w:val="20"/>
          <w:color w:val="auto"/>
        </w:rPr>
      </w:pPr>
      <w:r>
        <w:rPr>
          <w:rFonts w:ascii="Times New Roman" w:cs="Times New Roman" w:eastAsia="Times New Roman" w:hAnsi="Times New Roman"/>
          <w:sz w:val="14"/>
          <w:szCs w:val="14"/>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60" w:lineRule="exact"/>
        <w:rPr>
          <w:sz w:val="20"/>
          <w:szCs w:val="20"/>
          <w:color w:val="auto"/>
        </w:rPr>
      </w:pPr>
    </w:p>
    <w:p>
      <w:pPr>
        <w:jc w:val="both"/>
        <w:ind w:right="80" w:firstLine="507"/>
        <w:spacing w:after="0" w:line="285" w:lineRule="auto"/>
        <w:rPr>
          <w:sz w:val="20"/>
          <w:szCs w:val="20"/>
          <w:color w:val="auto"/>
        </w:rPr>
      </w:pPr>
      <w:r>
        <w:rPr>
          <w:rFonts w:ascii="Times New Roman" w:cs="Times New Roman" w:eastAsia="Times New Roman" w:hAnsi="Times New Roman"/>
          <w:sz w:val="14"/>
          <w:szCs w:val="14"/>
          <w:color w:val="auto"/>
        </w:rPr>
        <w:t>The table below summarizes stock-based compensation expense included in the accompanying Condensed Consolidated Statements of Operations and Comprehensive Loss for the three and nine months ended December 31, 2015 and 2014.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20" w:type="dxa"/>
            <w:vAlign w:val="bottom"/>
            <w:gridSpan w:val="3"/>
          </w:tcPr>
          <w:p>
            <w:pPr>
              <w:jc w:val="center"/>
              <w:ind w:left="5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80" w:type="dxa"/>
            <w:vAlign w:val="bottom"/>
            <w:gridSpan w:val="3"/>
          </w:tcPr>
          <w:p>
            <w:pPr>
              <w:jc w:val="center"/>
              <w:ind w:left="5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4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Research and</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development</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40" w:type="dxa"/>
            <w:vAlign w:val="bottom"/>
            <w:shd w:val="clear" w:color="auto" w:fill="CCEEFF"/>
          </w:tcPr>
          <w:p>
            <w:pPr>
              <w:ind w:left="220"/>
              <w:spacing w:after="0" w:line="155" w:lineRule="exact"/>
              <w:rPr>
                <w:sz w:val="20"/>
                <w:szCs w:val="20"/>
                <w:color w:val="auto"/>
              </w:rPr>
            </w:pPr>
            <w:r>
              <w:rPr>
                <w:rFonts w:ascii="Times New Roman" w:cs="Times New Roman" w:eastAsia="Times New Roman" w:hAnsi="Times New Roman"/>
                <w:sz w:val="14"/>
                <w:szCs w:val="14"/>
                <w:color w:val="auto"/>
              </w:rPr>
              <w:t>Stock</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8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option</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rPr>
              <w:t>71,300</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72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rPr>
              <w:t>118,700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156,100</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4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color w:val="auto"/>
              </w:rPr>
              <w:t>Warrants</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granted</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 officer</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 March</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2014 and</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March</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2013</w:t>
            </w:r>
          </w:p>
        </w:tc>
        <w:tc>
          <w:tcPr>
            <w:tcW w:w="580" w:type="dxa"/>
            <w:vAlign w:val="bottom"/>
          </w:tcPr>
          <w:p>
            <w:pPr>
              <w:spacing w:after="0"/>
              <w:rPr>
                <w:sz w:val="15"/>
                <w:szCs w:val="15"/>
                <w:color w:val="auto"/>
              </w:rPr>
            </w:pPr>
          </w:p>
        </w:tc>
        <w:tc>
          <w:tcPr>
            <w:tcW w:w="2000" w:type="dxa"/>
            <w:vAlign w:val="bottom"/>
            <w:gridSpan w:val="2"/>
          </w:tcPr>
          <w:p>
            <w:pPr>
              <w:jc w:val="right"/>
              <w:ind w:right="1030"/>
              <w:spacing w:after="0"/>
              <w:rPr>
                <w:sz w:val="20"/>
                <w:szCs w:val="20"/>
                <w:color w:val="auto"/>
              </w:rPr>
            </w:pPr>
            <w:r>
              <w:rPr>
                <w:rFonts w:ascii="Times New Roman" w:cs="Times New Roman" w:eastAsia="Times New Roman" w:hAnsi="Times New Roman"/>
                <w:sz w:val="14"/>
                <w:szCs w:val="14"/>
                <w:color w:val="auto"/>
              </w:rPr>
              <w:t>2,800</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36,300</w:t>
            </w: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gridSpan w:val="2"/>
          </w:tcPr>
          <w:p>
            <w:pPr>
              <w:jc w:val="right"/>
              <w:ind w:right="1030"/>
              <w:spacing w:after="0"/>
              <w:rPr>
                <w:sz w:val="20"/>
                <w:szCs w:val="20"/>
                <w:color w:val="auto"/>
              </w:rPr>
            </w:pPr>
            <w:r>
              <w:rPr>
                <w:rFonts w:ascii="Times New Roman" w:cs="Times New Roman" w:eastAsia="Times New Roman" w:hAnsi="Times New Roman"/>
                <w:sz w:val="14"/>
                <w:szCs w:val="14"/>
                <w:color w:val="auto"/>
              </w:rPr>
              <w:t>8,500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108,900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40" w:type="dxa"/>
            <w:vAlign w:val="bottom"/>
            <w:shd w:val="clear" w:color="auto" w:fill="CCEEFF"/>
          </w:tcPr>
          <w:p>
            <w:pPr>
              <w:ind w:left="220"/>
              <w:spacing w:after="0" w:line="155" w:lineRule="exact"/>
              <w:rPr>
                <w:sz w:val="20"/>
                <w:szCs w:val="20"/>
                <w:color w:val="auto"/>
              </w:rPr>
            </w:pPr>
            <w:r>
              <w:rPr>
                <w:rFonts w:ascii="Times New Roman" w:cs="Times New Roman" w:eastAsia="Times New Roman" w:hAnsi="Times New Roman"/>
                <w:sz w:val="14"/>
                <w:szCs w:val="14"/>
                <w:color w:val="auto"/>
              </w:rPr>
              <w:t>Warrants</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8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granted to</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officer in</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September</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2015</w:t>
            </w:r>
          </w:p>
        </w:tc>
        <w:tc>
          <w:tcPr>
            <w:tcW w:w="5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lef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rPr>
              <w:t>852,200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8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0" w:type="dxa"/>
            <w:vAlign w:val="bottom"/>
            <w:gridSpan w:val="2"/>
          </w:tcPr>
          <w:p>
            <w:pPr>
              <w:jc w:val="right"/>
              <w:ind w:right="1030"/>
              <w:spacing w:after="0"/>
              <w:rPr>
                <w:sz w:val="20"/>
                <w:szCs w:val="20"/>
                <w:color w:val="auto"/>
              </w:rPr>
            </w:pPr>
            <w:r>
              <w:rPr>
                <w:rFonts w:ascii="Times New Roman" w:cs="Times New Roman" w:eastAsia="Times New Roman" w:hAnsi="Times New Roman"/>
                <w:sz w:val="14"/>
                <w:szCs w:val="14"/>
                <w:color w:val="auto"/>
              </w:rPr>
              <w:t>74,100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66,300</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20" w:type="dxa"/>
            <w:vAlign w:val="bottom"/>
            <w:gridSpan w:val="2"/>
          </w:tcPr>
          <w:p>
            <w:pPr>
              <w:jc w:val="right"/>
              <w:ind w:right="1030"/>
              <w:spacing w:after="0"/>
              <w:rPr>
                <w:sz w:val="20"/>
                <w:szCs w:val="20"/>
                <w:color w:val="auto"/>
              </w:rPr>
            </w:pPr>
            <w:r>
              <w:rPr>
                <w:rFonts w:ascii="Times New Roman" w:cs="Times New Roman" w:eastAsia="Times New Roman" w:hAnsi="Times New Roman"/>
                <w:sz w:val="14"/>
                <w:szCs w:val="14"/>
                <w:color w:val="auto"/>
              </w:rPr>
              <w:t>979,400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265,000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14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General and</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administrative</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40" w:type="dxa"/>
            <w:vAlign w:val="bottom"/>
            <w:shd w:val="clear" w:color="auto" w:fill="CCEEFF"/>
          </w:tcPr>
          <w:p>
            <w:pPr>
              <w:ind w:left="220"/>
              <w:spacing w:after="0" w:line="155" w:lineRule="exact"/>
              <w:rPr>
                <w:sz w:val="20"/>
                <w:szCs w:val="20"/>
                <w:color w:val="auto"/>
              </w:rPr>
            </w:pPr>
            <w:r>
              <w:rPr>
                <w:rFonts w:ascii="Times New Roman" w:cs="Times New Roman" w:eastAsia="Times New Roman" w:hAnsi="Times New Roman"/>
                <w:sz w:val="14"/>
                <w:szCs w:val="14"/>
                <w:color w:val="auto"/>
              </w:rPr>
              <w:t>Stock</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8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option</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grants</w:t>
            </w:r>
          </w:p>
        </w:tc>
        <w:tc>
          <w:tcPr>
            <w:tcW w:w="5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rPr>
              <w:t>20,400</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18,600</w:t>
            </w:r>
          </w:p>
        </w:tc>
        <w:tc>
          <w:tcPr>
            <w:tcW w:w="1080" w:type="dxa"/>
            <w:vAlign w:val="bottom"/>
            <w:tcBorders>
              <w:lef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rPr>
              <w:t>36,500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86,700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40" w:type="dxa"/>
            <w:vAlign w:val="bottom"/>
            <w:shd w:val="clear" w:color="auto" w:fill="CCEEFF"/>
          </w:tcPr>
          <w:p>
            <w:pPr>
              <w:ind w:left="220"/>
              <w:spacing w:after="0" w:line="155" w:lineRule="exact"/>
              <w:rPr>
                <w:sz w:val="20"/>
                <w:szCs w:val="20"/>
                <w:color w:val="auto"/>
              </w:rPr>
            </w:pPr>
            <w:r>
              <w:rPr>
                <w:rFonts w:ascii="Times New Roman" w:cs="Times New Roman" w:eastAsia="Times New Roman" w:hAnsi="Times New Roman"/>
                <w:sz w:val="14"/>
                <w:szCs w:val="14"/>
                <w:color w:val="auto"/>
              </w:rPr>
              <w:t>Warrants</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8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granted</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officers</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and</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directors in</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March</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2014 and</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March</w:t>
            </w: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2013</w:t>
            </w:r>
          </w:p>
        </w:tc>
        <w:tc>
          <w:tcPr>
            <w:tcW w:w="5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rPr>
              <w:t>3,900</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70,700</w:t>
            </w:r>
          </w:p>
        </w:tc>
        <w:tc>
          <w:tcPr>
            <w:tcW w:w="1080" w:type="dxa"/>
            <w:vAlign w:val="bottom"/>
            <w:tcBorders>
              <w:lef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rPr>
              <w:t>11,700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212,300</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4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color w:val="auto"/>
              </w:rPr>
              <w:t>Warrants</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 to</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officers,</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directors</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and consultants</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September</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2015</w:t>
            </w:r>
          </w:p>
        </w:tc>
        <w:tc>
          <w:tcPr>
            <w:tcW w:w="580" w:type="dxa"/>
            <w:vAlign w:val="bottom"/>
          </w:tcPr>
          <w:p>
            <w:pPr>
              <w:spacing w:after="0"/>
              <w:rPr>
                <w:sz w:val="15"/>
                <w:szCs w:val="15"/>
                <w:color w:val="auto"/>
              </w:rPr>
            </w:pPr>
          </w:p>
        </w:tc>
        <w:tc>
          <w:tcPr>
            <w:tcW w:w="2000" w:type="dxa"/>
            <w:vAlign w:val="bottom"/>
            <w:gridSpan w:val="2"/>
          </w:tcPr>
          <w:p>
            <w:pPr>
              <w:jc w:val="right"/>
              <w:ind w:right="103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gridSpan w:val="2"/>
          </w:tcPr>
          <w:p>
            <w:pPr>
              <w:jc w:val="right"/>
              <w:ind w:right="1030"/>
              <w:spacing w:after="0"/>
              <w:rPr>
                <w:sz w:val="20"/>
                <w:szCs w:val="20"/>
                <w:color w:val="auto"/>
              </w:rPr>
            </w:pPr>
            <w:r>
              <w:rPr>
                <w:rFonts w:ascii="Times New Roman" w:cs="Times New Roman" w:eastAsia="Times New Roman" w:hAnsi="Times New Roman"/>
                <w:sz w:val="14"/>
                <w:szCs w:val="14"/>
                <w:color w:val="auto"/>
              </w:rPr>
              <w:t>2,840,700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rPr>
              <w:t>24,300</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89,300</w:t>
            </w:r>
          </w:p>
        </w:tc>
        <w:tc>
          <w:tcPr>
            <w:tcW w:w="108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rPr>
              <w:t>2,888,900</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299,000</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40" w:type="dxa"/>
            <w:vAlign w:val="bottom"/>
            <w:tcBorders>
              <w:top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Total stock-</w:t>
            </w:r>
          </w:p>
        </w:tc>
        <w:tc>
          <w:tcPr>
            <w:tcW w:w="5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80" w:type="dxa"/>
            <w:vAlign w:val="bottom"/>
            <w:tcBorders>
              <w:top w:val="single" w:sz="8" w:color="CCEEFF"/>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based</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gridSpan w:val="2"/>
          </w:tcPr>
          <w:p>
            <w:pPr>
              <w:jc w:val="right"/>
              <w:ind w:right="1030"/>
              <w:spacing w:after="0"/>
              <w:rPr>
                <w:sz w:val="20"/>
                <w:szCs w:val="20"/>
                <w:color w:val="auto"/>
              </w:rPr>
            </w:pPr>
            <w:r>
              <w:rPr>
                <w:rFonts w:ascii="Times New Roman" w:cs="Times New Roman" w:eastAsia="Times New Roman" w:hAnsi="Times New Roman"/>
                <w:sz w:val="14"/>
                <w:szCs w:val="14"/>
                <w:color w:val="auto"/>
              </w:rPr>
              <w:t>98,400</w:t>
            </w: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155,600</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tcPr>
          <w:p>
            <w:pPr>
              <w:jc w:val="right"/>
              <w:ind w:right="1030"/>
              <w:spacing w:after="0"/>
              <w:rPr>
                <w:sz w:val="20"/>
                <w:szCs w:val="20"/>
                <w:color w:val="auto"/>
              </w:rPr>
            </w:pPr>
            <w:r>
              <w:rPr>
                <w:rFonts w:ascii="Times New Roman" w:cs="Times New Roman" w:eastAsia="Times New Roman" w:hAnsi="Times New Roman"/>
                <w:sz w:val="14"/>
                <w:szCs w:val="14"/>
                <w:color w:val="auto"/>
              </w:rPr>
              <w:t>3,868,300</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564,000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vMerge w:val="restart"/>
          </w:tcPr>
          <w:p>
            <w:pPr>
              <w:jc w:val="right"/>
              <w:ind w:right="790"/>
              <w:spacing w:after="0"/>
              <w:rPr>
                <w:sz w:val="20"/>
                <w:szCs w:val="20"/>
                <w:color w:val="auto"/>
              </w:rPr>
            </w:pPr>
            <w:r>
              <w:rPr>
                <w:rFonts w:ascii="Times New Roman" w:cs="Times New Roman" w:eastAsia="Times New Roman" w:hAnsi="Times New Roman"/>
                <w:sz w:val="14"/>
                <w:szCs w:val="14"/>
                <w:color w:val="auto"/>
              </w:rPr>
              <w:t>-7-</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7269480</wp:posOffset>
            </wp:positionH>
            <wp:positionV relativeFrom="paragraph">
              <wp:posOffset>-12700</wp:posOffset>
            </wp:positionV>
            <wp:extent cx="127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1270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540"/>
          </w:cols>
          <w:pgMar w:left="220" w:top="120" w:right="139" w:bottom="1440" w:gutter="0" w:footer="0" w:header="0"/>
        </w:sectPr>
      </w:pPr>
    </w:p>
    <w:bookmarkStart w:id="9" w:name="page10"/>
    <w:bookmarkEnd w:id="9"/>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5"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During September 2015, we granted options to purchase an aggregate of 90,000 shares of our common stock at an exercise price of $9.25 per share to our non-officer employees and certain strategic consultants. We did not grant stock options to any of our employees or strategic consultants during the nine months ended December 31, 2014. At December 31, 2015, there were stock options outstanding to purchase 296,738 shares of our common stock at a weighted average exercise price of $9.83 per share. During September 2015, we also granted immediately vested warrants to purchase an aggregate of 650,000 shares of our common stock to our executive officers, independent members of our Board of Directors and certain strategic consultants. We valued the warrants and options granted in September 2015 using the Black-Scholes Option Pricing Model and the following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00" w:type="dxa"/>
            <w:vAlign w:val="bottom"/>
          </w:tcPr>
          <w:p>
            <w:pPr>
              <w:spacing w:after="0"/>
              <w:rPr>
                <w:sz w:val="16"/>
                <w:szCs w:val="16"/>
                <w:color w:val="auto"/>
              </w:rPr>
            </w:pPr>
          </w:p>
        </w:tc>
        <w:tc>
          <w:tcPr>
            <w:tcW w:w="194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Employee Options</w:t>
            </w:r>
          </w:p>
        </w:tc>
        <w:tc>
          <w:tcPr>
            <w:tcW w:w="220" w:type="dxa"/>
            <w:vAlign w:val="bottom"/>
          </w:tcPr>
          <w:p>
            <w:pPr>
              <w:spacing w:after="0"/>
              <w:rPr>
                <w:sz w:val="16"/>
                <w:szCs w:val="16"/>
                <w:color w:val="auto"/>
              </w:rPr>
            </w:pPr>
          </w:p>
        </w:tc>
        <w:tc>
          <w:tcPr>
            <w:tcW w:w="1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Non-employee Options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price per share at grant date</w:t>
            </w:r>
          </w:p>
        </w:tc>
        <w:tc>
          <w:tcPr>
            <w:tcW w:w="16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9.11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 per share</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1.52%</w:t>
            </w: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Contractual or estimated term in years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5.00</w:t>
            </w:r>
          </w:p>
        </w:tc>
        <w:tc>
          <w:tcPr>
            <w:tcW w:w="200" w:type="dxa"/>
            <w:vAlign w:val="bottom"/>
          </w:tcPr>
          <w:p>
            <w:pPr>
              <w:spacing w:after="0"/>
              <w:rPr>
                <w:sz w:val="14"/>
                <w:szCs w:val="14"/>
                <w:color w:val="auto"/>
              </w:rPr>
            </w:pPr>
          </w:p>
        </w:tc>
        <w:tc>
          <w:tcPr>
            <w:tcW w:w="1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6.25</w:t>
            </w:r>
          </w:p>
        </w:tc>
        <w:tc>
          <w:tcPr>
            <w:tcW w:w="2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77.19%</w:t>
            </w: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79.48%</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103.42%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Dividend rate</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2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tcPr>
          <w:p>
            <w:pPr>
              <w:spacing w:after="0"/>
              <w:rPr>
                <w:sz w:val="14"/>
                <w:szCs w:val="14"/>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650,000</w:t>
            </w: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60,000</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5.68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6.35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8.27</w:t>
            </w:r>
          </w:p>
        </w:tc>
        <w:tc>
          <w:tcPr>
            <w:tcW w:w="0" w:type="dxa"/>
            <w:vAlign w:val="bottom"/>
          </w:tcPr>
          <w:p>
            <w:pPr>
              <w:spacing w:after="0"/>
              <w:rPr>
                <w:sz w:val="1"/>
                <w:szCs w:val="1"/>
                <w:color w:val="auto"/>
              </w:rPr>
            </w:pPr>
          </w:p>
        </w:tc>
      </w:tr>
      <w:tr>
        <w:trPr>
          <w:trHeight w:val="359"/>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 xml:space="preserve">Between October 2012 and July 2013, we issued to Platinum warrants to purchase an aggregate of 176,129 unregistered shares of our common stock and, subject to Platinum’s exercise of its rights to exchange shares of our Series A Preferred Stock that it holds, we are obligated to issue to Platinum an additional warrant to purchase 375,000 unregistered shares of common stock (the </w:t>
      </w:r>
      <w:r>
        <w:rPr>
          <w:rFonts w:ascii="Times New Roman" w:cs="Times New Roman" w:eastAsia="Times New Roman" w:hAnsi="Times New Roman"/>
          <w:sz w:val="14"/>
          <w:szCs w:val="14"/>
          <w:i w:val="1"/>
          <w:iCs w:val="1"/>
          <w:color w:val="auto"/>
        </w:rPr>
        <w:t>Series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Preferred Exchange Warrant</w:t>
      </w:r>
      <w:r>
        <w:rPr>
          <w:rFonts w:ascii="Times New Roman" w:cs="Times New Roman" w:eastAsia="Times New Roman" w:hAnsi="Times New Roman"/>
          <w:sz w:val="14"/>
          <w:szCs w:val="14"/>
          <w:color w:val="auto"/>
        </w:rPr>
        <w:t>) (collectively, the</w:t>
      </w:r>
      <w:r>
        <w:rPr>
          <w:rFonts w:ascii="Times New Roman" w:cs="Times New Roman" w:eastAsia="Times New Roman" w:hAnsi="Times New Roman"/>
          <w:sz w:val="14"/>
          <w:szCs w:val="14"/>
          <w:i w:val="1"/>
          <w:iCs w:val="1"/>
          <w:color w:val="auto"/>
        </w:rPr>
        <w:t xml:space="preserve"> Platinum Warrants</w:t>
      </w:r>
      <w:r>
        <w:rPr>
          <w:rFonts w:ascii="Times New Roman" w:cs="Times New Roman" w:eastAsia="Times New Roman" w:hAnsi="Times New Roman"/>
          <w:sz w:val="14"/>
          <w:szCs w:val="14"/>
          <w:color w:val="auto"/>
        </w:rPr>
        <w:t>). As originally issued, the Platinum Warrants contained an exercise price adjustment feature that would reduce the exercise price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Platinum Warrants and increase the number of shares of our common stock eligible for Platinum’s purchase thereunder in the event we subsequently issued equity instruments at a price lower than the exercise price of the Platinum Warrants. Prior to their amendment in May 2015, as described below, we accounted for the Platinum Warrants as non-cash liabilities and estimated their fair value at the end of each financial reporting period and recorded the change in the fair value as non-cash expense or non-cash income. The key component in determining the fair value of the Platinum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Assuming all other fair value inputs remained generally constant, we generally recorded an increase in the warrant liability and non-cash losses when our stock price increased and a decrease in the warrant liability and non-cash gains when our stock price decreased.</w:t>
      </w:r>
    </w:p>
    <w:p>
      <w:pPr>
        <w:spacing w:after="0" w:line="163" w:lineRule="exact"/>
        <w:rPr>
          <w:sz w:val="20"/>
          <w:szCs w:val="20"/>
          <w:color w:val="auto"/>
        </w:rPr>
      </w:pPr>
    </w:p>
    <w:p>
      <w:pPr>
        <w:jc w:val="both"/>
        <w:ind w:firstLine="507"/>
        <w:spacing w:after="0" w:line="264" w:lineRule="auto"/>
        <w:rPr>
          <w:sz w:val="20"/>
          <w:szCs w:val="20"/>
          <w:color w:val="auto"/>
        </w:rPr>
      </w:pPr>
      <w:r>
        <w:rPr>
          <w:rFonts w:ascii="Times New Roman" w:cs="Times New Roman" w:eastAsia="Times New Roman" w:hAnsi="Times New Roman"/>
          <w:sz w:val="14"/>
          <w:szCs w:val="14"/>
          <w:color w:val="auto"/>
        </w:rPr>
        <w:t xml:space="preserve">As described more completely in Note 8, </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on May 12, 2015, we entered into an agreement with Platinum pursuant to which Platinum agreed, among other things, to amend the Platinum Warrants to (i) fix the exercise price thereof, (ii) eliminate the exercise price reset and cashless exercise features (iii) fix the number of shares of our common stock issuable thereunder and (iv) eliminate the cashless exercise provisions from the Platinum Warrants. This agreement and the related modifications to the Platinum Warrants resulted in the complete elimination of the warrant liability with respect to the Platinum Warrants during our fiscal quarter ended June 30, 2015.</w:t>
      </w:r>
    </w:p>
    <w:p>
      <w:pPr>
        <w:spacing w:after="0" w:line="158" w:lineRule="exact"/>
        <w:rPr>
          <w:sz w:val="20"/>
          <w:szCs w:val="20"/>
          <w:color w:val="auto"/>
        </w:rPr>
      </w:pPr>
    </w:p>
    <w:p>
      <w:pPr>
        <w:jc w:val="both"/>
        <w:ind w:firstLine="507"/>
        <w:spacing w:after="0" w:line="270" w:lineRule="auto"/>
        <w:rPr>
          <w:sz w:val="20"/>
          <w:szCs w:val="20"/>
          <w:color w:val="auto"/>
        </w:rPr>
      </w:pPr>
      <w:r>
        <w:rPr>
          <w:rFonts w:ascii="Times New Roman" w:cs="Times New Roman" w:eastAsia="Times New Roman" w:hAnsi="Times New Roman"/>
          <w:sz w:val="14"/>
          <w:szCs w:val="14"/>
          <w:color w:val="auto"/>
        </w:rPr>
        <w:t xml:space="preserve">As described more completely in Note 10,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in January 2016, we entered into an Exchange Agreement with Platinum pursuant to which Platinum exchanged all outstanding Platinum Warrants, plus the shares issuable pursuant to the Series A Preferred Exchange Warrant for unregistered shares of our Series C Convertible Preferred Stock (</w:t>
      </w:r>
      <w:r>
        <w:rPr>
          <w:rFonts w:ascii="Times New Roman" w:cs="Times New Roman" w:eastAsia="Times New Roman" w:hAnsi="Times New Roman"/>
          <w:sz w:val="14"/>
          <w:szCs w:val="14"/>
          <w:i w:val="1"/>
          <w:iCs w:val="1"/>
          <w:color w:val="auto"/>
        </w:rPr>
        <w:t>Series C Preferred</w:t>
      </w:r>
      <w:r>
        <w:rPr>
          <w:rFonts w:ascii="Times New Roman" w:cs="Times New Roman" w:eastAsia="Times New Roman" w:hAnsi="Times New Roman"/>
          <w:sz w:val="14"/>
          <w:szCs w:val="14"/>
          <w:color w:val="auto"/>
        </w:rPr>
        <w:t>) in the ratio of 0.75 share of Series C Preferred for each warrant share cancelled.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have no components of other comprehensive loss other than net loss, and accordingly our comprehensive loss is equivalent to our net loss for the periods presented.</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10" w:name="page11"/>
    <w:bookmarkEnd w:id="10"/>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(Loss) per Common Share</w:t>
      </w:r>
    </w:p>
    <w:p>
      <w:pPr>
        <w:spacing w:after="0" w:line="200"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have historically adjusted the numerator for the change in the fair value of the warrant liability attributable to outstanding warrants, only if dilutive, and increased the denominator to include the number of potentially dilutive common shares assumed to be outstanding during the period using the treasury stock method. The change in the fair value of the warrant liability had an impact on the diluted earnings per share calculation in both the three and nine month periods ended December 31, 2014, but in no other periods included in these Condensed Consolidated Financial Statements, as indicated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color w:val="auto"/>
              </w:rPr>
              <w:t>Nine Months Ended 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color w:val="auto"/>
              </w:rPr>
              <w:t>2015</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Numerator:</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attributable to common stockholders for basic earnings per share</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(3,446,600)</w:t>
            </w: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(1,090,300)</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(41,989,900)</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(7,664,500)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change in fair value of warrant liability attributable to outstanding warrants issued to Platinum</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(314,900)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(251,500)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loss for diluted earnings per share attributable to common stockholders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(3,446,600)</w:t>
            </w: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(1,405,200)</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(41,989,900)</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(7,916,000)</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9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Denominator:</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 average basic common shares outstanding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1,765,641</w:t>
            </w: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1,302,300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1,650,160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1,270,495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Assumed conversion of dilutive securities:</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Potentially dilutive common shares assumed converted</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18,179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Denominator for diluted earnings per share - adjusted weighted average 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1,765,641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1,302,300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1,650,160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1,288,674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net loss attributable to common stockholders per common share</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(1.95)</w:t>
            </w: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(0.84)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(25.45)</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(6.03)</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9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net loss attributable to common stockholders per common share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(1.95)</w:t>
            </w: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(25.45)</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5940" w:type="dxa"/>
            <w:vAlign w:val="bottom"/>
            <w:tcBorders>
              <w:top w:val="single" w:sz="8" w:color="CCEEFF"/>
            </w:tcBorders>
          </w:tcPr>
          <w:p>
            <w:pPr>
              <w:ind w:left="564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59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7269480</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127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11" w:name="page12"/>
    <w:bookmarkEnd w:id="11"/>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4"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As a result of our net loss for the periods presented, potentially dilutive securities were excluded from the computation, as their effect would be antidilutive. For the three month and nine month periods ended December 31, 2015, the accrual for dividends on our Series B Preferred and the deemed dividend attributable to the issuance of our Series B Preferred Units represent deductions from our net loss to arrive at net loss attributable to common stockholders for those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Potentially dilutive securities excluded in determining diluted net loss per common share are as follows: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6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4"/>
                <w:szCs w:val="14"/>
                <w:color w:val="auto"/>
              </w:rPr>
              <w:t xml:space="preserve">Series A Preferred stock issued and outstanding </w:t>
            </w:r>
            <w:r>
              <w:rPr>
                <w:rFonts w:ascii="Times New Roman" w:cs="Times New Roman" w:eastAsia="Times New Roman" w:hAnsi="Times New Roman"/>
                <w:sz w:val="19"/>
                <w:szCs w:val="19"/>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4"/>
                <w:szCs w:val="14"/>
                <w:color w:val="auto"/>
              </w:rPr>
              <w:t xml:space="preserve">Series B Preferred stock issued and outstanding </w:t>
            </w:r>
            <w:r>
              <w:rPr>
                <w:rFonts w:ascii="Times New Roman" w:cs="Times New Roman" w:eastAsia="Times New Roman" w:hAnsi="Times New Roman"/>
                <w:sz w:val="19"/>
                <w:szCs w:val="19"/>
                <w:color w:val="auto"/>
                <w:vertAlign w:val="superscript"/>
              </w:rPr>
              <w:t>(2)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3,588,863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88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Warrant shares issuable to Platinum upon exercise of common stock warrants by Platinum upon exchange of Series A Preferred under the terms of the</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October 11, 2012 Note Exchange and Purchase Agreement, as subsequently amended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535,715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375,000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options under the 2008 and 1999 Stock Incentive Plans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296,738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207,768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warrants to purchase common stock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4,971,497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999,840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 Senior Secured Convertible Notes issued to Platinum between October 2012 and July 2013, including accrued interest through December 31, 2014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433,311</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 convertible notes issued as a component of Unit Private Placements, including accrued interest through December 31, 2014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322,091</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10,142,813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3,088,010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line="148" w:lineRule="exact"/>
              <w:rPr>
                <w:sz w:val="20"/>
                <w:szCs w:val="20"/>
                <w:color w:val="auto"/>
              </w:rPr>
            </w:pPr>
            <w:r>
              <w:rPr>
                <w:rFonts w:ascii="Times New Roman" w:cs="Times New Roman" w:eastAsia="Times New Roman" w:hAnsi="Times New Roman"/>
                <w:sz w:val="14"/>
                <w:szCs w:val="14"/>
                <w:color w:val="auto"/>
              </w:rPr>
              <w:t>____________</w:t>
            </w: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bl>
    <w:p>
      <w:pPr>
        <w:ind w:left="140" w:hanging="136"/>
        <w:spacing w:after="0" w:line="211" w:lineRule="auto"/>
        <w:tabs>
          <w:tab w:leader="none" w:pos="14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Assumes exchange under the terms of the October 11, 2012 Note Exchange and Purchase Agreement with Platinum, as amended</w:t>
      </w:r>
    </w:p>
    <w:p>
      <w:pPr>
        <w:spacing w:after="0" w:line="1" w:lineRule="exact"/>
        <w:rPr>
          <w:rFonts w:ascii="Times New Roman" w:cs="Times New Roman" w:eastAsia="Times New Roman" w:hAnsi="Times New Roman"/>
          <w:sz w:val="17"/>
          <w:szCs w:val="17"/>
          <w:color w:val="auto"/>
          <w:vertAlign w:val="superscript"/>
        </w:rPr>
      </w:pPr>
    </w:p>
    <w:p>
      <w:pPr>
        <w:ind w:left="140" w:hanging="136"/>
        <w:spacing w:after="0" w:line="205" w:lineRule="auto"/>
        <w:tabs>
          <w:tab w:leader="none" w:pos="14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Assumes exchange under the terms of the Certificate of Designation of the Relative Rights and Preferences of the Series B 10% Convertible Preferred Stock, effective May 5,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200" w:lineRule="exact"/>
        <w:rPr>
          <w:sz w:val="20"/>
          <w:szCs w:val="20"/>
          <w:color w:val="auto"/>
        </w:rPr>
      </w:pPr>
    </w:p>
    <w:p>
      <w:pPr>
        <w:ind w:firstLine="507"/>
        <w:spacing w:after="0" w:line="285" w:lineRule="auto"/>
        <w:rPr>
          <w:sz w:val="20"/>
          <w:szCs w:val="20"/>
          <w:color w:val="auto"/>
        </w:rPr>
      </w:pPr>
      <w:r>
        <w:rPr>
          <w:rFonts w:ascii="Times New Roman" w:cs="Times New Roman" w:eastAsia="Times New Roman" w:hAnsi="Times New Roman"/>
          <w:sz w:val="14"/>
          <w:szCs w:val="14"/>
          <w:color w:val="auto"/>
        </w:rPr>
        <w:t>There have been no recent accounting pronouncements or changes in accounting pronouncements during the nine months ended December 31, 2015, as compared to the recent accounting pronouncements described in the Company’s Form 10-K for the fiscal year ended March 31, 2015, that are of significance or potential significance to the Company.</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12" w:name="page13"/>
    <w:bookmarkEnd w:id="12"/>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Fair Value Measurements</w:t>
      </w:r>
    </w:p>
    <w:p>
      <w:pPr>
        <w:spacing w:after="0" w:line="200" w:lineRule="exact"/>
        <w:rPr>
          <w:sz w:val="20"/>
          <w:szCs w:val="20"/>
          <w:color w:val="auto"/>
        </w:rPr>
      </w:pPr>
    </w:p>
    <w:p>
      <w:pPr>
        <w:ind w:firstLine="507"/>
        <w:spacing w:after="0" w:line="285" w:lineRule="auto"/>
        <w:rPr>
          <w:sz w:val="20"/>
          <w:szCs w:val="20"/>
          <w:color w:val="auto"/>
        </w:rPr>
      </w:pPr>
      <w:r>
        <w:rPr>
          <w:rFonts w:ascii="Times New Roman" w:cs="Times New Roman" w:eastAsia="Times New Roman" w:hAnsi="Times New Roman"/>
          <w:sz w:val="14"/>
          <w:szCs w:val="14"/>
          <w:color w:val="auto"/>
        </w:rPr>
        <w:t>We follow the principles of fair value accounting as they relate to our financial assets and financial liabilities. The required fair value hierarchy that prioritizes observable and unobservable inputs used to measure and classify fair value into three broad levels is described as follows:</w:t>
      </w:r>
    </w:p>
    <w:p>
      <w:pPr>
        <w:spacing w:after="0" w:line="144" w:lineRule="exact"/>
        <w:rPr>
          <w:sz w:val="20"/>
          <w:szCs w:val="20"/>
          <w:color w:val="auto"/>
        </w:rPr>
      </w:pPr>
    </w:p>
    <w:p>
      <w:pPr>
        <w:ind w:left="960" w:hanging="396"/>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 Quoted prices (unadjusted) in active markets for identical assets or liabilities.</w:t>
      </w:r>
    </w:p>
    <w:p>
      <w:pPr>
        <w:spacing w:after="0" w:line="198" w:lineRule="exact"/>
        <w:rPr>
          <w:rFonts w:ascii="Times New Roman" w:cs="Times New Roman" w:eastAsia="Times New Roman" w:hAnsi="Times New Roman"/>
          <w:sz w:val="14"/>
          <w:szCs w:val="14"/>
          <w:color w:val="auto"/>
        </w:rPr>
      </w:pPr>
    </w:p>
    <w:p>
      <w:pPr>
        <w:ind w:left="960" w:hanging="396"/>
        <w:spacing w:after="0" w:line="288" w:lineRule="auto"/>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 Inputs other than Level 1 that are observable, either directly or indirectly, such as quoted prices for similar assets or liabilities; quoted prices in markets that are not active;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inputs that are observable or can be corroborated by observable market data for substantially the full term of the assets or liabilities.</w:t>
      </w:r>
    </w:p>
    <w:p>
      <w:pPr>
        <w:spacing w:after="0" w:line="141" w:lineRule="exact"/>
        <w:rPr>
          <w:rFonts w:ascii="Times New Roman" w:cs="Times New Roman" w:eastAsia="Times New Roman" w:hAnsi="Times New Roman"/>
          <w:sz w:val="14"/>
          <w:szCs w:val="14"/>
          <w:color w:val="auto"/>
        </w:rPr>
      </w:pPr>
    </w:p>
    <w:p>
      <w:pPr>
        <w:ind w:left="960" w:hanging="396"/>
        <w:spacing w:after="0" w:line="288" w:lineRule="auto"/>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 Unobservable inputs (</w:t>
      </w:r>
      <w:r>
        <w:rPr>
          <w:rFonts w:ascii="Times New Roman" w:cs="Times New Roman" w:eastAsia="Times New Roman" w:hAnsi="Times New Roman"/>
          <w:sz w:val="14"/>
          <w:szCs w:val="14"/>
          <w:i w:val="1"/>
          <w:iCs w:val="1"/>
          <w:color w:val="auto"/>
        </w:rPr>
        <w:t xml:space="preserve">i.e., </w:t>
      </w:r>
      <w:r>
        <w:rPr>
          <w:rFonts w:ascii="Times New Roman" w:cs="Times New Roman" w:eastAsia="Times New Roman" w:hAnsi="Times New Roman"/>
          <w:sz w:val="14"/>
          <w:szCs w:val="14"/>
          <w:color w:val="auto"/>
        </w:rPr>
        <w:t>inputs that reflect the reporting entity’s own assumptions about the assumptions that market participants would use in estimating the fair value of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 or liability) are used when little or no market data is available.</w:t>
      </w:r>
    </w:p>
    <w:p>
      <w:pPr>
        <w:spacing w:after="0" w:line="144" w:lineRule="exact"/>
        <w:rPr>
          <w:sz w:val="20"/>
          <w:szCs w:val="20"/>
          <w:color w:val="auto"/>
        </w:rPr>
      </w:pPr>
    </w:p>
    <w:p>
      <w:pPr>
        <w:jc w:val="both"/>
        <w:ind w:firstLine="507"/>
        <w:spacing w:after="0" w:line="254" w:lineRule="auto"/>
        <w:rPr>
          <w:sz w:val="20"/>
          <w:szCs w:val="20"/>
          <w:color w:val="auto"/>
        </w:rPr>
      </w:pPr>
      <w:r>
        <w:rPr>
          <w:rFonts w:ascii="Times New Roman" w:cs="Times New Roman" w:eastAsia="Times New Roman" w:hAnsi="Times New Roman"/>
          <w:sz w:val="14"/>
          <w:szCs w:val="14"/>
          <w:color w:val="auto"/>
        </w:rPr>
        <w:t xml:space="preserve">We do not use derivative instruments for hedging of market risks or for trading or speculative purposes. In conjunction with the issuance to Platinum of the Senior Secured Convertible Promissory Notes and Platinum Warrants between October 2012 and July 2013, and the potential issuance of the Series A Preferred Exchange Warrant pursuant to Platinum’s exchange of the Series A Preferred stock that it holds into shares of our common stock, we determined that the Platinum Warrants included certain exercise price adjustment features that required the warrants to be treated as non-cash liabilities and recorded at their estimated fair value. Prior to their amendment in May 2015, as described below, we determined the initial fair value and subsequent fair value measurements of the warrant liability using a Monte Carlo simulation model with Level 3 inputs or the Black-Scholes Option Pricing model. Inputs used to determine fair value included the remaining contractual term of the Platinum Warrants, risk-free interest rates, expected volatility of the price of the underlying common stock, and the probability of a financing transaction or other equity issuance that would trigger a reset in the exercise price of the Platinum Warrants, and, in the case of the Series A Preferred Exchange Warrant, the probability of Platinum’s exchange of the shares of Series A preferred stock it holds into shares of common stock. As described more completely in Note 8, </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on May 12, 2015, we entered into an agreement with Platinum pursuant to which we amended the Platinum Warrants to fix the exercise price thereof and eliminate the anti-dilution reset features that had previously required the Platinum Warrants to be treated as liabilities and carried at fair value. As a result of the agreement with Platinum, at May 12, 2015, we adjusted the Platinum Warrants to their fair value, estimated to be $4,903,200, reflecting an increase of $1,894,700 since March 31, 2015, which was recorded as a non-cash charge to other expense, net in the Condensed Consolidated Statements of Operations and Comprehensive Loss for the first quarter of our current fiscal year, and subsequently eliminated the warrant liability with respect to the Platinum Warrants, with a corresponding credit to Additional Paid-in Capital.</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fair value hierarchy for the warrant liability which had been measured at fair value on a recurring basis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8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 Reporting Date Using</w:t>
            </w:r>
          </w:p>
        </w:tc>
      </w:tr>
      <w:tr>
        <w:trPr>
          <w:trHeight w:val="152"/>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inActive Markets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9"/>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Unobservable</w:t>
            </w:r>
          </w:p>
        </w:tc>
      </w:tr>
      <w:tr>
        <w:trPr>
          <w:trHeight w:val="169"/>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Inputs</w:t>
            </w:r>
          </w:p>
        </w:tc>
      </w:tr>
      <w:tr>
        <w:trPr>
          <w:trHeight w:val="187"/>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9"/>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2015:</w:t>
            </w:r>
          </w:p>
        </w:tc>
        <w:tc>
          <w:tcPr>
            <w:tcW w:w="24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 liability</w:t>
            </w:r>
          </w:p>
        </w:tc>
        <w:tc>
          <w:tcPr>
            <w:tcW w:w="26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left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22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1"/>
        </w:trPr>
        <w:tc>
          <w:tcPr>
            <w:tcW w:w="20" w:type="dxa"/>
            <w:vAlign w:val="bottom"/>
          </w:tcPr>
          <w:p>
            <w:pPr>
              <w:spacing w:after="0"/>
              <w:rPr>
                <w:sz w:val="13"/>
                <w:szCs w:val="13"/>
                <w:color w:val="auto"/>
              </w:rPr>
            </w:pPr>
          </w:p>
        </w:tc>
        <w:tc>
          <w:tcPr>
            <w:tcW w:w="3600" w:type="dxa"/>
            <w:vAlign w:val="bottom"/>
            <w:tcBorders>
              <w:top w:val="single" w:sz="8" w:color="CCEEFF"/>
            </w:tcBorders>
          </w:tcPr>
          <w:p>
            <w:pPr>
              <w:spacing w:after="0" w:line="151" w:lineRule="exact"/>
              <w:rPr>
                <w:sz w:val="20"/>
                <w:szCs w:val="20"/>
                <w:color w:val="auto"/>
              </w:rPr>
            </w:pPr>
            <w:r>
              <w:rPr>
                <w:rFonts w:ascii="Times New Roman" w:cs="Times New Roman" w:eastAsia="Times New Roman" w:hAnsi="Times New Roman"/>
                <w:sz w:val="14"/>
                <w:szCs w:val="14"/>
                <w:color w:val="auto"/>
              </w:rPr>
              <w:t>March 31, 2015:</w:t>
            </w:r>
          </w:p>
        </w:tc>
        <w:tc>
          <w:tcPr>
            <w:tcW w:w="246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 liability</w:t>
            </w:r>
          </w:p>
        </w:tc>
        <w:tc>
          <w:tcPr>
            <w:tcW w:w="24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3,008,500</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left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22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3,008,500</w:t>
            </w: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nine month period ended December 31, 2015, there was no significant change to the valuation models used for purposes of determining the fair value of the Level 3 warrant liability.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26"/>
        </w:trPr>
        <w:tc>
          <w:tcPr>
            <w:tcW w:w="6660" w:type="dxa"/>
            <w:vAlign w:val="bottom"/>
            <w:gridSpan w:val="4"/>
          </w:tcPr>
          <w:p>
            <w:pPr>
              <w:spacing w:after="0"/>
              <w:rPr>
                <w:rFonts w:ascii="Times New Roman" w:cs="Times New Roman" w:eastAsia="Times New Roman" w:hAnsi="Times New Roman"/>
                <w:sz w:val="11"/>
                <w:szCs w:val="11"/>
                <w:b w:val="1"/>
                <w:bCs w:val="1"/>
                <w:i w:val="1"/>
                <w:iCs w:val="1"/>
                <w:color w:val="0000EE"/>
              </w:rPr>
            </w:pPr>
            <w:hyperlink w:anchor="page2">
              <w:r>
                <w:rPr>
                  <w:rFonts w:ascii="Times New Roman" w:cs="Times New Roman" w:eastAsia="Times New Roman" w:hAnsi="Times New Roman"/>
                  <w:sz w:val="11"/>
                  <w:szCs w:val="11"/>
                  <w:b w:val="1"/>
                  <w:bCs w:val="1"/>
                  <w:i w:val="1"/>
                  <w:iCs w:val="1"/>
                  <w:color w:val="0000EE"/>
                </w:rPr>
                <w:t>Table of Contents</w:t>
              </w:r>
            </w:hyperlink>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664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The changes in Level 3 liabilities measured at fair value on a recurring basis are as follows: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Fair Value Measurements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Using Significant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March 31, 2015</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3,008,500</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Mark to market loss included in net loss</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1,894,700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Elimination of liability upon modification of warrants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(4,903,200</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2015</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6640" w:type="dxa"/>
            <w:vAlign w:val="bottom"/>
            <w:tcBorders>
              <w:top w:val="single" w:sz="8" w:color="CCEEFF"/>
            </w:tcBorders>
            <w:gridSpan w:val="3"/>
          </w:tcPr>
          <w:p>
            <w:pPr>
              <w:ind w:left="500"/>
              <w:spacing w:after="0"/>
              <w:rPr>
                <w:sz w:val="20"/>
                <w:szCs w:val="20"/>
                <w:color w:val="auto"/>
              </w:rPr>
            </w:pPr>
            <w:r>
              <w:rPr>
                <w:rFonts w:ascii="Times New Roman" w:cs="Times New Roman" w:eastAsia="Times New Roman" w:hAnsi="Times New Roman"/>
                <w:sz w:val="14"/>
                <w:szCs w:val="14"/>
                <w:color w:val="auto"/>
              </w:rPr>
              <w:t>We carried no assets or other liabilities at fair value at December 31, 2015 or March 31, 2015.</w:t>
            </w:r>
          </w:p>
        </w:tc>
        <w:tc>
          <w:tcPr>
            <w:tcW w:w="9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Note 5. Prepaid Expenses and Other Current Assets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7620" w:type="dxa"/>
            <w:vAlign w:val="bottom"/>
            <w:gridSpan w:val="4"/>
          </w:tcPr>
          <w:p>
            <w:pPr>
              <w:ind w:left="500"/>
              <w:spacing w:after="0"/>
              <w:rPr>
                <w:sz w:val="20"/>
                <w:szCs w:val="20"/>
                <w:color w:val="auto"/>
              </w:rPr>
            </w:pPr>
            <w:r>
              <w:rPr>
                <w:rFonts w:ascii="Times New Roman" w:cs="Times New Roman" w:eastAsia="Times New Roman" w:hAnsi="Times New Roman"/>
                <w:sz w:val="14"/>
                <w:szCs w:val="14"/>
                <w:color w:val="auto"/>
              </w:rPr>
              <w:t>Prepaid expenses and other current assets are composed of the following at December 31, 2015 and March 31, 2015: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ind w:left="400"/>
              <w:spacing w:after="0"/>
              <w:rPr>
                <w:sz w:val="20"/>
                <w:szCs w:val="20"/>
                <w:color w:val="auto"/>
              </w:rPr>
            </w:pPr>
            <w:r>
              <w:rPr>
                <w:rFonts w:ascii="Times New Roman" w:cs="Times New Roman" w:eastAsia="Times New Roman" w:hAnsi="Times New Roman"/>
                <w:sz w:val="14"/>
                <w:szCs w:val="14"/>
                <w:color w:val="auto"/>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ind w:left="480"/>
              <w:spacing w:after="0"/>
              <w:rPr>
                <w:sz w:val="20"/>
                <w:szCs w:val="20"/>
                <w:color w:val="auto"/>
              </w:rPr>
            </w:pPr>
            <w:r>
              <w:rPr>
                <w:rFonts w:ascii="Times New Roman" w:cs="Times New Roman" w:eastAsia="Times New Roman" w:hAnsi="Times New Roman"/>
                <w:sz w:val="14"/>
                <w:szCs w:val="14"/>
                <w:color w:val="auto"/>
              </w:rPr>
              <w:t>March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color w:val="auto"/>
              </w:rPr>
              <w:t>2015</w:t>
            </w: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w:t>
            </w:r>
          </w:p>
        </w:tc>
        <w:tc>
          <w:tcPr>
            <w:tcW w:w="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4"/>
                <w:szCs w:val="14"/>
                <w:color w:val="auto"/>
              </w:rPr>
              <w:t>51,600</w:t>
            </w:r>
          </w:p>
        </w:tc>
        <w:tc>
          <w:tcPr>
            <w:tcW w:w="7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27,300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compensation under financial advisory and other consulting agreements</w:t>
            </w:r>
          </w:p>
        </w:tc>
        <w:tc>
          <w:tcPr>
            <w:tcW w:w="980" w:type="dxa"/>
            <w:vAlign w:val="bottom"/>
          </w:tcPr>
          <w:p>
            <w:pPr>
              <w:spacing w:after="0"/>
              <w:rPr>
                <w:sz w:val="14"/>
                <w:szCs w:val="14"/>
                <w:color w:val="auto"/>
              </w:rPr>
            </w:pPr>
          </w:p>
        </w:tc>
        <w:tc>
          <w:tcPr>
            <w:tcW w:w="156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color w:val="auto"/>
              </w:rPr>
              <w:t>675,000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w:t>
            </w:r>
          </w:p>
        </w:tc>
        <w:tc>
          <w:tcPr>
            <w:tcW w:w="9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3,400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Technology license fees and all other</w:t>
            </w:r>
          </w:p>
        </w:tc>
        <w:tc>
          <w:tcPr>
            <w:tcW w:w="980" w:type="dxa"/>
            <w:vAlign w:val="bottom"/>
          </w:tcPr>
          <w:p>
            <w:pPr>
              <w:spacing w:after="0"/>
              <w:rPr>
                <w:sz w:val="14"/>
                <w:szCs w:val="14"/>
                <w:color w:val="auto"/>
              </w:rPr>
            </w:pPr>
          </w:p>
        </w:tc>
        <w:tc>
          <w:tcPr>
            <w:tcW w:w="156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color w:val="auto"/>
              </w:rPr>
              <w:t>1,700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5,000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color w:val="auto"/>
              </w:rPr>
              <w:t>728,300</w:t>
            </w:r>
          </w:p>
        </w:tc>
        <w:tc>
          <w:tcPr>
            <w:tcW w:w="7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35,700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6. Accrued Expenses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6660" w:type="dxa"/>
            <w:vAlign w:val="bottom"/>
            <w:gridSpan w:val="4"/>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64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Accrued expenses are composed of the following at December 31, 2015 and March 31, 2015:</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jc w:val="center"/>
              <w:ind w:right="1140"/>
              <w:spacing w:after="0"/>
              <w:rPr>
                <w:sz w:val="20"/>
                <w:szCs w:val="20"/>
                <w:color w:val="auto"/>
              </w:rPr>
            </w:pPr>
            <w:r>
              <w:rPr>
                <w:rFonts w:ascii="Times New Roman" w:cs="Times New Roman" w:eastAsia="Times New Roman" w:hAnsi="Times New Roman"/>
                <w:sz w:val="14"/>
                <w:szCs w:val="14"/>
                <w:color w:val="auto"/>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March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2015</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color w:val="auto"/>
                <w:w w:val="92"/>
              </w:rPr>
              <w:t>2015</w:t>
            </w: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professional services</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367,000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213,800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Accrued compensation</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561,100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990,700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w:t>
            </w: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122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929,100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1,206,500</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56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57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7269480</wp:posOffset>
            </wp:positionH>
            <wp:positionV relativeFrom="paragraph">
              <wp:posOffset>-12700</wp:posOffset>
            </wp:positionV>
            <wp:extent cx="127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127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9" w:right="219" w:bottom="1440" w:gutter="0" w:footer="0" w:header="0"/>
        </w:sectPr>
      </w:pPr>
    </w:p>
    <w:bookmarkStart w:id="14" w:name="page15"/>
    <w:bookmarkEnd w:id="14"/>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Convertible Promissory Notes and Other Notes Payable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secured and unsecured convertible promissory notes and other notes payable at December 31, 2015 and March 31, 2015.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color w:val="auto"/>
              </w:rPr>
              <w:t>Principal</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70"/>
              <w:spacing w:after="0" w:line="155" w:lineRule="exact"/>
              <w:rPr>
                <w:sz w:val="20"/>
                <w:szCs w:val="20"/>
                <w:color w:val="auto"/>
              </w:rPr>
            </w:pPr>
            <w:r>
              <w:rPr>
                <w:rFonts w:ascii="Times New Roman" w:cs="Times New Roman" w:eastAsia="Times New Roman" w:hAnsi="Times New Roman"/>
                <w:sz w:val="14"/>
                <w:szCs w:val="14"/>
                <w:color w:val="auto"/>
              </w:rPr>
              <w:t>Accrued</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color w:val="auto"/>
              </w:rPr>
              <w:t>Principal</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70"/>
              <w:spacing w:after="0" w:line="155" w:lineRule="exact"/>
              <w:rPr>
                <w:sz w:val="20"/>
                <w:szCs w:val="20"/>
                <w:color w:val="auto"/>
              </w:rPr>
            </w:pPr>
            <w:r>
              <w:rPr>
                <w:rFonts w:ascii="Times New Roman" w:cs="Times New Roman" w:eastAsia="Times New Roman" w:hAnsi="Times New Roman"/>
                <w:sz w:val="14"/>
                <w:szCs w:val="14"/>
                <w:color w:val="auto"/>
              </w:rPr>
              <w:t>Accrued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Balance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Interest</w:t>
            </w:r>
          </w:p>
        </w:tc>
        <w:tc>
          <w:tcPr>
            <w:tcW w:w="240" w:type="dxa"/>
            <w:vAlign w:val="bottom"/>
          </w:tcPr>
          <w:p>
            <w:pPr>
              <w:spacing w:after="0"/>
              <w:rPr>
                <w:sz w:val="16"/>
                <w:szCs w:val="16"/>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Balance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52"/>
        </w:trPr>
        <w:tc>
          <w:tcPr>
            <w:tcW w:w="33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Senior Secured 10% Convertible Promissory Notes</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issued to Platinum:</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20" w:type="dxa"/>
            <w:vAlign w:val="bottom"/>
            <w:shd w:val="clear" w:color="auto" w:fill="CCEEFF"/>
          </w:tcPr>
          <w:p>
            <w:pPr>
              <w:ind w:left="140"/>
              <w:spacing w:after="0" w:line="155" w:lineRule="exact"/>
              <w:rPr>
                <w:sz w:val="20"/>
                <w:szCs w:val="20"/>
                <w:color w:val="auto"/>
              </w:rPr>
            </w:pPr>
            <w:r>
              <w:rPr>
                <w:rFonts w:ascii="Times New Roman" w:cs="Times New Roman" w:eastAsia="Times New Roman" w:hAnsi="Times New Roman"/>
                <w:sz w:val="14"/>
                <w:szCs w:val="14"/>
                <w:color w:val="auto"/>
              </w:rPr>
              <w:t>Total Senior notes issued between October 11,</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2012 and July 23, 2013</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3,522,600</w:t>
            </w:r>
          </w:p>
        </w:tc>
        <w:tc>
          <w:tcPr>
            <w:tcW w:w="1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919,700</w:t>
            </w:r>
          </w:p>
        </w:tc>
        <w:tc>
          <w:tcPr>
            <w:tcW w:w="1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4,442,300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less: current portion</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(3,272,600)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(873,500)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(4,146,100)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Senior notes - non-current portion</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250,000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46,200</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296,200</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32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10% Convertible Promissory Notes (Unit Notes)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2014 Unit Notes, including amended notes, due</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340" w:type="dxa"/>
            <w:vAlign w:val="bottom"/>
            <w:gridSpan w:val="2"/>
          </w:tcPr>
          <w:p>
            <w:pPr>
              <w:jc w:val="right"/>
              <w:ind w:right="2530"/>
              <w:spacing w:after="0"/>
              <w:rPr>
                <w:sz w:val="20"/>
                <w:szCs w:val="20"/>
                <w:color w:val="auto"/>
              </w:rPr>
            </w:pPr>
            <w:r>
              <w:rPr>
                <w:rFonts w:ascii="Times New Roman" w:cs="Times New Roman" w:eastAsia="Times New Roman" w:hAnsi="Times New Roman"/>
                <w:sz w:val="14"/>
                <w:szCs w:val="14"/>
                <w:color w:val="auto"/>
              </w:rPr>
              <w:t>3/31/15</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4,066,900</w:t>
            </w:r>
          </w:p>
        </w:tc>
        <w:tc>
          <w:tcPr>
            <w:tcW w:w="14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270,700</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4,337,600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Note discounts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(180,000)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(180,000)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20" w:type="dxa"/>
            <w:vAlign w:val="bottom"/>
            <w:tcBorders>
              <w:top w:val="single" w:sz="8" w:color="CCEEFF"/>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Net convertible notes (all current at March 31,</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340" w:type="dxa"/>
            <w:vAlign w:val="bottom"/>
            <w:gridSpan w:val="2"/>
          </w:tcPr>
          <w:p>
            <w:pPr>
              <w:jc w:val="right"/>
              <w:ind w:right="2470"/>
              <w:spacing w:after="0"/>
              <w:rPr>
                <w:sz w:val="20"/>
                <w:szCs w:val="20"/>
                <w:color w:val="auto"/>
              </w:rPr>
            </w:pPr>
            <w:r>
              <w:rPr>
                <w:rFonts w:ascii="Times New Roman" w:cs="Times New Roman" w:eastAsia="Times New Roman" w:hAnsi="Times New Roman"/>
                <w:sz w:val="14"/>
                <w:szCs w:val="14"/>
                <w:color w:val="auto"/>
              </w:rPr>
              <w:t>2015)</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3,886,900</w:t>
            </w:r>
          </w:p>
        </w:tc>
        <w:tc>
          <w:tcPr>
            <w:tcW w:w="14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270,700</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4,157,600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restart"/>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Notes Payable to unrelated parties: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20" w:type="dxa"/>
            <w:vAlign w:val="bottom"/>
            <w:shd w:val="clear" w:color="auto" w:fill="CCEEFF"/>
          </w:tcPr>
          <w:p>
            <w:pPr>
              <w:ind w:left="140"/>
              <w:spacing w:after="0" w:line="155" w:lineRule="exact"/>
              <w:rPr>
                <w:sz w:val="20"/>
                <w:szCs w:val="20"/>
                <w:color w:val="auto"/>
              </w:rPr>
            </w:pPr>
            <w:r>
              <w:rPr>
                <w:rFonts w:ascii="Times New Roman" w:cs="Times New Roman" w:eastAsia="Times New Roman" w:hAnsi="Times New Roman"/>
                <w:sz w:val="14"/>
                <w:szCs w:val="14"/>
                <w:color w:val="auto"/>
              </w:rPr>
              <w:t>7.5% Notes payable to service providers for accounts</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payable converted to notes payable: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Burr, Pilger, Mayer</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90,400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13,100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103,500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Desjardins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156,300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24,100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180,400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McCarthy Tetrault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319,700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46,000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365,700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August 2012 Morrison &amp; Foerster Note A</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918,200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1,111,400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August 2012 Morrison &amp; Foerster Note B</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1,379,400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1,712,500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University Health Network</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549,500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651,300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4,124,800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Note discount</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(474,500)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(474,500)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2,939,000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3,650,300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20" w:type="dxa"/>
            <w:vAlign w:val="bottom"/>
            <w:shd w:val="clear" w:color="auto" w:fill="CCEEFF"/>
          </w:tcPr>
          <w:p>
            <w:pPr>
              <w:ind w:left="440"/>
              <w:spacing w:after="0" w:line="155" w:lineRule="exact"/>
              <w:rPr>
                <w:sz w:val="20"/>
                <w:szCs w:val="20"/>
                <w:color w:val="auto"/>
              </w:rPr>
            </w:pPr>
            <w:r>
              <w:rPr>
                <w:rFonts w:ascii="Times New Roman" w:cs="Times New Roman" w:eastAsia="Times New Roman" w:hAnsi="Times New Roman"/>
                <w:sz w:val="14"/>
                <w:szCs w:val="14"/>
                <w:color w:val="auto"/>
              </w:rPr>
              <w:t>less: current portion (and discount at March 31,</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2015)</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(2,939,000)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(711,300)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(3,650,300)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non-current portion and discount</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5.67% and 10.25% Notes payable to insurance</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premium financing company (current)</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5,800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10% Notes payable to vendors for accounts payable</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converted to notes payable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26,300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240" w:type="dxa"/>
            <w:vAlign w:val="bottom"/>
          </w:tcPr>
          <w:p>
            <w:pPr>
              <w:spacing w:after="0"/>
              <w:rPr>
                <w:sz w:val="15"/>
                <w:szCs w:val="15"/>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33,300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378,300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51,500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429,800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less: current portion</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(7,000)</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(378,300)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(51,500)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(429,800)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non-current portion</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7.0% Note payable (August 2012)</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58,800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240" w:type="dxa"/>
            <w:vAlign w:val="bottom"/>
          </w:tcPr>
          <w:p>
            <w:pPr>
              <w:spacing w:after="0"/>
              <w:rPr>
                <w:sz w:val="14"/>
                <w:szCs w:val="14"/>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69,800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58,800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66,700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less: current portion</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(11,000)</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(23,200)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7.0% Notes payable - non-current portion</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29,300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29,300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35,600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notes payable to unrelated parties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85,100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18,000</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103,100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3,381,900</w:t>
            </w:r>
          </w:p>
        </w:tc>
        <w:tc>
          <w:tcPr>
            <w:tcW w:w="1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770,700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4,152,600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20" w:type="dxa"/>
            <w:vAlign w:val="bottom"/>
            <w:shd w:val="clear" w:color="auto" w:fill="CCEEFF"/>
          </w:tcPr>
          <w:p>
            <w:pPr>
              <w:ind w:left="440"/>
              <w:spacing w:after="0" w:line="155" w:lineRule="exact"/>
              <w:rPr>
                <w:sz w:val="20"/>
                <w:szCs w:val="20"/>
                <w:color w:val="auto"/>
              </w:rPr>
            </w:pPr>
            <w:r>
              <w:rPr>
                <w:rFonts w:ascii="Times New Roman" w:cs="Times New Roman" w:eastAsia="Times New Roman" w:hAnsi="Times New Roman"/>
                <w:sz w:val="14"/>
                <w:szCs w:val="14"/>
                <w:color w:val="auto"/>
              </w:rPr>
              <w:t>less: current portion (and discount at March 31,</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2015)</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(55,800)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(18,000)</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(73,800)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(3,346,300)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(770,700)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(4,117,000)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non-current portion</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29,300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29,300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35,600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restart"/>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Notes payable to related parties: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October 2012 7.5% Note to Cato Holding Co.</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293,600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55,900</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349,500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October 2012 7.5% Note to Cato Research Ltd.</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1,213,800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1,302,600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1,563,300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Note discount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(54,500)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notes payable to related parties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1,248,100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1,508,800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less: current portion</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(1,248,100)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(1,508,800)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non-current portion and discount</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firstLine="718"/>
        <w:spacing w:after="0"/>
        <w:rPr>
          <w:sz w:val="20"/>
          <w:szCs w:val="20"/>
          <w:color w:val="auto"/>
        </w:rPr>
      </w:pPr>
      <w:r>
        <w:rPr>
          <w:rFonts w:ascii="Times New Roman" w:cs="Times New Roman" w:eastAsia="Times New Roman" w:hAnsi="Times New Roman"/>
          <w:sz w:val="17"/>
          <w:szCs w:val="17"/>
          <w:color w:val="auto"/>
        </w:rPr>
        <w:t xml:space="preserve">Between March 31, 2015 and December 31, 2015, we have extinguished the outstanding balances of approximately $17.2 million of indebtedness, including all senior secured promissory notes, all except $85,100 principal of unsecured promissory notes, and a substantial portion of other indebtedness, and certain adjustments thereto, that were either due and payable or would have become due and payable prior to March 31, 2016, by converting all such indebtedness into shares of our Series B Preferred (which is described more completely below under the caption </w:t>
      </w:r>
      <w:r>
        <w:rPr>
          <w:rFonts w:ascii="Times New Roman" w:cs="Times New Roman" w:eastAsia="Times New Roman" w:hAnsi="Times New Roman"/>
          <w:sz w:val="17"/>
          <w:szCs w:val="17"/>
          <w:i w:val="1"/>
          <w:iCs w:val="1"/>
          <w:color w:val="auto"/>
        </w:rPr>
        <w:t>Creation of Series B Preferred Stock</w:t>
      </w:r>
      <w:r>
        <w:rPr>
          <w:rFonts w:ascii="Times New Roman" w:cs="Times New Roman" w:eastAsia="Times New Roman" w:hAnsi="Times New Roman"/>
          <w:sz w:val="17"/>
          <w:szCs w:val="17"/>
          <w:color w:val="auto"/>
        </w:rPr>
        <w:t xml:space="preserve"> in Note 8, </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 Significant changes in and conversions of our convertible promissory notes and other promissory notes since March 31, 2015 are described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10% Convertible Notes Issued in Connection with 2014 Unit Private Placement</w:t>
      </w:r>
    </w:p>
    <w:p>
      <w:pPr>
        <w:spacing w:after="0" w:line="198"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 xml:space="preserve">As described more completely under the caption </w:t>
      </w:r>
      <w:r>
        <w:rPr>
          <w:rFonts w:ascii="Times New Roman" w:cs="Times New Roman" w:eastAsia="Times New Roman" w:hAnsi="Times New Roman"/>
          <w:sz w:val="14"/>
          <w:szCs w:val="14"/>
          <w:i w:val="1"/>
          <w:iCs w:val="1"/>
          <w:color w:val="auto"/>
        </w:rPr>
        <w:t>2014 Unit Private Placement</w:t>
      </w:r>
      <w:r>
        <w:rPr>
          <w:rFonts w:ascii="Times New Roman" w:cs="Times New Roman" w:eastAsia="Times New Roman" w:hAnsi="Times New Roman"/>
          <w:sz w:val="14"/>
          <w:szCs w:val="14"/>
          <w:color w:val="auto"/>
        </w:rPr>
        <w:t xml:space="preserve"> in Note 8, </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xml:space="preserve"> between April 1, 2015 and May 14, 2015, we issued to accredited investors in self-placed private placement transactions 10% convertible notes (the </w:t>
      </w:r>
      <w:r>
        <w:rPr>
          <w:rFonts w:ascii="Times New Roman" w:cs="Times New Roman" w:eastAsia="Times New Roman" w:hAnsi="Times New Roman"/>
          <w:sz w:val="14"/>
          <w:szCs w:val="14"/>
          <w:i w:val="1"/>
          <w:iCs w:val="1"/>
          <w:color w:val="auto"/>
        </w:rPr>
        <w:t>2014 Unit Notes</w:t>
      </w:r>
      <w:r>
        <w:rPr>
          <w:rFonts w:ascii="Times New Roman" w:cs="Times New Roman" w:eastAsia="Times New Roman" w:hAnsi="Times New Roman"/>
          <w:sz w:val="14"/>
          <w:szCs w:val="14"/>
          <w:color w:val="auto"/>
        </w:rPr>
        <w:t>) in the aggregate face amount of $280,000. The 2014 Unit Notes issued in April and May 2015 represented a continuation of the 2014 Unit Private Placement pursuant to which we had issued in self-placed private placement transactions to accredited investors an aggregate of $3,113,500 principal amount of substantially similar notes between late-March 2014 and March 31, 2015. The 2014 Unit Notes matured between April 30, 2015 and May 15, 2015 (</w:t>
      </w:r>
      <w:r>
        <w:rPr>
          <w:rFonts w:ascii="Times New Roman" w:cs="Times New Roman" w:eastAsia="Times New Roman" w:hAnsi="Times New Roman"/>
          <w:sz w:val="14"/>
          <w:szCs w:val="14"/>
          <w:i w:val="1"/>
          <w:iCs w:val="1"/>
          <w:color w:val="auto"/>
        </w:rPr>
        <w:t>Maturity</w:t>
      </w:r>
      <w:r>
        <w:rPr>
          <w:rFonts w:ascii="Times New Roman" w:cs="Times New Roman" w:eastAsia="Times New Roman" w:hAnsi="Times New Roman"/>
          <w:sz w:val="14"/>
          <w:szCs w:val="14"/>
          <w:color w:val="auto"/>
        </w:rPr>
        <w:t xml:space="preserve">) and the outstanding principal of the 2014 Unit Notes and their related accrued interest (the </w:t>
      </w:r>
      <w:r>
        <w:rPr>
          <w:rFonts w:ascii="Times New Roman" w:cs="Times New Roman" w:eastAsia="Times New Roman" w:hAnsi="Times New Roman"/>
          <w:sz w:val="14"/>
          <w:szCs w:val="14"/>
          <w:i w:val="1"/>
          <w:iCs w:val="1"/>
          <w:color w:val="auto"/>
        </w:rPr>
        <w:t>Outstanding Balance</w:t>
      </w:r>
      <w:r>
        <w:rPr>
          <w:rFonts w:ascii="Times New Roman" w:cs="Times New Roman" w:eastAsia="Times New Roman" w:hAnsi="Times New Roman"/>
          <w:sz w:val="14"/>
          <w:szCs w:val="14"/>
          <w:color w:val="auto"/>
        </w:rPr>
        <w:t xml:space="preserve">) was convertible into shares of our common stock at a conversion price of $10.00 per share at or prior to Maturity, at the option of the accredited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Times New Roman" w:cs="Times New Roman" w:eastAsia="Times New Roman" w:hAnsi="Times New Roman"/>
          <w:sz w:val="14"/>
          <w:szCs w:val="14"/>
          <w:i w:val="1"/>
          <w:iCs w:val="1"/>
          <w:color w:val="auto"/>
        </w:rPr>
        <w:t>Qualified Financing</w:t>
      </w:r>
      <w:r>
        <w:rPr>
          <w:rFonts w:ascii="Times New Roman" w:cs="Times New Roman" w:eastAsia="Times New Roman" w:hAnsi="Times New Roman"/>
          <w:sz w:val="14"/>
          <w:szCs w:val="14"/>
          <w:color w:val="auto"/>
        </w:rPr>
        <w:t>), the Outstanding Balance of the 2014 Unit Notes would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w:t>
      </w:r>
    </w:p>
    <w:p>
      <w:pPr>
        <w:spacing w:after="0" w:line="167" w:lineRule="exact"/>
        <w:rPr>
          <w:sz w:val="20"/>
          <w:szCs w:val="20"/>
          <w:color w:val="auto"/>
        </w:rPr>
      </w:pPr>
    </w:p>
    <w:p>
      <w:pPr>
        <w:jc w:val="both"/>
        <w:ind w:firstLine="507"/>
        <w:spacing w:after="0" w:line="255" w:lineRule="auto"/>
        <w:rPr>
          <w:sz w:val="20"/>
          <w:szCs w:val="20"/>
          <w:color w:val="auto"/>
        </w:rPr>
      </w:pPr>
      <w:r>
        <w:rPr>
          <w:rFonts w:ascii="Times New Roman" w:cs="Times New Roman" w:eastAsia="Times New Roman" w:hAnsi="Times New Roman"/>
          <w:sz w:val="14"/>
          <w:szCs w:val="14"/>
          <w:color w:val="auto"/>
        </w:rPr>
        <w:t>We allocated the proceeds from the self-placed private placement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contained an embedded conversion feature having intrinsic value at the issuance date, which value we treated as an additional discount attributable to those 2014 Unit Notes, subject to limitations on the absolute amount of discount attributable to each 2014 Unit Note. We recorded a corresponding credit to additional paid-in capital, an equity account, attributable to the beneficial conversion feature. We amortized the discounts attributable to the 2014 Unit Notes issued in April and May 2015, an aggregate of $277,200, using the effective interest method over the respective term of each 2014 Unit Note. Because the discount on each of these 2014 Unit Notes represented 99% of its initial face value, and because we were required to amortize such discount over the period from issuance to maturity, which was no more than two months for these notes, the calculated effective interest rate is extremely high. Based on the amounts of their respective discounts and the term between issuance and maturity, the effective interest rates attributable to the 2014 Unit Notes issued in April and May 2015 are in excess of 10,000%.</w:t>
      </w:r>
    </w:p>
    <w:p>
      <w:pPr>
        <w:sectPr>
          <w:pgSz w:w="11900" w:h="16838" w:orient="portrait"/>
          <w:cols w:equalWidth="0" w:num="1">
            <w:col w:w="11460"/>
          </w:cols>
          <w:pgMar w:left="220" w:top="120" w:right="219" w:bottom="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64770</wp:posOffset>
            </wp:positionV>
            <wp:extent cx="728218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9019"/>
          </w:cols>
          <w:pgMar w:left="1440" w:top="431" w:right="1440" w:bottom="1440" w:gutter="0" w:footer="0" w:header="0"/>
        </w:sectPr>
      </w:pPr>
    </w:p>
    <w:bookmarkStart w:id="16" w:name="page17"/>
    <w:bookmarkEnd w:id="16"/>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Senior Secured 10% Convertible Promissory Notes issued to Platinum into Series B Preferred</w:t>
      </w:r>
    </w:p>
    <w:p>
      <w:pPr>
        <w:spacing w:after="0" w:line="198"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 xml:space="preserve">As described more completely in Note 8, </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effective on May 12, 2015, we entered in to a broad strategic agreement with Platinum (</w:t>
      </w:r>
      <w:r>
        <w:rPr>
          <w:rFonts w:ascii="Times New Roman" w:cs="Times New Roman" w:eastAsia="Times New Roman" w:hAnsi="Times New Roman"/>
          <w:sz w:val="14"/>
          <w:szCs w:val="14"/>
          <w:i w:val="1"/>
          <w:iCs w:val="1"/>
          <w:color w:val="auto"/>
        </w:rPr>
        <w:t>Platinum Agreement</w:t>
      </w:r>
      <w:r>
        <w:rPr>
          <w:rFonts w:ascii="Times New Roman" w:cs="Times New Roman" w:eastAsia="Times New Roman" w:hAnsi="Times New Roman"/>
          <w:sz w:val="14"/>
          <w:szCs w:val="14"/>
          <w:color w:val="auto"/>
        </w:rPr>
        <w:t>) pursuant to which Platinum, among other things, converted all of the $4,489,300 outstanding balance (principal and accrued interest) of the Senior Secured Notes having maturity dates between October 2015 and July 2016 into 641,335 shares of our Series B Preferred. We determined that the conversion of the Senior Secured Notes into Series B Preferred should be accounted for as an extinguishment of debt. Considering the exchangeability of the Series B Preferred into our common stock, the 10% in-kind dividend applicable to the Series B Preferred prior to such exchange and other factors, we also determined that the fair value of a share of Series B Preferred issued pursuant to the conversions of the Senior Secured Notes was equal to the market value of a share of our common stock on the conversion date. Based on the $10.00 per share fair value of the Series B Preferred at the date the Senior Secured Notes were converted, we issued Series B Preferred having an aggregate fair value of $6,413,300 to Platinum. Accordingly, we recognized a non-cash loss on the extinguishment of debt of $1,924,000 in the quarter ended June 30, 2015, as reflected in the accompanying Condensed Consolidated Statement of Operations and Comprehensive Loss.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2014 Unit Notes into Series B Preferred</w:t>
      </w:r>
    </w:p>
    <w:p>
      <w:pPr>
        <w:spacing w:after="0" w:line="200"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Pursuant to the Platinum Agreement, Platinum also converted the $1,345,700 outstanding balance of the 2014 Unit Notes originally issued by us to Platinum that had matured on March 31, 2015 (</w:t>
      </w:r>
      <w:r>
        <w:rPr>
          <w:rFonts w:ascii="Times New Roman" w:cs="Times New Roman" w:eastAsia="Times New Roman" w:hAnsi="Times New Roman"/>
          <w:sz w:val="14"/>
          <w:szCs w:val="14"/>
          <w:i w:val="1"/>
          <w:iCs w:val="1"/>
          <w:color w:val="auto"/>
        </w:rPr>
        <w:t>Platinum Unit Notes</w:t>
      </w:r>
      <w:r>
        <w:rPr>
          <w:rFonts w:ascii="Times New Roman" w:cs="Times New Roman" w:eastAsia="Times New Roman" w:hAnsi="Times New Roman"/>
          <w:sz w:val="14"/>
          <w:szCs w:val="14"/>
          <w:color w:val="auto"/>
        </w:rPr>
        <w:t>) into shares of our Series B Preferred. Platinum additionally agreed to acquire and convert into our Series B Preferred other 2014 Unit Notes that had matured on March 31, 2015 originally issued to other investors having an aggregate outstanding balance of $1,487,900 (</w:t>
      </w:r>
      <w:r>
        <w:rPr>
          <w:rFonts w:ascii="Times New Roman" w:cs="Times New Roman" w:eastAsia="Times New Roman" w:hAnsi="Times New Roman"/>
          <w:sz w:val="14"/>
          <w:szCs w:val="14"/>
          <w:i w:val="1"/>
          <w:iCs w:val="1"/>
          <w:color w:val="auto"/>
        </w:rPr>
        <w:t>Acquired Unit Notes</w:t>
      </w:r>
      <w:r>
        <w:rPr>
          <w:rFonts w:ascii="Times New Roman" w:cs="Times New Roman" w:eastAsia="Times New Roman" w:hAnsi="Times New Roman"/>
          <w:sz w:val="14"/>
          <w:szCs w:val="14"/>
          <w:color w:val="auto"/>
        </w:rPr>
        <w:t>). Further, effective May 20, 2015, the holders of other 2014 Unit Notes that had matured on March 31, 2015 or shortly thereafter having an aggregate outstanding balance of $1,831,200 (</w:t>
      </w:r>
      <w:r>
        <w:rPr>
          <w:rFonts w:ascii="Times New Roman" w:cs="Times New Roman" w:eastAsia="Times New Roman" w:hAnsi="Times New Roman"/>
          <w:sz w:val="14"/>
          <w:szCs w:val="14"/>
          <w:i w:val="1"/>
          <w:iCs w:val="1"/>
          <w:color w:val="auto"/>
        </w:rPr>
        <w:t>Investor Unit Notes</w:t>
      </w:r>
      <w:r>
        <w:rPr>
          <w:rFonts w:ascii="Times New Roman" w:cs="Times New Roman" w:eastAsia="Times New Roman" w:hAnsi="Times New Roman"/>
          <w:sz w:val="14"/>
          <w:szCs w:val="14"/>
          <w:color w:val="auto"/>
        </w:rPr>
        <w:t xml:space="preserve">) individually converted such notes into our Series B Preferred. Consequently, the aggregate outstanding balance totaling $4,664,800 of all 2014 Unit Notes, including those issued in April and May 2015, was converted into shares of our Series B Preferred. We determined that the Series B Preferred Unit Offering, as described in Note 8, </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would be treated as a Qualified Financing applicable to the 2014 Unit Notes, entitling the 2014 Unit Note holders at the time of conversion to the 25% Qualified Financing conversion premium under the terms of the 2014 Unit Notes. Accordingly, we issued in a self-placed private placement transaction an aggregate of 833,020 shares of our Series B Preferred and warrants to purchase an aggregate of 833,020 shares of our common stock upon the conversion of the outstanding balance of all 2014 Unit Notes, including an aggregate conversion premium of $1,166,200.</w:t>
      </w:r>
    </w:p>
    <w:p>
      <w:pPr>
        <w:spacing w:after="0" w:line="165"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We determined that the conversion of the 2014 Unit Notes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2014 Unit Notes was equal to the market value of a share of our common stock on the conversion dates. Based on the $10.00 per share fair value of the Series B Preferred at the date the Platinum Unit Notes and Acquired Unit Notes were converted and the $8.00 per share fair value of the Series B Preferred at the date the Investor Unit Notes were converted, we issued in a self-placed private placement transaction Series B Preferred having an aggregate fair value of $7,676,200 upon the conversions. We valued the warrants issued in connection with the 2014 Unit Note conversions at an aggregate of $5,168,400 using the Black Scholes option pricing model and the following assumptions: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Platinum Unit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Notes and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0" w:type="dxa"/>
            <w:vAlign w:val="bottom"/>
          </w:tcPr>
          <w:p>
            <w:pPr>
              <w:spacing w:after="0"/>
              <w:rPr>
                <w:sz w:val="1"/>
                <w:szCs w:val="1"/>
                <w:color w:val="auto"/>
              </w:rPr>
            </w:pPr>
          </w:p>
        </w:tc>
      </w:tr>
      <w:tr>
        <w:trPr>
          <w:trHeight w:val="186"/>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Unit Notes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Unit Notes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price per share at conversion date</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 per share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7.00</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506,004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327,016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6.89</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5.15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Nearly all of the 2014 Unit Notes contained a beneficial conversion feature at the time they were originally issued. We have accounted for the repurchase of the beneficial conversion feature at the time of the extinguishment and conversion, an aggregate of $2,237,100, as a reduction to the loss on extinguishment of debt in the accompanying Condensed Consolidated Statements of Operations and Comprehensive Loss, with a corresponding reduction to additional paid-in capital. In aggregate, we recognized a non-cash loss on extinguishment of debt attributable to the conversion of the 2014 Unit Notes in the amount of $5,942,700 in the quarter ended June 30, 2015, as reflected in the accompanying Condensed Consolidated Statement of Operations and Comprehensive Loss.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17" w:name="page18"/>
    <w:bookmarkEnd w:id="17"/>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Promissory Note issued to University Health Network into Series B Preferred</w:t>
      </w:r>
    </w:p>
    <w:p>
      <w:pPr>
        <w:spacing w:after="0" w:line="198"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On May 29, 2015, University Health Network (</w:t>
      </w:r>
      <w:r>
        <w:rPr>
          <w:rFonts w:ascii="Times New Roman" w:cs="Times New Roman" w:eastAsia="Times New Roman" w:hAnsi="Times New Roman"/>
          <w:sz w:val="14"/>
          <w:szCs w:val="14"/>
          <w:i w:val="1"/>
          <w:iCs w:val="1"/>
          <w:color w:val="auto"/>
        </w:rPr>
        <w:t>UHN</w:t>
      </w:r>
      <w:r>
        <w:rPr>
          <w:rFonts w:ascii="Times New Roman" w:cs="Times New Roman" w:eastAsia="Times New Roman" w:hAnsi="Times New Roman"/>
          <w:sz w:val="14"/>
          <w:szCs w:val="14"/>
          <w:color w:val="auto"/>
        </w:rPr>
        <w:t>) converted the entire $656,400 outstanding balance (principal and accrued interest) of our promissory note maturing on March 31, 2016 into 93,775 shares of our Series B Preferred. We determined that the conversion of the UHN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UHN note was equal to the market value of a share of our common stock on the conversion date. Based on the $10.00 per share fair value of the Series B Preferred at the date the UHN note was converted, we issued Series B Preferred having an aggregate fair value of $937,800 to UHN. After eliminating the remaining $27,500 of unamortized discount on the UHN note, we recognized a non-cash loss on the extinguishment of debt attributable to the conversion of the UHN Note of $308,900 in the quarter ended June 30, 2015, as reflected in the accompanying Condensed Consolidated Statement of Operations and Comprehensive Loss.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Promissory Notes and Accounts Payable issued to Cato Holding Company (CHC) and Cato Research Ltd. (CRL) into Series B Preferred</w:t>
      </w:r>
    </w:p>
    <w:p>
      <w:pPr>
        <w:spacing w:after="0" w:line="200" w:lineRule="exact"/>
        <w:rPr>
          <w:sz w:val="20"/>
          <w:szCs w:val="20"/>
          <w:color w:val="auto"/>
        </w:rPr>
      </w:pPr>
    </w:p>
    <w:p>
      <w:pPr>
        <w:jc w:val="both"/>
        <w:ind w:firstLine="507"/>
        <w:spacing w:after="0" w:line="255" w:lineRule="auto"/>
        <w:rPr>
          <w:sz w:val="20"/>
          <w:szCs w:val="20"/>
          <w:color w:val="auto"/>
        </w:rPr>
      </w:pPr>
      <w:r>
        <w:rPr>
          <w:rFonts w:ascii="Times New Roman" w:cs="Times New Roman" w:eastAsia="Times New Roman" w:hAnsi="Times New Roman"/>
          <w:sz w:val="14"/>
          <w:szCs w:val="14"/>
          <w:color w:val="auto"/>
        </w:rPr>
        <w:t xml:space="preserve">On June 10, 2015, CHC, the parent company of CRL and a related party, converted the entire aggregate outstanding balance (principal and accrued interest) of $1,583,000 of our outstanding promissory notes issued to CHC and CRL and maturing on March 31, 2016 (together, the </w:t>
      </w:r>
      <w:r>
        <w:rPr>
          <w:rFonts w:ascii="Times New Roman" w:cs="Times New Roman" w:eastAsia="Times New Roman" w:hAnsi="Times New Roman"/>
          <w:sz w:val="14"/>
          <w:szCs w:val="14"/>
          <w:i w:val="1"/>
          <w:iCs w:val="1"/>
          <w:color w:val="auto"/>
        </w:rPr>
        <w:t>Cato Notes</w:t>
      </w:r>
      <w:r>
        <w:rPr>
          <w:rFonts w:ascii="Times New Roman" w:cs="Times New Roman" w:eastAsia="Times New Roman" w:hAnsi="Times New Roman"/>
          <w:sz w:val="14"/>
          <w:szCs w:val="14"/>
          <w:color w:val="auto"/>
        </w:rPr>
        <w:t>), plus an additional $171,300 of past due accounts payable to CRL and a strategic adjustment thereto (</w:t>
      </w:r>
      <w:r>
        <w:rPr>
          <w:rFonts w:ascii="Times New Roman" w:cs="Times New Roman" w:eastAsia="Times New Roman" w:hAnsi="Times New Roman"/>
          <w:sz w:val="14"/>
          <w:szCs w:val="14"/>
          <w:i w:val="1"/>
          <w:iCs w:val="1"/>
          <w:color w:val="auto"/>
        </w:rPr>
        <w:t>CRL Payables</w:t>
      </w:r>
      <w:r>
        <w:rPr>
          <w:rFonts w:ascii="Times New Roman" w:cs="Times New Roman" w:eastAsia="Times New Roman" w:hAnsi="Times New Roman"/>
          <w:sz w:val="14"/>
          <w:szCs w:val="14"/>
          <w:color w:val="auto"/>
        </w:rPr>
        <w:t>) into a total of 328,571 shares of our Series B Preferred. We determined that the conversion of the Cato Notes and the CRL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Cato Notes and CRL Payables was equal to the market value of a share of our common stock on the conversion date. Based on the $10.00 per share fair value of the Series B Preferred at the date the Cato Notes and CRL Payables were converted, we issued Series B Preferred having an aggregate fair value of $3,285,700 to CHC. As additional consideration for the conversion of the Cato Notes and the CRL Payables, we amended certain outstanding warrants held by CHC and CRL to purchase 12,500 and 60,691 restricted shares of our common stock, respectively, to reduce the exercise price thereof from $30.00 and $20.00 per share, respectively, to $7.00 per share. We calculated the fair value of the warrants immediately before and after the modifications and determined that the fair value of the warrants increased by $222,700. The warrants subject to the exercise price modifications were valued using the Black-Scholes Option Pricing Model and the following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Pre-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Post-</w:t>
            </w:r>
          </w:p>
        </w:tc>
        <w:tc>
          <w:tcPr>
            <w:tcW w:w="0" w:type="dxa"/>
            <w:vAlign w:val="bottom"/>
          </w:tcPr>
          <w:p>
            <w:pPr>
              <w:spacing w:after="0"/>
              <w:rPr>
                <w:sz w:val="1"/>
                <w:szCs w:val="1"/>
                <w:color w:val="auto"/>
              </w:rPr>
            </w:pPr>
          </w:p>
        </w:tc>
      </w:tr>
      <w:tr>
        <w:trPr>
          <w:trHeight w:val="186"/>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modification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modification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price per share at modification date</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 per share</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20.00 and $30.00</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0.87%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0.87%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 in years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73.9%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4"/>
                <w:szCs w:val="14"/>
                <w:color w:val="auto"/>
              </w:rPr>
              <w:t>Dividend rate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Fair Value per share</w:t>
            </w:r>
          </w:p>
        </w:tc>
        <w:tc>
          <w:tcPr>
            <w:tcW w:w="10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$ 2.44 and $1.57</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5.33</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After eliminating the remaining unamortized discount of $46,000 attributable to the Cato Notes, we recognized a non-cash loss on the extinguishment of debt attributable to the conversion of the Cato Notes and CRL Payables of $1,800,100 in the quarter ended June 30, 2015, as reflected in the accompanying Condensed Consolidated Statement of Operations and Comprehensive Loss.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18" w:name="page19"/>
    <w:bookmarkEnd w:id="18"/>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Promissory Note B issued to Morrison &amp; Foerster into Series B Preferred</w:t>
      </w:r>
    </w:p>
    <w:p>
      <w:pPr>
        <w:spacing w:after="0" w:line="198"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On June 12, 2015, Morrison &amp; Foerster (</w:t>
      </w:r>
      <w:r>
        <w:rPr>
          <w:rFonts w:ascii="Times New Roman" w:cs="Times New Roman" w:eastAsia="Times New Roman" w:hAnsi="Times New Roman"/>
          <w:sz w:val="14"/>
          <w:szCs w:val="14"/>
          <w:i w:val="1"/>
          <w:iCs w:val="1"/>
          <w:color w:val="auto"/>
        </w:rPr>
        <w:t>M&amp;F</w:t>
      </w:r>
      <w:r>
        <w:rPr>
          <w:rFonts w:ascii="Times New Roman" w:cs="Times New Roman" w:eastAsia="Times New Roman" w:hAnsi="Times New Roman"/>
          <w:sz w:val="14"/>
          <w:szCs w:val="14"/>
          <w:color w:val="auto"/>
        </w:rPr>
        <w:t>) converted the entire aggregate outstanding balance (principal and accrued interest) of $1,735,500 of our August 2012 promissory Note B maturing on March 31, 2016 (</w:t>
      </w:r>
      <w:r>
        <w:rPr>
          <w:rFonts w:ascii="Times New Roman" w:cs="Times New Roman" w:eastAsia="Times New Roman" w:hAnsi="Times New Roman"/>
          <w:sz w:val="14"/>
          <w:szCs w:val="14"/>
          <w:i w:val="1"/>
          <w:iCs w:val="1"/>
          <w:color w:val="auto"/>
        </w:rPr>
        <w:t>M&amp;F Note B</w:t>
      </w:r>
      <w:r>
        <w:rPr>
          <w:rFonts w:ascii="Times New Roman" w:cs="Times New Roman" w:eastAsia="Times New Roman" w:hAnsi="Times New Roman"/>
          <w:sz w:val="14"/>
          <w:szCs w:val="14"/>
          <w:color w:val="auto"/>
        </w:rPr>
        <w:t>), plus an agreed strategic adjustment thereto into a total of 257,143 shares of our Series B Preferred. We determined that the conversion of M&amp;F Note B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M&amp;F Note B was equal to the market value of a share of our common stock on the conversion date. Based on the $10.00 per share fair value of the Series B Preferred at the date M&amp;F Note B was converted, we issued Series B Preferred having an aggregate fair value of $2,571,400 to M&amp;F. As additional consideration for the conversion of M&amp;F Note B, we amended two outstanding warrants held by M&amp;F to purchase an aggregate of 110,448 restricted shares of our common stock to reduce the exercise price of one of the warrants from $40.00 per share to $20.00 per share and to extend the term of both warrants from September 15, 2017 to September 15, 2019. We calculated the fair value of the warrants immediately before and after the modifications and determined that the fair value of the warrants increased by $244,200. The warrants subject to the exercise price and term modifications were valued using the Black-Scholes Option Pricing Model and the following assumptions: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Post-</w:t>
            </w:r>
          </w:p>
        </w:tc>
        <w:tc>
          <w:tcPr>
            <w:tcW w:w="0" w:type="dxa"/>
            <w:vAlign w:val="bottom"/>
          </w:tcPr>
          <w:p>
            <w:pPr>
              <w:spacing w:after="0"/>
              <w:rPr>
                <w:sz w:val="1"/>
                <w:szCs w:val="1"/>
                <w:color w:val="auto"/>
              </w:rPr>
            </w:pPr>
          </w:p>
        </w:tc>
      </w:tr>
      <w:tr>
        <w:trPr>
          <w:trHeight w:val="186"/>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modification</w:t>
            </w:r>
          </w:p>
        </w:tc>
        <w:tc>
          <w:tcPr>
            <w:tcW w:w="14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modification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price per share at modification date</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 per share</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20.00 and $40.00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0.86%</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2.27</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73.8%</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Fair Value per share</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$ 2.39 and $1.04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4.35</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After eliminating the remaining unamortized discount of $225,500 attributable to M&amp;F Note B, we recognized a non-cash loss on the extinguishment of debt attributable to the conversion of M&amp;F Note B of $1,305,600 in the quarter ended June 30, 2015, as reflected in the accompanying Condensed Consolidated Statement of Operations and Comprehensive Loss.</w:t>
      </w:r>
    </w:p>
    <w:p>
      <w:pPr>
        <w:spacing w:after="0" w:line="146"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In addition to its agreement to convert M&amp;F Note B into Series B Preferred, M&amp;F also agreed to withhold, through the later of (i) December 31, 2016 or (ii) our consummation of a registered public offering or a strategic transaction involving AV-101 in which, in either case, we received gross proceeds of at least $20.0 million, any and all action to collect amounts due under our August 2012 promissory Note A maturing on March 31, 2016 (</w:t>
      </w:r>
      <w:r>
        <w:rPr>
          <w:rFonts w:ascii="Times New Roman" w:cs="Times New Roman" w:eastAsia="Times New Roman" w:hAnsi="Times New Roman"/>
          <w:sz w:val="14"/>
          <w:szCs w:val="14"/>
          <w:i w:val="1"/>
          <w:iCs w:val="1"/>
          <w:color w:val="auto"/>
        </w:rPr>
        <w:t>M&amp;F Note A</w:t>
      </w:r>
      <w:r>
        <w:rPr>
          <w:rFonts w:ascii="Times New Roman" w:cs="Times New Roman" w:eastAsia="Times New Roman" w:hAnsi="Times New Roman"/>
          <w:sz w:val="14"/>
          <w:szCs w:val="14"/>
          <w:color w:val="auto"/>
        </w:rPr>
        <w:t>) and all past due amounts owed by us to M&amp;F in connection with professional services previously rendered by M&amp;F (</w:t>
      </w:r>
      <w:r>
        <w:rPr>
          <w:rFonts w:ascii="Times New Roman" w:cs="Times New Roman" w:eastAsia="Times New Roman" w:hAnsi="Times New Roman"/>
          <w:sz w:val="14"/>
          <w:szCs w:val="14"/>
          <w:i w:val="1"/>
          <w:iCs w:val="1"/>
          <w:color w:val="auto"/>
        </w:rPr>
        <w:t>M&amp;F Payables</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Morrison &amp; Foerster Note A and Morrison &amp; Foerster Payables into Series B Preferred</w:t>
      </w:r>
    </w:p>
    <w:p>
      <w:pPr>
        <w:spacing w:after="0" w:line="200"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 xml:space="preserve">In a transaction to which we were not a party, M&amp;F sold M&amp;F Note A, which, at the time of the sale, had an outstanding balance (principal and accrued interest) of $1,149,000, as well as the M&amp;F Payables in the amount of $165,100, to two third-party accredited investors (the </w:t>
      </w:r>
      <w:r>
        <w:rPr>
          <w:rFonts w:ascii="Times New Roman" w:cs="Times New Roman" w:eastAsia="Times New Roman" w:hAnsi="Times New Roman"/>
          <w:sz w:val="14"/>
          <w:szCs w:val="14"/>
          <w:i w:val="1"/>
          <w:iCs w:val="1"/>
          <w:color w:val="auto"/>
        </w:rPr>
        <w:t>M&amp;F Note A Investors</w:t>
      </w:r>
      <w:r>
        <w:rPr>
          <w:rFonts w:ascii="Times New Roman" w:cs="Times New Roman" w:eastAsia="Times New Roman" w:hAnsi="Times New Roman"/>
          <w:sz w:val="14"/>
          <w:szCs w:val="14"/>
          <w:color w:val="auto"/>
        </w:rPr>
        <w:t>). On August 10, 2015, the M&amp;F Note A Investors converted M&amp;F Note A and the M&amp;F Payables into 192,628 shares of our Series B Preferred. We determined that the conversion of M&amp;F Note A and the M&amp;F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M&amp;F Note A and M&amp;F Payables was equal to the market value of a share of our common stock on the conversion date. Based on the $12.25 per share fair value of the Series B Preferred at the date M&amp;F Note A and the M&amp;F Payables were converted, we issued Series B Preferred having an aggregate fair value of $2,359,700 to the M&amp;F Note A Investors. After eliminating the remaining unamortized discount of $122,400 attributable to M&amp;F Note A, we recognized a non-cash loss on extinguishment of debt attributable to the conversion of M&amp;F Note A and the M&amp;F Payables of $1,168,000 in the quarter ended September 30, 2015, as reflected in the accompanying Condensed Consolidated Statement of Operations and Comprehensive Loss.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Promissory Note issued to McCarthy Tetrault into Series B Preferred</w:t>
      </w:r>
    </w:p>
    <w:p>
      <w:pPr>
        <w:spacing w:after="0" w:line="198"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On June 18, 2015, McCarthy Tetrault (</w:t>
      </w:r>
      <w:r>
        <w:rPr>
          <w:rFonts w:ascii="Times New Roman" w:cs="Times New Roman" w:eastAsia="Times New Roman" w:hAnsi="Times New Roman"/>
          <w:sz w:val="14"/>
          <w:szCs w:val="14"/>
          <w:i w:val="1"/>
          <w:iCs w:val="1"/>
          <w:color w:val="auto"/>
        </w:rPr>
        <w:t>McCarthy</w:t>
      </w:r>
      <w:r>
        <w:rPr>
          <w:rFonts w:ascii="Times New Roman" w:cs="Times New Roman" w:eastAsia="Times New Roman" w:hAnsi="Times New Roman"/>
          <w:sz w:val="14"/>
          <w:szCs w:val="14"/>
          <w:color w:val="auto"/>
        </w:rPr>
        <w:t xml:space="preserve">) converted the entire $379,600 outstanding balance (principal and accrued interest) of our past due promissory note issued in May 2011, plus an additional $2,100 of past due accounts payable (together, the </w:t>
      </w:r>
      <w:r>
        <w:rPr>
          <w:rFonts w:ascii="Times New Roman" w:cs="Times New Roman" w:eastAsia="Times New Roman" w:hAnsi="Times New Roman"/>
          <w:sz w:val="14"/>
          <w:szCs w:val="14"/>
          <w:i w:val="1"/>
          <w:iCs w:val="1"/>
          <w:color w:val="auto"/>
        </w:rPr>
        <w:t>McCarthy Note</w:t>
      </w:r>
      <w:r>
        <w:rPr>
          <w:rFonts w:ascii="Times New Roman" w:cs="Times New Roman" w:eastAsia="Times New Roman" w:hAnsi="Times New Roman"/>
          <w:sz w:val="14"/>
          <w:szCs w:val="14"/>
          <w:color w:val="auto"/>
        </w:rPr>
        <w:t>), into 59,230 shares of our Series B Preferred. We determined that the conversion of the McCarthy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McCarthy Note was equal to the market value of a share of our common stock on the McCarthy Note conversion date. Based on the $14.00 per share fair value of the Series B Preferred at the date the McCarthy Note was converted, we issued Series B Preferred having an aggregate fair value of $829,200 to McCarthy. Accordingly, we recognized a non-cash loss on extinguishment of debt attributable to the conversion of the McCarthy Note of $447,500 in the quarter ended June 30, 2015 in the accompanying Condensed Consolidated Statement of Operations and Comprehensive Loss.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19" w:name="page20"/>
    <w:bookmarkEnd w:id="19"/>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Promissory Note issued to Burr Pilger &amp; Mayer into Series B Preferred</w:t>
      </w:r>
    </w:p>
    <w:p>
      <w:pPr>
        <w:spacing w:after="0" w:line="198"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On June 24, 2015, Burr Pilger &amp; Mayer (</w:t>
      </w:r>
      <w:r>
        <w:rPr>
          <w:rFonts w:ascii="Times New Roman" w:cs="Times New Roman" w:eastAsia="Times New Roman" w:hAnsi="Times New Roman"/>
          <w:sz w:val="14"/>
          <w:szCs w:val="14"/>
          <w:i w:val="1"/>
          <w:iCs w:val="1"/>
          <w:color w:val="auto"/>
        </w:rPr>
        <w:t>Burr</w:t>
      </w:r>
      <w:r>
        <w:rPr>
          <w:rFonts w:ascii="Times New Roman" w:cs="Times New Roman" w:eastAsia="Times New Roman" w:hAnsi="Times New Roman"/>
          <w:sz w:val="14"/>
          <w:szCs w:val="14"/>
          <w:color w:val="auto"/>
        </w:rPr>
        <w:t xml:space="preserve">) converted the entire $105,200 outstanding balance (principal and accrued interest) of our past due promissory note issued in May 2011, plus an additional $17,900 of past due accounts payable (together, the </w:t>
      </w:r>
      <w:r>
        <w:rPr>
          <w:rFonts w:ascii="Times New Roman" w:cs="Times New Roman" w:eastAsia="Times New Roman" w:hAnsi="Times New Roman"/>
          <w:sz w:val="14"/>
          <w:szCs w:val="14"/>
          <w:i w:val="1"/>
          <w:iCs w:val="1"/>
          <w:color w:val="auto"/>
        </w:rPr>
        <w:t>Burr Note</w:t>
      </w:r>
      <w:r>
        <w:rPr>
          <w:rFonts w:ascii="Times New Roman" w:cs="Times New Roman" w:eastAsia="Times New Roman" w:hAnsi="Times New Roman"/>
          <w:sz w:val="14"/>
          <w:szCs w:val="14"/>
          <w:color w:val="auto"/>
        </w:rPr>
        <w:t>), into 21,429 shares of our Series B Preferred. We determined that the conversion of the Burr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Burr Note was equal to the market value of a share of our common stock on the note conversion date. Based on the $16.50 per share fair value of the Series B Preferred at the date the Burr Note was converted, we issued Series B Preferred having an aggregate fair value of $353,600 to Burr. Accordiungly, we recognized a non-cash loss on the extinguishment of debt attributable to the conversion of the Burr Note of $230,500 in the quarter ended June 30, 2015, as reflected in the accompanying Condensed Consolidated Statement of Operations and Comprehensive Loss.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Promissory Note and Accounts Payable Issued to Icahn School of Medicine at Mount Sinai into Series B Preferred</w:t>
      </w:r>
    </w:p>
    <w:p>
      <w:pPr>
        <w:spacing w:after="0" w:line="198"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On June 26, 2015, Icahn School of Medicine at Mount Sinai (</w:t>
      </w:r>
      <w:r>
        <w:rPr>
          <w:rFonts w:ascii="Times New Roman" w:cs="Times New Roman" w:eastAsia="Times New Roman" w:hAnsi="Times New Roman"/>
          <w:sz w:val="14"/>
          <w:szCs w:val="14"/>
          <w:i w:val="1"/>
          <w:iCs w:val="1"/>
          <w:color w:val="auto"/>
        </w:rPr>
        <w:t>ISMMS</w:t>
      </w:r>
      <w:r>
        <w:rPr>
          <w:rFonts w:ascii="Times New Roman" w:cs="Times New Roman" w:eastAsia="Times New Roman" w:hAnsi="Times New Roman"/>
          <w:sz w:val="14"/>
          <w:szCs w:val="14"/>
          <w:color w:val="auto"/>
        </w:rPr>
        <w:t>) converted the entire $270,400 outstanding balance (principal and accrued interest) of our past due April 2014 promissory note into a total of 40,000 shares of our Series B Preferred. We determined that the conversion of the ISMMS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ISMMS note was equal to the market value of a share of our common stock on the conversion date. Based on the $16.00 per share fair value of the Series B Preferred at the date the note was converted, we issued Series B Preferred having an aggregate fair value of $640,000 to ISMMS. As additional consideration for the conversion of the ISMMS note, we amended an outstanding warrant held by ISMMS to purchase 15,000 restricted shares of our common stock to reduce the exercise price from $10.00 per share to $7.00 per share. We calculated the fair value of the warrant immediately before and after the modification and determined that the fair value of the warrant increased by $16,600. The warrant subject to the exercise price modification was valued using the Black-Scholes Option Pricing Model and the following assumptions: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Pre-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Post-</w:t>
            </w:r>
          </w:p>
        </w:tc>
        <w:tc>
          <w:tcPr>
            <w:tcW w:w="0" w:type="dxa"/>
            <w:vAlign w:val="bottom"/>
          </w:tcPr>
          <w:p>
            <w:pPr>
              <w:spacing w:after="0"/>
              <w:rPr>
                <w:sz w:val="1"/>
                <w:szCs w:val="1"/>
                <w:color w:val="auto"/>
              </w:rPr>
            </w:pPr>
          </w:p>
        </w:tc>
      </w:tr>
      <w:tr>
        <w:trPr>
          <w:trHeight w:val="186"/>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modification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modification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price per share at modification date</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16.00</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 per share</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10.00</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 in 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Dividend rate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Fair Value per share</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10.48</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11.60</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We recognized a non-cash loss on extinguishment of debt attributable to the conversion of ISMMS note of $386,200 in the quarter ended June 30, 2015 in the accompanying Condensed Consolidated Statement of Operations and Comprehensive Loss.</w:t>
      </w:r>
    </w:p>
    <w:p>
      <w:pPr>
        <w:spacing w:after="0" w:line="144" w:lineRule="exact"/>
        <w:rPr>
          <w:sz w:val="20"/>
          <w:szCs w:val="20"/>
          <w:color w:val="auto"/>
        </w:rPr>
      </w:pPr>
    </w:p>
    <w:p>
      <w:pPr>
        <w:jc w:val="both"/>
        <w:ind w:firstLine="507"/>
        <w:spacing w:after="0" w:line="261" w:lineRule="auto"/>
        <w:rPr>
          <w:sz w:val="20"/>
          <w:szCs w:val="20"/>
          <w:color w:val="auto"/>
        </w:rPr>
      </w:pPr>
      <w:r>
        <w:rPr>
          <w:rFonts w:ascii="Times New Roman" w:cs="Times New Roman" w:eastAsia="Times New Roman" w:hAnsi="Times New Roman"/>
          <w:sz w:val="14"/>
          <w:szCs w:val="14"/>
          <w:color w:val="auto"/>
        </w:rPr>
        <w:t>On July 13, 2015, ISMMS also converted accounts payable in the amount of $19,100 (</w:t>
      </w:r>
      <w:r>
        <w:rPr>
          <w:rFonts w:ascii="Times New Roman" w:cs="Times New Roman" w:eastAsia="Times New Roman" w:hAnsi="Times New Roman"/>
          <w:sz w:val="14"/>
          <w:szCs w:val="14"/>
          <w:i w:val="1"/>
          <w:iCs w:val="1"/>
          <w:color w:val="auto"/>
        </w:rPr>
        <w:t>ISMMS Payables</w:t>
      </w:r>
      <w:r>
        <w:rPr>
          <w:rFonts w:ascii="Times New Roman" w:cs="Times New Roman" w:eastAsia="Times New Roman" w:hAnsi="Times New Roman"/>
          <w:sz w:val="14"/>
          <w:szCs w:val="14"/>
          <w:color w:val="auto"/>
        </w:rPr>
        <w:t>) into an additional 3,000 shares of our Series B Preferred. We determined that the conversion of the ISMMS Payables into Series B Preferred should also be accounted for as an extinguishment of debt. Based on the $12.00 per share fair value of the Series B Preferred at the date the ISMMS Payables were converted, we issued Series B Preferred having an aggregate fair value of $36,000 to ISMMS. Accordingly, we recognized a non-cash loss on the extinguishment of debt attributable to the conversion of the ISMMS Payables of $16,900 in the quarter ended September 30, 2015 in the accompanying Condensed Consolidated Statement of Operations and Comprehensive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Promissory Note issued to National Jewish Health into Series B Preferred</w:t>
      </w:r>
    </w:p>
    <w:p>
      <w:pPr>
        <w:spacing w:after="0" w:line="198" w:lineRule="exact"/>
        <w:rPr>
          <w:sz w:val="20"/>
          <w:szCs w:val="20"/>
          <w:color w:val="auto"/>
        </w:rPr>
      </w:pPr>
    </w:p>
    <w:p>
      <w:pPr>
        <w:jc w:val="both"/>
        <w:ind w:firstLine="507"/>
        <w:spacing w:after="0" w:line="259" w:lineRule="auto"/>
        <w:rPr>
          <w:sz w:val="20"/>
          <w:szCs w:val="20"/>
          <w:color w:val="auto"/>
        </w:rPr>
      </w:pPr>
      <w:r>
        <w:rPr>
          <w:rFonts w:ascii="Times New Roman" w:cs="Times New Roman" w:eastAsia="Times New Roman" w:hAnsi="Times New Roman"/>
          <w:sz w:val="14"/>
          <w:szCs w:val="14"/>
          <w:color w:val="auto"/>
        </w:rPr>
        <w:t>On June 29, 2015, National Jewish Health (</w:t>
      </w:r>
      <w:r>
        <w:rPr>
          <w:rFonts w:ascii="Times New Roman" w:cs="Times New Roman" w:eastAsia="Times New Roman" w:hAnsi="Times New Roman"/>
          <w:sz w:val="14"/>
          <w:szCs w:val="14"/>
          <w:i w:val="1"/>
          <w:iCs w:val="1"/>
          <w:color w:val="auto"/>
        </w:rPr>
        <w:t>NJH</w:t>
      </w:r>
      <w:r>
        <w:rPr>
          <w:rFonts w:ascii="Times New Roman" w:cs="Times New Roman" w:eastAsia="Times New Roman" w:hAnsi="Times New Roman"/>
          <w:sz w:val="14"/>
          <w:szCs w:val="14"/>
          <w:color w:val="auto"/>
        </w:rPr>
        <w:t>) converted the entire $115,000 outstanding balance (principal and accrued interest) of our past due promissory note into 17,857 shares of our Series B Preferred. We determined that the conversion of the NJH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NJH note was equal to the market value of a share of our common stock on the conversion date. Based on the $15.00 per share fair value of the Series B Preferred at the date the NJH note was converted, we issued Series B Preferred having an aggregate fair value of $267,900 to NJH. Accordingly, we recognized a non-cash loss on the extinguishment of debt attributable to the conversion of the NJH note of $152,900 in the quarter ended June 30, 2015, as reflected in the accompanying Condensed Consolidated Statement of Operations and Comprehensive Loss.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20" w:name="page21"/>
    <w:bookmarkEnd w:id="20"/>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Promissory Note issued to Desjardins Securities into Series B Preferred</w:t>
      </w:r>
    </w:p>
    <w:p>
      <w:pPr>
        <w:spacing w:after="0" w:line="198"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 xml:space="preserve">On July 2, 2015, Desjardins Securities </w:t>
      </w:r>
      <w:r>
        <w:rPr>
          <w:rFonts w:ascii="Times New Roman" w:cs="Times New Roman" w:eastAsia="Times New Roman" w:hAnsi="Times New Roman"/>
          <w:sz w:val="14"/>
          <w:szCs w:val="14"/>
          <w:i w:val="1"/>
          <w:iCs w:val="1"/>
          <w:color w:val="auto"/>
        </w:rPr>
        <w:t>(Desjardins</w:t>
      </w:r>
      <w:r>
        <w:rPr>
          <w:rFonts w:ascii="Times New Roman" w:cs="Times New Roman" w:eastAsia="Times New Roman" w:hAnsi="Times New Roman"/>
          <w:sz w:val="14"/>
          <w:szCs w:val="14"/>
          <w:color w:val="auto"/>
        </w:rPr>
        <w:t>) converted the entire $187,400 outstanding balance (principal and accrued interest) of our past due promissory note into 32,143 shares of our Series B Preferred. We determined that the conversion of the Desjardins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Desjardins note was equal to the market value of a share of our common stock on the conversion date. Based on the $14.00 per share fair value of the Series B Preferred at the date the Desjardins note was converted, we issued Series B Preferred having an aggregate fair value of $450,000 to Desjardins. Accordingly, we recognized a non-cash loss on extinguishment of the debt attributable to the conversion of the Desjardins note of $262,600 in the quarter ended September 30, 2015 as reflected in the accompanying Condensed Consolidated Statement of Operations and Comprehensive Loss.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Promissory Note and Accounts Payable issued to MicroConstants into Series B Preferred</w:t>
      </w:r>
    </w:p>
    <w:p>
      <w:pPr>
        <w:spacing w:after="0" w:line="198"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On July 6, 2015, MicroConstants, Inc. (</w:t>
      </w:r>
      <w:r>
        <w:rPr>
          <w:rFonts w:ascii="Times New Roman" w:cs="Times New Roman" w:eastAsia="Times New Roman" w:hAnsi="Times New Roman"/>
          <w:sz w:val="14"/>
          <w:szCs w:val="14"/>
          <w:i w:val="1"/>
          <w:iCs w:val="1"/>
          <w:color w:val="auto"/>
        </w:rPr>
        <w:t>MicroConstants)</w:t>
      </w:r>
      <w:r>
        <w:rPr>
          <w:rFonts w:ascii="Times New Roman" w:cs="Times New Roman" w:eastAsia="Times New Roman" w:hAnsi="Times New Roman"/>
          <w:sz w:val="14"/>
          <w:szCs w:val="14"/>
          <w:color w:val="auto"/>
        </w:rPr>
        <w:t xml:space="preserve"> converted the $22,000 outstanding balance (principal and accrued interest) of our past due promissory note and outstanding accounts payable in the amount of $70,400 into an aggregate of 17,857 shares of our Series B Preferred. We determined that the conversion of the MicroConstants note and accounts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MicroConstants note and accounts payable was equal to the market value of a share of our common stock on the conversion date. Based on the $14.00 per share fair value of the Series B Preferred at the date the MicroConstants note and accounts payable were converted, we issued Series B Preferred having an aggregate fair value of $250,000. Accordingly, we recognized a non-cash loss on extinguishment of debt attributable to the conversion of the MicroConstants note and payables of $157,600 in the quarter ended September 30, 2015 as reflected in the accompanying Condensed Consolidated Statement of Operations and Comprehensive Loss.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Accounts Payable to Professional Services Providers and Other Debt into Series B Preferred</w:t>
      </w:r>
    </w:p>
    <w:p>
      <w:pPr>
        <w:spacing w:after="0" w:line="200"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During June and July 2015, two of our professional service providers and a former employee to whom we were contractually obligated for certain accrued compensation amounts converted an aggregate of $497,900 past due amounts for prior services (</w:t>
      </w:r>
      <w:r>
        <w:rPr>
          <w:rFonts w:ascii="Times New Roman" w:cs="Times New Roman" w:eastAsia="Times New Roman" w:hAnsi="Times New Roman"/>
          <w:sz w:val="14"/>
          <w:szCs w:val="14"/>
          <w:i w:val="1"/>
          <w:iCs w:val="1"/>
          <w:color w:val="auto"/>
        </w:rPr>
        <w:t>Service Provider Payables</w:t>
      </w:r>
      <w:r>
        <w:rPr>
          <w:rFonts w:ascii="Times New Roman" w:cs="Times New Roman" w:eastAsia="Times New Roman" w:hAnsi="Times New Roman"/>
          <w:sz w:val="14"/>
          <w:szCs w:val="14"/>
          <w:color w:val="auto"/>
        </w:rPr>
        <w:t>) into an aggregate of 80,929 shares of our Series B Preferred. We determined that the conversion of the Service Provider Payables balances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Service Provider Payables was equal to the market value of a share of our common stock on the respective Service Provider Payable conversion dates. Based on the per share fair value of the Series B Preferred on the respective dates that each Service Provider Payable was converted, which ranged from $10.00 per share to $12.00 per share, we issued Series B Preferred having an aggregate fair value of $823,800 to the Service Providers. Accordingly, we recognized an aggregate non-cash loss on the extinguishment of debt attributable to the conversion of the Service Provider Payables in the amounts of $281,800 and $44,100 in the quarters ended June 30, 2015 and September 30, 2015, respectively, as reflected in the accompanying Condensed Consolidated Statement of Operations and Comprehensive Loss.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Capital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2014 Unit Private Placement</w:t>
      </w:r>
    </w:p>
    <w:p>
      <w:pPr>
        <w:spacing w:after="0" w:line="200"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Between April 1, 2015 and May 14, 2015, in self-placed private placement transactions, we entered into securities purchase agreements with accredited investors pursuant to which we sold Units (</w:t>
      </w:r>
      <w:r>
        <w:rPr>
          <w:rFonts w:ascii="Times New Roman" w:cs="Times New Roman" w:eastAsia="Times New Roman" w:hAnsi="Times New Roman"/>
          <w:sz w:val="14"/>
          <w:szCs w:val="14"/>
          <w:i w:val="1"/>
          <w:iCs w:val="1"/>
          <w:color w:val="auto"/>
        </w:rPr>
        <w:t>2014 Units</w:t>
      </w:r>
      <w:r>
        <w:rPr>
          <w:rFonts w:ascii="Times New Roman" w:cs="Times New Roman" w:eastAsia="Times New Roman" w:hAnsi="Times New Roman"/>
          <w:sz w:val="14"/>
          <w:szCs w:val="14"/>
          <w:color w:val="auto"/>
        </w:rPr>
        <w:t>) to such accredited investors for aggregate cash proceeds of $280,000, such 2014 Units consisting of (i) 10% convertible notes in the aggregate face amount of $280,000 due between April 30, 2015 and May 15, 2015 or automatically convertible into securities issuable upon our consummation of a Qualified Financing, as defined in the note (</w:t>
      </w:r>
      <w:r>
        <w:rPr>
          <w:rFonts w:ascii="Times New Roman" w:cs="Times New Roman" w:eastAsia="Times New Roman" w:hAnsi="Times New Roman"/>
          <w:sz w:val="14"/>
          <w:szCs w:val="14"/>
          <w:i w:val="1"/>
          <w:iCs w:val="1"/>
          <w:color w:val="auto"/>
        </w:rPr>
        <w:t>2014 Unit Notes</w:t>
      </w:r>
      <w:r>
        <w:rPr>
          <w:rFonts w:ascii="Times New Roman" w:cs="Times New Roman" w:eastAsia="Times New Roman" w:hAnsi="Times New Roman"/>
          <w:sz w:val="14"/>
          <w:szCs w:val="14"/>
          <w:color w:val="auto"/>
        </w:rPr>
        <w:t>); (ii) an aggregate of 33,000 restricted shares of our common stock (</w:t>
      </w:r>
      <w:r>
        <w:rPr>
          <w:rFonts w:ascii="Times New Roman" w:cs="Times New Roman" w:eastAsia="Times New Roman" w:hAnsi="Times New Roman"/>
          <w:sz w:val="14"/>
          <w:szCs w:val="14"/>
          <w:i w:val="1"/>
          <w:iCs w:val="1"/>
          <w:color w:val="auto"/>
        </w:rPr>
        <w:t>2014 Unit Stock</w:t>
      </w:r>
      <w:r>
        <w:rPr>
          <w:rFonts w:ascii="Times New Roman" w:cs="Times New Roman" w:eastAsia="Times New Roman" w:hAnsi="Times New Roman"/>
          <w:sz w:val="14"/>
          <w:szCs w:val="14"/>
          <w:color w:val="auto"/>
        </w:rPr>
        <w:t>); and (iii) warrants (</w:t>
      </w:r>
      <w:r>
        <w:rPr>
          <w:rFonts w:ascii="Times New Roman" w:cs="Times New Roman" w:eastAsia="Times New Roman" w:hAnsi="Times New Roman"/>
          <w:sz w:val="14"/>
          <w:szCs w:val="14"/>
          <w:i w:val="1"/>
          <w:iCs w:val="1"/>
          <w:color w:val="auto"/>
        </w:rPr>
        <w:t>2014 Unit Warrants</w:t>
      </w:r>
      <w:r>
        <w:rPr>
          <w:rFonts w:ascii="Times New Roman" w:cs="Times New Roman" w:eastAsia="Times New Roman" w:hAnsi="Times New Roman"/>
          <w:sz w:val="14"/>
          <w:szCs w:val="14"/>
          <w:color w:val="auto"/>
        </w:rPr>
        <w:t>) exercisable through December 31, 2016 to purchase an aggregate of 24,250 restricted shares of our common stock at an exercise price of $10.00 per share.</w:t>
      </w:r>
    </w:p>
    <w:p>
      <w:pPr>
        <w:spacing w:after="0" w:line="163"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 xml:space="preserve">We allocated the proceeds from the private placement sales of the 2014 Units to the various securities based on their relative fair values on the dates of the sales. As described in Note 8, </w:t>
      </w:r>
      <w:r>
        <w:rPr>
          <w:rFonts w:ascii="Times New Roman" w:cs="Times New Roman" w:eastAsia="Times New Roman" w:hAnsi="Times New Roman"/>
          <w:sz w:val="14"/>
          <w:szCs w:val="14"/>
          <w:i w:val="1"/>
          <w:iCs w:val="1"/>
          <w:color w:val="auto"/>
        </w:rPr>
        <w:t>Convertible Promissory Notes and Other Notes Payable</w:t>
      </w:r>
      <w:r>
        <w:rPr>
          <w:rFonts w:ascii="Times New Roman" w:cs="Times New Roman" w:eastAsia="Times New Roman" w:hAnsi="Times New Roman"/>
          <w:sz w:val="14"/>
          <w:szCs w:val="14"/>
          <w:color w:val="auto"/>
        </w:rPr>
        <w:t>, based on the short-term nature of the Unit Notes, we determined that fair value of the 2014 Unit Notes was equal to their face value.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determined the fair value of the 2014 Unit Stock based on the quoted market price of our common stock on the respective dates of the 2014 Unit sales.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510"/>
              <w:spacing w:after="0"/>
              <w:rPr>
                <w:sz w:val="20"/>
                <w:szCs w:val="20"/>
                <w:color w:val="auto"/>
              </w:rPr>
            </w:pPr>
            <w:r>
              <w:rPr>
                <w:rFonts w:ascii="Times New Roman" w:cs="Times New Roman" w:eastAsia="Times New Roman" w:hAnsi="Times New Roman"/>
                <w:sz w:val="14"/>
                <w:szCs w:val="14"/>
                <w:color w:val="auto"/>
                <w:w w:val="97"/>
              </w:rPr>
              <w:t>Unit Warrants</w:t>
            </w:r>
          </w:p>
        </w:tc>
        <w:tc>
          <w:tcPr>
            <w:tcW w:w="6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80" w:type="dxa"/>
            <w:vAlign w:val="bottom"/>
            <w:gridSpan w:val="4"/>
          </w:tcPr>
          <w:p>
            <w:pPr>
              <w:jc w:val="center"/>
              <w:ind w:right="50"/>
              <w:spacing w:after="0" w:line="155" w:lineRule="exact"/>
              <w:rPr>
                <w:sz w:val="20"/>
                <w:szCs w:val="20"/>
                <w:color w:val="auto"/>
              </w:rPr>
            </w:pPr>
            <w:r>
              <w:rPr>
                <w:rFonts w:ascii="Times New Roman" w:cs="Times New Roman" w:eastAsia="Times New Roman" w:hAnsi="Times New Roman"/>
                <w:sz w:val="14"/>
                <w:szCs w:val="14"/>
                <w:color w:val="auto"/>
                <w:w w:val="99"/>
              </w:rPr>
              <w:t>Weighted Average Issuance Date</w:t>
            </w:r>
          </w:p>
        </w:tc>
        <w:tc>
          <w:tcPr>
            <w:tcW w:w="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color w:val="auto"/>
                <w:w w:val="98"/>
              </w:rPr>
              <w:t>Valuation Assumptions</w:t>
            </w:r>
          </w:p>
        </w:tc>
        <w:tc>
          <w:tcPr>
            <w:tcW w:w="7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Per Share</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Aggregate</w:t>
            </w:r>
          </w:p>
        </w:tc>
        <w:tc>
          <w:tcPr>
            <w:tcW w:w="12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Aggregate</w:t>
            </w:r>
          </w:p>
        </w:tc>
        <w:tc>
          <w:tcPr>
            <w:tcW w:w="24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Aggregate Allocation of Proceeds</w:t>
            </w:r>
          </w:p>
        </w:tc>
        <w:tc>
          <w:tcPr>
            <w:tcW w:w="0" w:type="dxa"/>
            <w:vAlign w:val="bottom"/>
          </w:tcPr>
          <w:p>
            <w:pPr>
              <w:spacing w:after="0"/>
              <w:rPr>
                <w:sz w:val="1"/>
                <w:szCs w:val="1"/>
                <w:color w:val="auto"/>
              </w:rPr>
            </w:pPr>
          </w:p>
        </w:tc>
      </w:tr>
      <w:tr>
        <w:trPr>
          <w:trHeight w:val="149"/>
        </w:trPr>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Warrant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ind w:right="30"/>
              <w:spacing w:after="0" w:line="148" w:lineRule="exact"/>
              <w:rPr>
                <w:sz w:val="20"/>
                <w:szCs w:val="20"/>
                <w:color w:val="auto"/>
              </w:rPr>
            </w:pPr>
            <w:r>
              <w:rPr>
                <w:rFonts w:ascii="Times New Roman" w:cs="Times New Roman" w:eastAsia="Times New Roman" w:hAnsi="Times New Roman"/>
                <w:sz w:val="14"/>
                <w:szCs w:val="14"/>
                <w:color w:val="auto"/>
              </w:rPr>
              <w:t>Risk free</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40" w:type="dxa"/>
            <w:vAlign w:val="bottom"/>
          </w:tcPr>
          <w:p>
            <w:pPr>
              <w:jc w:val="center"/>
              <w:ind w:right="130"/>
              <w:spacing w:after="0" w:line="148" w:lineRule="exact"/>
              <w:rPr>
                <w:sz w:val="20"/>
                <w:szCs w:val="20"/>
                <w:color w:val="auto"/>
              </w:rPr>
            </w:pPr>
            <w:r>
              <w:rPr>
                <w:rFonts w:ascii="Times New Roman" w:cs="Times New Roman" w:eastAsia="Times New Roman" w:hAnsi="Times New Roman"/>
                <w:sz w:val="14"/>
                <w:szCs w:val="14"/>
                <w:color w:val="auto"/>
                <w:w w:val="97"/>
              </w:rPr>
              <w:t>Fair</w:t>
            </w:r>
          </w:p>
        </w:tc>
        <w:tc>
          <w:tcPr>
            <w:tcW w:w="1420" w:type="dxa"/>
            <w:vAlign w:val="bottom"/>
            <w:gridSpan w:val="2"/>
          </w:tcPr>
          <w:p>
            <w:pPr>
              <w:jc w:val="center"/>
              <w:ind w:right="400"/>
              <w:spacing w:after="0" w:line="148" w:lineRule="exact"/>
              <w:rPr>
                <w:sz w:val="20"/>
                <w:szCs w:val="20"/>
                <w:color w:val="auto"/>
              </w:rPr>
            </w:pPr>
            <w:r>
              <w:rPr>
                <w:rFonts w:ascii="Times New Roman" w:cs="Times New Roman" w:eastAsia="Times New Roman" w:hAnsi="Times New Roman"/>
                <w:sz w:val="14"/>
                <w:szCs w:val="14"/>
                <w:color w:val="auto"/>
                <w:w w:val="97"/>
              </w:rPr>
              <w:t>Fair Value</w:t>
            </w:r>
          </w:p>
        </w:tc>
        <w:tc>
          <w:tcPr>
            <w:tcW w:w="124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color w:val="auto"/>
              </w:rPr>
              <w:t>Proceeds</w:t>
            </w:r>
          </w:p>
        </w:tc>
        <w:tc>
          <w:tcPr>
            <w:tcW w:w="2400" w:type="dxa"/>
            <w:vAlign w:val="bottom"/>
            <w:gridSpan w:val="4"/>
          </w:tcPr>
          <w:p>
            <w:pPr>
              <w:jc w:val="center"/>
              <w:ind w:right="80"/>
              <w:spacing w:after="0" w:line="148" w:lineRule="exact"/>
              <w:rPr>
                <w:sz w:val="20"/>
                <w:szCs w:val="20"/>
                <w:color w:val="auto"/>
              </w:rPr>
            </w:pPr>
            <w:r>
              <w:rPr>
                <w:rFonts w:ascii="Times New Roman" w:cs="Times New Roman" w:eastAsia="Times New Roman" w:hAnsi="Times New Roman"/>
                <w:sz w:val="14"/>
                <w:szCs w:val="14"/>
                <w:color w:val="auto"/>
              </w:rPr>
              <w:t>Based on Relative Fair Value of:</w:t>
            </w:r>
          </w:p>
        </w:tc>
        <w:tc>
          <w:tcPr>
            <w:tcW w:w="0" w:type="dxa"/>
            <w:vAlign w:val="bottom"/>
          </w:tcPr>
          <w:p>
            <w:pPr>
              <w:spacing w:after="0"/>
              <w:rPr>
                <w:sz w:val="1"/>
                <w:szCs w:val="1"/>
                <w:color w:val="auto"/>
              </w:rPr>
            </w:pPr>
          </w:p>
        </w:tc>
      </w:tr>
      <w:tr>
        <w:trPr>
          <w:trHeight w:val="154"/>
        </w:trPr>
        <w:tc>
          <w:tcPr>
            <w:tcW w:w="78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68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color w:val="auto"/>
              </w:rPr>
              <w:t>Market</w:t>
            </w:r>
          </w:p>
        </w:tc>
        <w:tc>
          <w:tcPr>
            <w:tcW w:w="66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color w:val="auto"/>
              </w:rPr>
              <w:t>Exercise</w:t>
            </w: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Term</w:t>
            </w:r>
          </w:p>
        </w:tc>
        <w:tc>
          <w:tcPr>
            <w:tcW w:w="700" w:type="dxa"/>
            <w:vAlign w:val="bottom"/>
          </w:tcPr>
          <w:p>
            <w:pPr>
              <w:jc w:val="center"/>
              <w:ind w:right="10"/>
              <w:spacing w:after="0" w:line="155" w:lineRule="exact"/>
              <w:rPr>
                <w:sz w:val="20"/>
                <w:szCs w:val="20"/>
                <w:color w:val="auto"/>
              </w:rPr>
            </w:pPr>
            <w:r>
              <w:rPr>
                <w:rFonts w:ascii="Times New Roman" w:cs="Times New Roman" w:eastAsia="Times New Roman" w:hAnsi="Times New Roman"/>
                <w:sz w:val="14"/>
                <w:szCs w:val="14"/>
                <w:color w:val="auto"/>
                <w:w w:val="99"/>
              </w:rPr>
              <w:t>Interest</w:t>
            </w:r>
          </w:p>
        </w:tc>
        <w:tc>
          <w:tcPr>
            <w:tcW w:w="700" w:type="dxa"/>
            <w:vAlign w:val="bottom"/>
          </w:tcPr>
          <w:p>
            <w:pPr>
              <w:spacing w:after="0"/>
              <w:rPr>
                <w:sz w:val="13"/>
                <w:szCs w:val="13"/>
                <w:color w:val="auto"/>
              </w:rPr>
            </w:pPr>
          </w:p>
        </w:tc>
        <w:tc>
          <w:tcPr>
            <w:tcW w:w="6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Dividend</w:t>
            </w:r>
          </w:p>
        </w:tc>
        <w:tc>
          <w:tcPr>
            <w:tcW w:w="1540" w:type="dxa"/>
            <w:vAlign w:val="bottom"/>
          </w:tcPr>
          <w:p>
            <w:pPr>
              <w:jc w:val="center"/>
              <w:ind w:right="110"/>
              <w:spacing w:after="0" w:line="155" w:lineRule="exact"/>
              <w:rPr>
                <w:sz w:val="20"/>
                <w:szCs w:val="20"/>
                <w:color w:val="auto"/>
              </w:rPr>
            </w:pPr>
            <w:r>
              <w:rPr>
                <w:rFonts w:ascii="Times New Roman" w:cs="Times New Roman" w:eastAsia="Times New Roman" w:hAnsi="Times New Roman"/>
                <w:sz w:val="14"/>
                <w:szCs w:val="14"/>
                <w:color w:val="auto"/>
                <w:w w:val="98"/>
              </w:rPr>
              <w:t>Value of</w:t>
            </w:r>
          </w:p>
        </w:tc>
        <w:tc>
          <w:tcPr>
            <w:tcW w:w="142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color w:val="auto"/>
                <w:w w:val="99"/>
              </w:rPr>
              <w:t>of Unit</w:t>
            </w:r>
          </w:p>
        </w:tc>
        <w:tc>
          <w:tcPr>
            <w:tcW w:w="1180" w:type="dxa"/>
            <w:vAlign w:val="bottom"/>
          </w:tcPr>
          <w:p>
            <w:pPr>
              <w:jc w:val="center"/>
              <w:ind w:right="150"/>
              <w:spacing w:after="0" w:line="155" w:lineRule="exact"/>
              <w:rPr>
                <w:sz w:val="20"/>
                <w:szCs w:val="20"/>
                <w:color w:val="auto"/>
              </w:rPr>
            </w:pPr>
            <w:r>
              <w:rPr>
                <w:rFonts w:ascii="Times New Roman" w:cs="Times New Roman" w:eastAsia="Times New Roman" w:hAnsi="Times New Roman"/>
                <w:sz w:val="14"/>
                <w:szCs w:val="14"/>
                <w:color w:val="auto"/>
                <w:w w:val="99"/>
              </w:rPr>
              <w:t>of Unit</w:t>
            </w:r>
          </w:p>
        </w:tc>
        <w:tc>
          <w:tcPr>
            <w:tcW w:w="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70"/>
              <w:spacing w:after="0" w:line="155" w:lineRule="exact"/>
              <w:rPr>
                <w:sz w:val="20"/>
                <w:szCs w:val="20"/>
                <w:color w:val="auto"/>
              </w:rPr>
            </w:pPr>
            <w:r>
              <w:rPr>
                <w:rFonts w:ascii="Times New Roman" w:cs="Times New Roman" w:eastAsia="Times New Roman" w:hAnsi="Times New Roman"/>
                <w:sz w:val="14"/>
                <w:szCs w:val="14"/>
                <w:color w:val="auto"/>
              </w:rPr>
              <w:t>Unit</w:t>
            </w:r>
          </w:p>
        </w:tc>
        <w:tc>
          <w:tcPr>
            <w:tcW w:w="7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Issued</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Price</w:t>
            </w: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Price</w:t>
            </w: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5"/>
              </w:rPr>
              <w:t>(Years)</w:t>
            </w:r>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Rate</w:t>
            </w:r>
          </w:p>
        </w:tc>
        <w:tc>
          <w:tcPr>
            <w:tcW w:w="70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6"/>
              </w:rPr>
              <w:t>Volatility</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Rate</w:t>
            </w: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4"/>
                <w:szCs w:val="14"/>
                <w:color w:val="auto"/>
              </w:rPr>
              <w:t>Warrant</w:t>
            </w: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Warrants</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Sales</w:t>
            </w: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9"/>
              </w:rPr>
              <w:t>Unit Stock</w:t>
            </w: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Warrant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Unit Note</w:t>
            </w:r>
          </w:p>
        </w:tc>
        <w:tc>
          <w:tcPr>
            <w:tcW w:w="0" w:type="dxa"/>
            <w:vAlign w:val="bottom"/>
          </w:tcPr>
          <w:p>
            <w:pPr>
              <w:spacing w:after="0"/>
              <w:rPr>
                <w:sz w:val="1"/>
                <w:szCs w:val="1"/>
                <w:color w:val="auto"/>
              </w:rPr>
            </w:pPr>
          </w:p>
        </w:tc>
      </w:tr>
      <w:tr>
        <w:trPr>
          <w:trHeight w:val="169"/>
        </w:trPr>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24,250</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10.00</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10.00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   3.69</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$ 89,600</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$ 280,000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$ 128,900</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$ 32,900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$ 118,200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5"/>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rPr>
              <w:t>-18-</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7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54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7269480</wp:posOffset>
            </wp:positionH>
            <wp:positionV relativeFrom="paragraph">
              <wp:posOffset>-12700</wp:posOffset>
            </wp:positionV>
            <wp:extent cx="1270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1270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21" w:name="page22"/>
    <w:bookmarkEnd w:id="21"/>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5"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Between late-March 2014 and May 14, 2015, in self-placed private placement transactions, we entered into securities purchase agreements with accredited investors for the 2014 Unit Private Placement pursuant to which we sold 2014 Units to such accredited investors for aggregate cash proceeds of $3,393,500, consisting of (i) 2014 Unit Notes in the aggregate face amount of $3,393,500 due between March 31, 2015 and May 15, 2015 or automatically convertible into securities issuable upon our consummation of a Qualified Financing, as defined in the note; (ii) an aggregate of 315,850 restricted shares of 2014 Unit Stock; and (iii) 2014 Unit Warrants exercisable through December 31, 2016 to purchase an aggregate of 307,100 restricted shares of our common stock at an exercise price of $10.00 per share.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Creation of Series B Preferred Stock</w:t>
      </w:r>
    </w:p>
    <w:p>
      <w:pPr>
        <w:spacing w:after="0" w:line="177" w:lineRule="exact"/>
        <w:rPr>
          <w:sz w:val="20"/>
          <w:szCs w:val="20"/>
          <w:color w:val="auto"/>
        </w:rPr>
      </w:pPr>
    </w:p>
    <w:p>
      <w:pPr>
        <w:jc w:val="both"/>
        <w:ind w:firstLine="507"/>
        <w:spacing w:after="0" w:line="288" w:lineRule="auto"/>
        <w:rPr>
          <w:sz w:val="20"/>
          <w:szCs w:val="20"/>
          <w:color w:val="auto"/>
        </w:rPr>
      </w:pPr>
      <w:r>
        <w:rPr>
          <w:rFonts w:ascii="Times New Roman" w:cs="Times New Roman" w:eastAsia="Times New Roman" w:hAnsi="Times New Roman"/>
          <w:sz w:val="14"/>
          <w:szCs w:val="14"/>
          <w:color w:val="auto"/>
        </w:rPr>
        <w:t>On May 7, 2015, we filed a Certificate of Designation of the Relative Rights and Preferences of the Series B 10% Preferred Stock of VistaGen Therapeutics, Inc. (</w:t>
      </w:r>
      <w:r>
        <w:rPr>
          <w:rFonts w:ascii="Times New Roman" w:cs="Times New Roman" w:eastAsia="Times New Roman" w:hAnsi="Times New Roman"/>
          <w:sz w:val="14"/>
          <w:szCs w:val="14"/>
          <w:i w:val="1"/>
          <w:iCs w:val="1"/>
          <w:color w:val="auto"/>
        </w:rPr>
        <w:t>Certificate of Designation</w:t>
      </w:r>
      <w:r>
        <w:rPr>
          <w:rFonts w:ascii="Times New Roman" w:cs="Times New Roman" w:eastAsia="Times New Roman" w:hAnsi="Times New Roman"/>
          <w:sz w:val="14"/>
          <w:szCs w:val="14"/>
          <w:color w:val="auto"/>
        </w:rPr>
        <w:t>) with the Nevada Secretary of State to designate 4.0 million shares of our authorized preferred stock as Series B 10% Convertible Preferred Stock (</w:t>
      </w:r>
      <w:r>
        <w:rPr>
          <w:rFonts w:ascii="Times New Roman" w:cs="Times New Roman" w:eastAsia="Times New Roman" w:hAnsi="Times New Roman"/>
          <w:sz w:val="14"/>
          <w:szCs w:val="14"/>
          <w:i w:val="1"/>
          <w:iCs w:val="1"/>
          <w:color w:val="auto"/>
        </w:rPr>
        <w:t>Series B Preferred</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jc w:val="both"/>
        <w:ind w:firstLine="507"/>
        <w:spacing w:after="0" w:line="259" w:lineRule="auto"/>
        <w:rPr>
          <w:sz w:val="20"/>
          <w:szCs w:val="20"/>
          <w:color w:val="auto"/>
        </w:rPr>
      </w:pPr>
      <w:r>
        <w:rPr>
          <w:rFonts w:ascii="Times New Roman" w:cs="Times New Roman" w:eastAsia="Times New Roman" w:hAnsi="Times New Roman"/>
          <w:sz w:val="14"/>
          <w:szCs w:val="14"/>
          <w:color w:val="auto"/>
        </w:rPr>
        <w:t>Each share of Series B Preferred is convertible, at the option of the holder (</w:t>
      </w:r>
      <w:r>
        <w:rPr>
          <w:rFonts w:ascii="Times New Roman" w:cs="Times New Roman" w:eastAsia="Times New Roman" w:hAnsi="Times New Roman"/>
          <w:sz w:val="14"/>
          <w:szCs w:val="14"/>
          <w:i w:val="1"/>
          <w:iCs w:val="1"/>
          <w:color w:val="auto"/>
        </w:rPr>
        <w:t>Voluntary Conversion</w:t>
      </w:r>
      <w:r>
        <w:rPr>
          <w:rFonts w:ascii="Times New Roman" w:cs="Times New Roman" w:eastAsia="Times New Roman" w:hAnsi="Times New Roman"/>
          <w:sz w:val="14"/>
          <w:szCs w:val="14"/>
          <w:color w:val="auto"/>
        </w:rPr>
        <w:t>), into one (1) share of our Common Stock, subject to adjustment, only for customary stock dividends, reclassifications, splits and similar transactions set forth in the Certificate of Designation. All outstanding shares of Series B Preferred are also convertible automatically on a one-to-one basis into shares of our Common Stock (</w:t>
      </w:r>
      <w:r>
        <w:rPr>
          <w:rFonts w:ascii="Times New Roman" w:cs="Times New Roman" w:eastAsia="Times New Roman" w:hAnsi="Times New Roman"/>
          <w:sz w:val="14"/>
          <w:szCs w:val="14"/>
          <w:i w:val="1"/>
          <w:iCs w:val="1"/>
          <w:color w:val="auto"/>
        </w:rPr>
        <w:t>Automatic Conversion</w:t>
      </w:r>
      <w:r>
        <w:rPr>
          <w:rFonts w:ascii="Times New Roman" w:cs="Times New Roman" w:eastAsia="Times New Roman" w:hAnsi="Times New Roman"/>
          <w:sz w:val="14"/>
          <w:szCs w:val="14"/>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Times New Roman" w:cs="Times New Roman" w:eastAsia="Times New Roman" w:hAnsi="Times New Roman"/>
          <w:sz w:val="14"/>
          <w:szCs w:val="14"/>
          <w:i w:val="1"/>
          <w:iCs w:val="1"/>
          <w:color w:val="auto"/>
        </w:rPr>
        <w:t>Conversion</w:t>
      </w:r>
      <w:r>
        <w:rPr>
          <w:rFonts w:ascii="Times New Roman" w:cs="Times New Roman" w:eastAsia="Times New Roman" w:hAnsi="Times New Roman"/>
          <w:sz w:val="14"/>
          <w:szCs w:val="14"/>
          <w:color w:val="auto"/>
        </w:rPr>
        <w:t>) are subject to certain beneficial ownership blockers as set forth in the Certificate of Designation and/or securities purchase agreements.</w:t>
      </w:r>
    </w:p>
    <w:p>
      <w:pPr>
        <w:spacing w:after="0" w:line="140" w:lineRule="exact"/>
        <w:rPr>
          <w:sz w:val="20"/>
          <w:szCs w:val="20"/>
          <w:color w:val="auto"/>
        </w:rPr>
      </w:pPr>
    </w:p>
    <w:p>
      <w:pPr>
        <w:jc w:val="both"/>
        <w:ind w:firstLine="507"/>
        <w:spacing w:after="0" w:line="259" w:lineRule="auto"/>
        <w:rPr>
          <w:sz w:val="20"/>
          <w:szCs w:val="20"/>
          <w:color w:val="auto"/>
        </w:rPr>
      </w:pPr>
      <w:r>
        <w:rPr>
          <w:rFonts w:ascii="Times New Roman" w:cs="Times New Roman" w:eastAsia="Times New Roman" w:hAnsi="Times New Roman"/>
          <w:sz w:val="14"/>
          <w:szCs w:val="14"/>
          <w:color w:val="auto"/>
        </w:rPr>
        <w:t>Prior to Conversion, shares of Series B Preferred will accrue in-kind dividends (payable only in unregistered shares of our common stock) at a rate of 10% per annum (</w:t>
      </w:r>
      <w:r>
        <w:rPr>
          <w:rFonts w:ascii="Times New Roman" w:cs="Times New Roman" w:eastAsia="Times New Roman" w:hAnsi="Times New Roman"/>
          <w:sz w:val="14"/>
          <w:szCs w:val="14"/>
          <w:i w:val="1"/>
          <w:iCs w:val="1"/>
          <w:color w:val="auto"/>
        </w:rPr>
        <w:t>Accrued Dividends</w:t>
      </w:r>
      <w:r>
        <w:rPr>
          <w:rFonts w:ascii="Times New Roman" w:cs="Times New Roman" w:eastAsia="Times New Roman" w:hAnsi="Times New Roman"/>
          <w:sz w:val="14"/>
          <w:szCs w:val="14"/>
          <w:color w:val="auto"/>
        </w:rPr>
        <w:t>). The Accrued Dividends will be payable on the date of either a Voluntary Conversion or Automatic Conversion solely in that number of shares of common stock equal to the Accrued Dividends. At December 31, 2015, we have recognized a liability in the amount of $1,415,800 for Accrued Dividends in the accompanying Condensed Consolidated Balance Sheet at December 31, 2015, based on the Series B Preferred issued and outstanding, net of exchanges to common stock, through the quarter ended December 31, 2015. We have recognized a deduction from net loss of $1,459,300 related to dividends on Series B Preferred in arriving at net loss attributable to common stockholders in the accompanying Condensed Consolidated Statement of Operations and Comprehensive Loss for the nine months ended December 31, 2015. The liquidation value of the Series B Preferred at December 31, 2015 is approximately $26,541,400.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May 2015 Agreement with Platinum</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May 5, 2015, we entered into an Agreement with Platinum, which, as modified, became effective on May 12, 2015 (</w:t>
      </w:r>
      <w:r>
        <w:rPr>
          <w:rFonts w:ascii="Times New Roman" w:cs="Times New Roman" w:eastAsia="Times New Roman" w:hAnsi="Times New Roman"/>
          <w:sz w:val="14"/>
          <w:szCs w:val="14"/>
          <w:i w:val="1"/>
          <w:iCs w:val="1"/>
          <w:color w:val="auto"/>
        </w:rPr>
        <w:t>Platinum Agreement</w:t>
      </w:r>
      <w:r>
        <w:rPr>
          <w:rFonts w:ascii="Times New Roman" w:cs="Times New Roman" w:eastAsia="Times New Roman" w:hAnsi="Times New Roman"/>
          <w:sz w:val="14"/>
          <w:szCs w:val="14"/>
          <w:color w:val="auto"/>
        </w:rPr>
        <w:t>) and pursuant to which Platinum:</w:t>
      </w:r>
    </w:p>
    <w:p>
      <w:pPr>
        <w:spacing w:after="0" w:line="200" w:lineRule="exact"/>
        <w:rPr>
          <w:sz w:val="20"/>
          <w:szCs w:val="20"/>
          <w:color w:val="auto"/>
        </w:rPr>
      </w:pPr>
    </w:p>
    <w:p>
      <w:pPr>
        <w:ind w:left="980" w:hanging="405"/>
        <w:spacing w:after="0" w:line="285" w:lineRule="auto"/>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Converted into 641,335 shares of Series B Preferred all of the approximately $4.5 million outstanding balance (principal and accrued but unpaid interest) of the Senior Secured Notes we had previously issued to Platinum, as described previously in Note 7, </w:t>
      </w:r>
      <w:r>
        <w:rPr>
          <w:rFonts w:ascii="Times New Roman" w:cs="Times New Roman" w:eastAsia="Times New Roman" w:hAnsi="Times New Roman"/>
          <w:sz w:val="14"/>
          <w:szCs w:val="14"/>
          <w:i w:val="1"/>
          <w:iCs w:val="1"/>
          <w:color w:val="auto"/>
        </w:rPr>
        <w:t>Convertible Promissory Notes and Other Notes Payable</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980" w:hanging="405"/>
        <w:spacing w:after="0" w:line="285" w:lineRule="auto"/>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Released all of its security interests in our assets and those of our subsidiaries by terminating the Amended and Restated Security Agreement, IP Security Agreement and Negative Covenant, each dated October 11, 2012 between us and Platinum;</w:t>
      </w:r>
    </w:p>
    <w:p>
      <w:pPr>
        <w:spacing w:after="0" w:line="143" w:lineRule="exact"/>
        <w:rPr>
          <w:rFonts w:ascii="Times New Roman" w:cs="Times New Roman" w:eastAsia="Times New Roman" w:hAnsi="Times New Roman"/>
          <w:sz w:val="14"/>
          <w:szCs w:val="14"/>
          <w:color w:val="auto"/>
        </w:rPr>
      </w:pPr>
    </w:p>
    <w:p>
      <w:pPr>
        <w:jc w:val="both"/>
        <w:ind w:left="980" w:hanging="405"/>
        <w:spacing w:after="0" w:line="270" w:lineRule="auto"/>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Converted into 240,305 shares of Series B Preferred and five-year warrants to purchase 240,305 shares of our common stock at a fixed exercise price of $7.00 per share (</w:t>
      </w:r>
      <w:r>
        <w:rPr>
          <w:rFonts w:ascii="Times New Roman" w:cs="Times New Roman" w:eastAsia="Times New Roman" w:hAnsi="Times New Roman"/>
          <w:sz w:val="14"/>
          <w:szCs w:val="14"/>
          <w:i w:val="1"/>
          <w:iCs w:val="1"/>
          <w:color w:val="auto"/>
        </w:rPr>
        <w:t>Series 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 all of the approximately $1.3 million outstanding balance (principal and accrued but unpaid interest) of the 2014 Unit Notes that we issued to Platinum, as described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previously in Note 7, </w:t>
      </w:r>
      <w:r>
        <w:rPr>
          <w:rFonts w:ascii="Times New Roman" w:cs="Times New Roman" w:eastAsia="Times New Roman" w:hAnsi="Times New Roman"/>
          <w:sz w:val="14"/>
          <w:szCs w:val="14"/>
          <w:i w:val="1"/>
          <w:iCs w:val="1"/>
          <w:color w:val="auto"/>
        </w:rPr>
        <w:t>Convertible Promissory Notes and Other Notes Payable</w:t>
      </w:r>
      <w:r>
        <w:rPr>
          <w:rFonts w:ascii="Times New Roman" w:cs="Times New Roman" w:eastAsia="Times New Roman" w:hAnsi="Times New Roman"/>
          <w:sz w:val="14"/>
          <w:szCs w:val="14"/>
          <w:color w:val="auto"/>
        </w:rPr>
        <w:t>;</w:t>
      </w:r>
    </w:p>
    <w:p>
      <w:pPr>
        <w:spacing w:after="0" w:line="155" w:lineRule="exact"/>
        <w:rPr>
          <w:rFonts w:ascii="Times New Roman" w:cs="Times New Roman" w:eastAsia="Times New Roman" w:hAnsi="Times New Roman"/>
          <w:sz w:val="14"/>
          <w:szCs w:val="14"/>
          <w:color w:val="auto"/>
        </w:rPr>
      </w:pPr>
    </w:p>
    <w:p>
      <w:pPr>
        <w:jc w:val="both"/>
        <w:ind w:left="980" w:hanging="405"/>
        <w:spacing w:after="0" w:line="268" w:lineRule="auto"/>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Purchased approximately $1.5 million (including accrued but unpaid interest thereon) of outstanding 2014 Unit Notes we had previously issued to various accredited investors from the respective holders thereof (</w:t>
      </w:r>
      <w:r>
        <w:rPr>
          <w:rFonts w:ascii="Times New Roman" w:cs="Times New Roman" w:eastAsia="Times New Roman" w:hAnsi="Times New Roman"/>
          <w:sz w:val="14"/>
          <w:szCs w:val="14"/>
          <w:i w:val="1"/>
          <w:iCs w:val="1"/>
          <w:color w:val="auto"/>
        </w:rPr>
        <w:t>Acquired Unit Notes</w:t>
      </w:r>
      <w:r>
        <w:rPr>
          <w:rFonts w:ascii="Times New Roman" w:cs="Times New Roman" w:eastAsia="Times New Roman" w:hAnsi="Times New Roman"/>
          <w:sz w:val="14"/>
          <w:szCs w:val="14"/>
          <w:color w:val="auto"/>
        </w:rPr>
        <w:t xml:space="preserve">) and converted the entire approximately $1.5 million outstanding balance of the Acquired Unit Notes into 265,699 shares of Series B Preferred and Series B Warrants to purchase 265,699 shares of our common stock, as described previously in Note 7, </w:t>
      </w:r>
      <w:r>
        <w:rPr>
          <w:rFonts w:ascii="Times New Roman" w:cs="Times New Roman" w:eastAsia="Times New Roman" w:hAnsi="Times New Roman"/>
          <w:sz w:val="14"/>
          <w:szCs w:val="14"/>
          <w:i w:val="1"/>
          <w:iCs w:val="1"/>
          <w:color w:val="auto"/>
        </w:rPr>
        <w:t>Convertible Promissory Notes and Other Notes Payable</w:t>
      </w:r>
      <w:r>
        <w:rPr>
          <w:rFonts w:ascii="Times New Roman" w:cs="Times New Roman" w:eastAsia="Times New Roman" w:hAnsi="Times New Roman"/>
          <w:sz w:val="14"/>
          <w:szCs w:val="14"/>
          <w:color w:val="auto"/>
        </w:rPr>
        <w:t>;</w:t>
      </w:r>
    </w:p>
    <w:p>
      <w:pPr>
        <w:spacing w:after="0" w:line="155" w:lineRule="exact"/>
        <w:rPr>
          <w:rFonts w:ascii="Times New Roman" w:cs="Times New Roman" w:eastAsia="Times New Roman" w:hAnsi="Times New Roman"/>
          <w:sz w:val="14"/>
          <w:szCs w:val="14"/>
          <w:color w:val="auto"/>
        </w:rPr>
      </w:pPr>
    </w:p>
    <w:p>
      <w:pPr>
        <w:ind w:left="980" w:hanging="405"/>
        <w:spacing w:after="0" w:line="288" w:lineRule="auto"/>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Entered into a Securities Purchase Agreement (</w:t>
      </w:r>
      <w:r>
        <w:rPr>
          <w:rFonts w:ascii="Times New Roman" w:cs="Times New Roman" w:eastAsia="Times New Roman" w:hAnsi="Times New Roman"/>
          <w:sz w:val="14"/>
          <w:szCs w:val="14"/>
          <w:i w:val="1"/>
          <w:iCs w:val="1"/>
          <w:color w:val="auto"/>
        </w:rPr>
        <w:t>SPA</w:t>
      </w:r>
      <w:r>
        <w:rPr>
          <w:rFonts w:ascii="Times New Roman" w:cs="Times New Roman" w:eastAsia="Times New Roman" w:hAnsi="Times New Roman"/>
          <w:sz w:val="14"/>
          <w:szCs w:val="14"/>
          <w:color w:val="auto"/>
        </w:rPr>
        <w:t>) to purchase from us, in our self-placed private placement, for $1.0 million, a total of 142,857 shares of Series B Preferred and a Series B Warrant to purchase 142,857 shares of our common stock, which shares of Series B Preferred and Series B Warrants have been purchased and issued;</w:t>
      </w:r>
    </w:p>
    <w:p>
      <w:pPr>
        <w:spacing w:after="0" w:line="143" w:lineRule="exact"/>
        <w:rPr>
          <w:rFonts w:ascii="Times New Roman" w:cs="Times New Roman" w:eastAsia="Times New Roman" w:hAnsi="Times New Roman"/>
          <w:sz w:val="14"/>
          <w:szCs w:val="14"/>
          <w:color w:val="auto"/>
        </w:rPr>
      </w:pPr>
    </w:p>
    <w:p>
      <w:pPr>
        <w:ind w:left="980" w:hanging="405"/>
        <w:spacing w:after="0"/>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Amended the Platinum Warrants previously issued by us to Platinum in connection with the Senior Secured Notes and the Series A Exchange Warrant to (i) fix the exercise price thereof,</w:t>
      </w:r>
    </w:p>
    <w:p>
      <w:pPr>
        <w:spacing w:after="0" w:line="22" w:lineRule="exact"/>
        <w:rPr>
          <w:rFonts w:ascii="Times New Roman" w:cs="Times New Roman" w:eastAsia="Times New Roman" w:hAnsi="Times New Roman"/>
          <w:sz w:val="14"/>
          <w:szCs w:val="14"/>
          <w:color w:val="auto"/>
        </w:rPr>
      </w:pPr>
    </w:p>
    <w:p>
      <w:pPr>
        <w:ind w:left="980" w:hanging="4"/>
        <w:spacing w:after="0" w:line="263" w:lineRule="auto"/>
        <w:tabs>
          <w:tab w:leader="none" w:pos="1198"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exercise price reset features and (iii) fix the number of shares of our common stock issuable thereunder, and (iv) eliminate the cashless exercise provisions from the Platinum Warrants; and</w:t>
      </w:r>
    </w:p>
    <w:p>
      <w:pPr>
        <w:spacing w:after="0" w:line="160" w:lineRule="exact"/>
        <w:rPr>
          <w:rFonts w:ascii="Times New Roman" w:cs="Times New Roman" w:eastAsia="Times New Roman" w:hAnsi="Times New Roman"/>
          <w:sz w:val="14"/>
          <w:szCs w:val="14"/>
          <w:color w:val="auto"/>
        </w:rPr>
      </w:pPr>
    </w:p>
    <w:p>
      <w:pPr>
        <w:ind w:left="980" w:hanging="405"/>
        <w:spacing w:after="0" w:line="285" w:lineRule="auto"/>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22" w:name="page23"/>
    <w:bookmarkEnd w:id="22"/>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jc w:val="both"/>
        <w:ind w:firstLine="507"/>
        <w:spacing w:after="0" w:line="255" w:lineRule="auto"/>
        <w:rPr>
          <w:sz w:val="20"/>
          <w:szCs w:val="20"/>
          <w:color w:val="auto"/>
        </w:rPr>
      </w:pPr>
      <w:r>
        <w:rPr>
          <w:rFonts w:ascii="Times New Roman" w:cs="Times New Roman" w:eastAsia="Times New Roman" w:hAnsi="Times New Roman"/>
          <w:sz w:val="14"/>
          <w:szCs w:val="14"/>
          <w:color w:val="auto"/>
        </w:rPr>
        <w:t>As additional consideration for the several agreements of Platinum under the Platinum Agreement, we issued to Platinum 400,000 shares of Series B Preferred (</w:t>
      </w:r>
      <w:r>
        <w:rPr>
          <w:rFonts w:ascii="Times New Roman" w:cs="Times New Roman" w:eastAsia="Times New Roman" w:hAnsi="Times New Roman"/>
          <w:sz w:val="14"/>
          <w:szCs w:val="14"/>
          <w:i w:val="1"/>
          <w:iCs w:val="1"/>
          <w:color w:val="auto"/>
        </w:rPr>
        <w:t>Additional Consideration Shares</w:t>
      </w:r>
      <w:r>
        <w:rPr>
          <w:rFonts w:ascii="Times New Roman" w:cs="Times New Roman" w:eastAsia="Times New Roman" w:hAnsi="Times New Roman"/>
          <w:sz w:val="14"/>
          <w:szCs w:val="14"/>
          <w:color w:val="auto"/>
        </w:rPr>
        <w:t>) and Series B Warrants (</w:t>
      </w:r>
      <w:r>
        <w:rPr>
          <w:rFonts w:ascii="Times New Roman" w:cs="Times New Roman" w:eastAsia="Times New Roman" w:hAnsi="Times New Roman"/>
          <w:sz w:val="14"/>
          <w:szCs w:val="14"/>
          <w:i w:val="1"/>
          <w:iCs w:val="1"/>
          <w:color w:val="auto"/>
        </w:rPr>
        <w:t>Additional Consideration Warrants</w:t>
      </w:r>
      <w:r>
        <w:rPr>
          <w:rFonts w:ascii="Times New Roman" w:cs="Times New Roman" w:eastAsia="Times New Roman" w:hAnsi="Times New Roman"/>
          <w:sz w:val="14"/>
          <w:szCs w:val="14"/>
          <w:color w:val="auto"/>
        </w:rPr>
        <w:t xml:space="preserve">) to purchase 1.2 million shares of our common stock, and exchanged 30,000 shares of our common stock then beneficially owned or controlled by Platinum for 30,000 shares of Series B Preferred. Considering the exchangeability of the Series B Preferred into our common stock, the dividend applicable to the Series B Preferred prior to such exchange and other factors, we determined that the fair value of a share of Series B Preferred issued to Platinum pursuant to the Platinum Agreement was equal to the market value of a share of our common stock on the effective date of the Platinum Agreement. Based on the $10.00 per share fair value of the Series B Preferred at the May 12, 2015 effective date of the Platinum Agreement, we issued Additional Consideration Shares having an aggregate fair value of $4.0 million to Platinum. We valued the Additional Consideration Warrants at an aggregate of $8,270,900 using the Black Scholes option pricing model and the same assumptions used in valuing the Series B Warrants issued to Platinum in connection with the conversion of the Platinum Unit Notes and the Acquired Unit Notes, as described previously in Note 7, </w:t>
      </w:r>
      <w:r>
        <w:rPr>
          <w:rFonts w:ascii="Times New Roman" w:cs="Times New Roman" w:eastAsia="Times New Roman" w:hAnsi="Times New Roman"/>
          <w:sz w:val="14"/>
          <w:szCs w:val="14"/>
          <w:i w:val="1"/>
          <w:iCs w:val="1"/>
          <w:color w:val="auto"/>
        </w:rPr>
        <w:t>Convertible Promissory Notes and Other Notes Payable</w:t>
      </w:r>
      <w:r>
        <w:rPr>
          <w:rFonts w:ascii="Times New Roman" w:cs="Times New Roman" w:eastAsia="Times New Roman" w:hAnsi="Times New Roman"/>
          <w:sz w:val="14"/>
          <w:szCs w:val="14"/>
          <w:color w:val="auto"/>
        </w:rPr>
        <w:t>. We recognized the aggregate fair value of the Additional Consideration Shares and Additional Consideration Warrants as a non-cash component of loss on debt extinguishment in the quarter ended June 30, 2015, as reflected in the accompanying Condensed Consolidated Statement of Operations and Comprehensive Loss.</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August 2015 Agreement with Platinum</w:t>
      </w:r>
    </w:p>
    <w:p>
      <w:pPr>
        <w:spacing w:after="0" w:line="200"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On August 3, 2015, we entered into the August 2015 Agreement with Platinum pursuant to which we agreed to sell to Platinum an additional $3.0 million of our Series B Preferred and Series B Warrants between August 15, 2015 and October 15, 2015 and issue an aggregate of 458,571 shares of Series B Preferred and Series B Warrants to purchase 458,571 shares of our common stock. Through December 31, 2015, Platinum had purchased an aggregate of $1,650,000 of Series B Preferred and Series B Warrants contemplated under the August 2015 Agreement and we had issued 235,714 shares of Series B Preferred and Series B Warrants to purchase 235,714 shares of our common stock related to such 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2015 Series B Preferred Unit Offering</w:t>
      </w:r>
    </w:p>
    <w:p>
      <w:pPr>
        <w:spacing w:after="0" w:line="200"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 xml:space="preserve">Between May 26, 2015 and December 31, 2015, in self-placed private placement transactions, we sold to accredited investors an aggregate of $4,397,800 of units in our Series B Preferred Unit offering, which units consist of Series B Preferred and Series B Warrants (together </w:t>
      </w:r>
      <w:r>
        <w:rPr>
          <w:rFonts w:ascii="Times New Roman" w:cs="Times New Roman" w:eastAsia="Times New Roman" w:hAnsi="Times New Roman"/>
          <w:sz w:val="14"/>
          <w:szCs w:val="14"/>
          <w:i w:val="1"/>
          <w:iCs w:val="1"/>
          <w:color w:val="auto"/>
        </w:rPr>
        <w:t>Series B Preferred Units</w:t>
      </w:r>
      <w:r>
        <w:rPr>
          <w:rFonts w:ascii="Times New Roman" w:cs="Times New Roman" w:eastAsia="Times New Roman" w:hAnsi="Times New Roman"/>
          <w:sz w:val="14"/>
          <w:szCs w:val="14"/>
          <w:color w:val="auto"/>
        </w:rPr>
        <w:t>), including $2,650,000 to Platinum, which amount includes $1,650,000 pursuant to the August 2015 Agreement with Platinum. We issued 628,264 shares of Series B Preferred and Series B Warrants to purchase 628,264 shares of our common stock. Through December 31, 2015, we received an aggregate of $4,397,800 in cash proceeds from our self-placed private placement and sale of the Series B Preferred Units.</w:t>
      </w:r>
    </w:p>
    <w:p>
      <w:pPr>
        <w:spacing w:after="0" w:line="160"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 xml:space="preserve">We allocated the proceeds from the sale of the Series B Preferred Units to the Series B Preferred and the Seies B Warrants based on their relative fair values on the dates of the sales. As described in Note 7, </w:t>
      </w:r>
      <w:r>
        <w:rPr>
          <w:rFonts w:ascii="Times New Roman" w:cs="Times New Roman" w:eastAsia="Times New Roman" w:hAnsi="Times New Roman"/>
          <w:sz w:val="14"/>
          <w:szCs w:val="14"/>
          <w:i w:val="1"/>
          <w:iCs w:val="1"/>
          <w:color w:val="auto"/>
        </w:rPr>
        <w:t>Convertible Promissory Notes and Other Notes Payable</w:t>
      </w:r>
      <w:r>
        <w:rPr>
          <w:rFonts w:ascii="Times New Roman" w:cs="Times New Roman" w:eastAsia="Times New Roman" w:hAnsi="Times New Roman"/>
          <w:sz w:val="14"/>
          <w:szCs w:val="14"/>
          <w:color w:val="auto"/>
        </w:rPr>
        <w:t>,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$4.12 per share, and its Conversion Price (or stated value) of $7.00 per share represents a deemed dividend to the purchasers of the Series B Preferred Units. Accordingly, we have recognized a deemed dividend in the aggregate amount of $1,811,800 in arriving at net loss attributable to common stockholders in the accompanying Condensed Consolidated Statement of Operations and Comprehensive Loss for the nine months ended December 31, 2015.</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See Note 10,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for disclosure regarding additional sales of Series B Preferred Units after December 31, 2015.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Unit Warrants</w:t>
            </w: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60" w:type="dxa"/>
            <w:vAlign w:val="bottom"/>
            <w:gridSpan w:val="4"/>
          </w:tcPr>
          <w:p>
            <w:pPr>
              <w:jc w:val="center"/>
              <w:ind w:right="150"/>
              <w:spacing w:after="0" w:line="155" w:lineRule="exact"/>
              <w:rPr>
                <w:sz w:val="20"/>
                <w:szCs w:val="20"/>
                <w:color w:val="auto"/>
              </w:rPr>
            </w:pPr>
            <w:r>
              <w:rPr>
                <w:rFonts w:ascii="Times New Roman" w:cs="Times New Roman" w:eastAsia="Times New Roman" w:hAnsi="Times New Roman"/>
                <w:sz w:val="14"/>
                <w:szCs w:val="14"/>
                <w:color w:val="auto"/>
                <w:w w:val="99"/>
              </w:rPr>
              <w:t>Weighted Average Issuance Date</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4"/>
                <w:szCs w:val="14"/>
                <w:color w:val="auto"/>
              </w:rPr>
              <w:t>Valuation Assumptions</w:t>
            </w: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Per Share</w:t>
            </w:r>
          </w:p>
        </w:tc>
        <w:tc>
          <w:tcPr>
            <w:tcW w:w="126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w w:val="99"/>
              </w:rPr>
              <w:t>Aggregate</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Aggregate</w:t>
            </w:r>
          </w:p>
        </w:tc>
        <w:tc>
          <w:tcPr>
            <w:tcW w:w="240" w:type="dxa"/>
            <w:vAlign w:val="bottom"/>
          </w:tcPr>
          <w:p>
            <w:pPr>
              <w:spacing w:after="0"/>
              <w:rPr>
                <w:sz w:val="16"/>
                <w:szCs w:val="16"/>
                <w:color w:val="auto"/>
              </w:rPr>
            </w:pPr>
          </w:p>
        </w:tc>
        <w:tc>
          <w:tcPr>
            <w:tcW w:w="242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Aggregate Allocation of Proceeds</w:t>
            </w:r>
          </w:p>
        </w:tc>
        <w:tc>
          <w:tcPr>
            <w:tcW w:w="0" w:type="dxa"/>
            <w:vAlign w:val="bottom"/>
          </w:tcPr>
          <w:p>
            <w:pPr>
              <w:spacing w:after="0"/>
              <w:rPr>
                <w:sz w:val="1"/>
                <w:szCs w:val="1"/>
                <w:color w:val="auto"/>
              </w:rPr>
            </w:pPr>
          </w:p>
        </w:tc>
      </w:tr>
      <w:tr>
        <w:trPr>
          <w:trHeight w:val="149"/>
        </w:trPr>
        <w:tc>
          <w:tcPr>
            <w:tcW w:w="780" w:type="dxa"/>
            <w:vAlign w:val="bottom"/>
          </w:tcPr>
          <w:p>
            <w:pPr>
              <w:ind w:left="160"/>
              <w:spacing w:after="0" w:line="148" w:lineRule="exact"/>
              <w:rPr>
                <w:sz w:val="20"/>
                <w:szCs w:val="20"/>
                <w:color w:val="auto"/>
              </w:rPr>
            </w:pPr>
            <w:r>
              <w:rPr>
                <w:rFonts w:ascii="Times New Roman" w:cs="Times New Roman" w:eastAsia="Times New Roman" w:hAnsi="Times New Roman"/>
                <w:sz w:val="14"/>
                <w:szCs w:val="14"/>
                <w:color w:val="auto"/>
              </w:rPr>
              <w:t>Warrant</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Risk free</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left="50"/>
              <w:spacing w:after="0" w:line="148" w:lineRule="exact"/>
              <w:rPr>
                <w:sz w:val="20"/>
                <w:szCs w:val="20"/>
                <w:color w:val="auto"/>
              </w:rPr>
            </w:pPr>
            <w:r>
              <w:rPr>
                <w:rFonts w:ascii="Times New Roman" w:cs="Times New Roman" w:eastAsia="Times New Roman" w:hAnsi="Times New Roman"/>
                <w:sz w:val="14"/>
                <w:szCs w:val="14"/>
                <w:color w:val="auto"/>
              </w:rPr>
              <w:t>Fair</w:t>
            </w:r>
          </w:p>
        </w:tc>
        <w:tc>
          <w:tcPr>
            <w:tcW w:w="480" w:type="dxa"/>
            <w:vAlign w:val="bottom"/>
          </w:tcPr>
          <w:p>
            <w:pPr>
              <w:spacing w:after="0"/>
              <w:rPr>
                <w:sz w:val="12"/>
                <w:szCs w:val="12"/>
                <w:color w:val="auto"/>
              </w:rPr>
            </w:pPr>
          </w:p>
        </w:tc>
        <w:tc>
          <w:tcPr>
            <w:tcW w:w="126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color w:val="auto"/>
                <w:w w:val="97"/>
              </w:rPr>
              <w:t>Fair Value</w:t>
            </w:r>
          </w:p>
        </w:tc>
        <w:tc>
          <w:tcPr>
            <w:tcW w:w="12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color w:val="auto"/>
                <w:w w:val="98"/>
              </w:rPr>
              <w:t>Proceeds</w:t>
            </w:r>
          </w:p>
        </w:tc>
        <w:tc>
          <w:tcPr>
            <w:tcW w:w="240" w:type="dxa"/>
            <w:vAlign w:val="bottom"/>
          </w:tcPr>
          <w:p>
            <w:pPr>
              <w:spacing w:after="0"/>
              <w:rPr>
                <w:sz w:val="12"/>
                <w:szCs w:val="12"/>
                <w:color w:val="auto"/>
              </w:rPr>
            </w:pPr>
          </w:p>
        </w:tc>
        <w:tc>
          <w:tcPr>
            <w:tcW w:w="2420" w:type="dxa"/>
            <w:vAlign w:val="bottom"/>
            <w:gridSpan w:val="4"/>
          </w:tcPr>
          <w:p>
            <w:pPr>
              <w:jc w:val="right"/>
              <w:ind w:right="500"/>
              <w:spacing w:after="0" w:line="148" w:lineRule="exact"/>
              <w:rPr>
                <w:sz w:val="20"/>
                <w:szCs w:val="20"/>
                <w:color w:val="auto"/>
              </w:rPr>
            </w:pPr>
            <w:r>
              <w:rPr>
                <w:rFonts w:ascii="Times New Roman" w:cs="Times New Roman" w:eastAsia="Times New Roman" w:hAnsi="Times New Roman"/>
                <w:sz w:val="14"/>
                <w:szCs w:val="14"/>
                <w:color w:val="auto"/>
              </w:rPr>
              <w:t>Based on Relative Fair Value of:</w:t>
            </w:r>
          </w:p>
        </w:tc>
        <w:tc>
          <w:tcPr>
            <w:tcW w:w="0" w:type="dxa"/>
            <w:vAlign w:val="bottom"/>
          </w:tcPr>
          <w:p>
            <w:pPr>
              <w:spacing w:after="0"/>
              <w:rPr>
                <w:sz w:val="1"/>
                <w:szCs w:val="1"/>
                <w:color w:val="auto"/>
              </w:rPr>
            </w:pPr>
          </w:p>
        </w:tc>
      </w:tr>
      <w:tr>
        <w:trPr>
          <w:trHeight w:val="154"/>
        </w:trPr>
        <w:tc>
          <w:tcPr>
            <w:tcW w:w="7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8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Market</w:t>
            </w:r>
          </w:p>
        </w:tc>
        <w:tc>
          <w:tcPr>
            <w:tcW w:w="82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Exercise</w:t>
            </w:r>
          </w:p>
        </w:tc>
        <w:tc>
          <w:tcPr>
            <w:tcW w:w="720" w:type="dxa"/>
            <w:vAlign w:val="bottom"/>
          </w:tcPr>
          <w:p>
            <w:pPr>
              <w:jc w:val="center"/>
              <w:ind w:right="30"/>
              <w:spacing w:after="0" w:line="155" w:lineRule="exact"/>
              <w:rPr>
                <w:sz w:val="20"/>
                <w:szCs w:val="20"/>
                <w:color w:val="auto"/>
              </w:rPr>
            </w:pPr>
            <w:r>
              <w:rPr>
                <w:rFonts w:ascii="Times New Roman" w:cs="Times New Roman" w:eastAsia="Times New Roman" w:hAnsi="Times New Roman"/>
                <w:sz w:val="14"/>
                <w:szCs w:val="14"/>
                <w:color w:val="auto"/>
                <w:w w:val="98"/>
              </w:rPr>
              <w:t>Term</w:t>
            </w:r>
          </w:p>
        </w:tc>
        <w:tc>
          <w:tcPr>
            <w:tcW w:w="6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Interest</w:t>
            </w:r>
          </w:p>
        </w:tc>
        <w:tc>
          <w:tcPr>
            <w:tcW w:w="620" w:type="dxa"/>
            <w:vAlign w:val="bottom"/>
          </w:tcPr>
          <w:p>
            <w:pPr>
              <w:spacing w:after="0"/>
              <w:rPr>
                <w:sz w:val="13"/>
                <w:szCs w:val="13"/>
                <w:color w:val="auto"/>
              </w:rPr>
            </w:pPr>
          </w:p>
        </w:tc>
        <w:tc>
          <w:tcPr>
            <w:tcW w:w="7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color w:val="auto"/>
                <w:w w:val="99"/>
              </w:rPr>
              <w:t>Dividend</w:t>
            </w:r>
          </w:p>
        </w:tc>
        <w:tc>
          <w:tcPr>
            <w:tcW w:w="720" w:type="dxa"/>
            <w:vAlign w:val="bottom"/>
          </w:tcPr>
          <w:p>
            <w:pPr>
              <w:jc w:val="center"/>
              <w:ind w:left="50"/>
              <w:spacing w:after="0" w:line="155" w:lineRule="exact"/>
              <w:rPr>
                <w:sz w:val="20"/>
                <w:szCs w:val="20"/>
                <w:color w:val="auto"/>
              </w:rPr>
            </w:pPr>
            <w:r>
              <w:rPr>
                <w:rFonts w:ascii="Times New Roman" w:cs="Times New Roman" w:eastAsia="Times New Roman" w:hAnsi="Times New Roman"/>
                <w:sz w:val="14"/>
                <w:szCs w:val="14"/>
                <w:color w:val="auto"/>
                <w:w w:val="98"/>
              </w:rPr>
              <w:t>Value of</w:t>
            </w:r>
          </w:p>
        </w:tc>
        <w:tc>
          <w:tcPr>
            <w:tcW w:w="480" w:type="dxa"/>
            <w:vAlign w:val="bottom"/>
          </w:tcPr>
          <w:p>
            <w:pPr>
              <w:spacing w:after="0"/>
              <w:rPr>
                <w:sz w:val="13"/>
                <w:szCs w:val="13"/>
                <w:color w:val="auto"/>
              </w:rPr>
            </w:pPr>
          </w:p>
        </w:tc>
        <w:tc>
          <w:tcPr>
            <w:tcW w:w="126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color w:val="auto"/>
              </w:rPr>
              <w:t>of Unit</w:t>
            </w:r>
          </w:p>
        </w:tc>
        <w:tc>
          <w:tcPr>
            <w:tcW w:w="1080" w:type="dxa"/>
            <w:vAlign w:val="bottom"/>
          </w:tcPr>
          <w:p>
            <w:pPr>
              <w:jc w:val="center"/>
              <w:ind w:right="130"/>
              <w:spacing w:after="0" w:line="155" w:lineRule="exact"/>
              <w:rPr>
                <w:sz w:val="20"/>
                <w:szCs w:val="20"/>
                <w:color w:val="auto"/>
              </w:rPr>
            </w:pPr>
            <w:r>
              <w:rPr>
                <w:rFonts w:ascii="Times New Roman" w:cs="Times New Roman" w:eastAsia="Times New Roman" w:hAnsi="Times New Roman"/>
                <w:sz w:val="14"/>
                <w:szCs w:val="14"/>
                <w:color w:val="auto"/>
                <w:w w:val="99"/>
              </w:rPr>
              <w:t>of Unit</w:t>
            </w: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510"/>
              <w:spacing w:after="0" w:line="155" w:lineRule="exact"/>
              <w:rPr>
                <w:sz w:val="20"/>
                <w:szCs w:val="20"/>
                <w:color w:val="auto"/>
              </w:rPr>
            </w:pPr>
            <w:r>
              <w:rPr>
                <w:rFonts w:ascii="Times New Roman" w:cs="Times New Roman" w:eastAsia="Times New Roman" w:hAnsi="Times New Roman"/>
                <w:sz w:val="14"/>
                <w:szCs w:val="14"/>
                <w:color w:val="auto"/>
              </w:rPr>
              <w:t>Unit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Issued</w:t>
            </w:r>
          </w:p>
        </w:tc>
        <w:tc>
          <w:tcPr>
            <w:tcW w:w="220" w:type="dxa"/>
            <w:vAlign w:val="bottom"/>
          </w:tcPr>
          <w:p>
            <w:pPr>
              <w:spacing w:after="0"/>
              <w:rPr>
                <w:sz w:val="16"/>
                <w:szCs w:val="16"/>
                <w:color w:val="auto"/>
              </w:rPr>
            </w:pPr>
          </w:p>
        </w:tc>
        <w:tc>
          <w:tcPr>
            <w:tcW w:w="58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7"/>
              </w:rPr>
              <w:t>Price</w:t>
            </w:r>
          </w:p>
        </w:tc>
        <w:tc>
          <w:tcPr>
            <w:tcW w:w="200" w:type="dxa"/>
            <w:vAlign w:val="bottom"/>
          </w:tcPr>
          <w:p>
            <w:pPr>
              <w:spacing w:after="0"/>
              <w:rPr>
                <w:sz w:val="16"/>
                <w:szCs w:val="16"/>
                <w:color w:val="auto"/>
              </w:rPr>
            </w:pP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97"/>
              </w:rPr>
              <w:t>Price</w:t>
            </w:r>
          </w:p>
        </w:tc>
        <w:tc>
          <w:tcPr>
            <w:tcW w:w="72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w w:val="95"/>
              </w:rPr>
              <w:t>(Years)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Rate</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96"/>
              </w:rPr>
              <w:t>Volatility</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Rate</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5"/>
              </w:rPr>
              <w:t>Warrant</w:t>
            </w:r>
          </w:p>
        </w:tc>
        <w:tc>
          <w:tcPr>
            <w:tcW w:w="4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7"/>
              </w:rPr>
              <w:t>Warrants</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Sales</w:t>
            </w:r>
          </w:p>
        </w:tc>
        <w:tc>
          <w:tcPr>
            <w:tcW w:w="240" w:type="dxa"/>
            <w:vAlign w:val="bottom"/>
          </w:tcPr>
          <w:p>
            <w:pPr>
              <w:spacing w:after="0"/>
              <w:rPr>
                <w:sz w:val="16"/>
                <w:szCs w:val="16"/>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w w:val="99"/>
              </w:rPr>
              <w:t>Unit Stock</w:t>
            </w:r>
          </w:p>
        </w:tc>
        <w:tc>
          <w:tcPr>
            <w:tcW w:w="280" w:type="dxa"/>
            <w:vAlign w:val="bottom"/>
          </w:tcPr>
          <w:p>
            <w:pPr>
              <w:spacing w:after="0"/>
              <w:rPr>
                <w:sz w:val="16"/>
                <w:szCs w:val="16"/>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Warrant</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628,264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1.65%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77.16%</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7.72</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4,849,100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$ 4,397,800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2,585,900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1,811,900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Registration Statement for Common Stock underlying Series B Preferred and Series B Warrants</w:t>
      </w:r>
    </w:p>
    <w:p>
      <w:pPr>
        <w:spacing w:after="0" w:line="200"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The securities purchase agreements for the Series B Preferred and Series B Preferred Units executed with Platinum, the holders of the Investor Unit Notes, the holders of our promissory notes and other contractual indebtedness converted into shares of Series B Preferred, initial investors in Series B Preferred Units, and certain others to whom we issued Series B Preferred, contained registration rights requiring that a Registration Statement on Form S-1 (</w:t>
      </w:r>
      <w:r>
        <w:rPr>
          <w:rFonts w:ascii="Times New Roman" w:cs="Times New Roman" w:eastAsia="Times New Roman" w:hAnsi="Times New Roman"/>
          <w:sz w:val="14"/>
          <w:szCs w:val="14"/>
          <w:i w:val="1"/>
          <w:iCs w:val="1"/>
          <w:color w:val="auto"/>
        </w:rPr>
        <w:t>Registration Statement</w:t>
      </w:r>
      <w:r>
        <w:rPr>
          <w:rFonts w:ascii="Times New Roman" w:cs="Times New Roman" w:eastAsia="Times New Roman" w:hAnsi="Times New Roman"/>
          <w:sz w:val="14"/>
          <w:szCs w:val="14"/>
          <w:color w:val="auto"/>
        </w:rPr>
        <w:t>) registering, under the Securities Act, certain shares of common stock underlying the Series B Preferred and the Series B Warrants be declared effective on or before August 30, 2015. We filed an initial Registration Statement with the SEC on July 21, 2015, which we amended on August 25, 2015, and which was declared effective by the SEC on August 28, 2015. The Registration Statement registered an aggregate of 3,992,479 shares of our common stock underlying outstanding Series B Preferred and Series B Warrants. Accordingly, we incurred no cash or in kind penalties under the securities purchase agreements.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23" w:name="page24"/>
    <w:bookmarkEnd w:id="23"/>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of Series B Preferred to Common Stock</w:t>
      </w:r>
    </w:p>
    <w:p>
      <w:pPr>
        <w:spacing w:after="0" w:line="200"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Between September 2015 and December 31, 2015, holders of an aggregate of 213,318 shares of Series B Preferred converted such shares into an equivalent number of registered shares of our common stock. Additionally, we issued an aggregate of 5,976 shares of our restricted common stock in payment of $43,500 in accrued dividends on the Series B Preferred converted.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Issuance of Securities to Professional Service Providers</w:t>
      </w:r>
    </w:p>
    <w:p>
      <w:pPr>
        <w:spacing w:after="0" w:line="200" w:lineRule="exact"/>
        <w:rPr>
          <w:sz w:val="20"/>
          <w:szCs w:val="20"/>
          <w:color w:val="auto"/>
        </w:rPr>
      </w:pPr>
    </w:p>
    <w:p>
      <w:pPr>
        <w:jc w:val="both"/>
        <w:ind w:firstLine="507"/>
        <w:spacing w:after="0" w:line="255" w:lineRule="auto"/>
        <w:rPr>
          <w:sz w:val="20"/>
          <w:szCs w:val="20"/>
          <w:color w:val="auto"/>
        </w:rPr>
      </w:pPr>
      <w:r>
        <w:rPr>
          <w:rFonts w:ascii="Times New Roman" w:cs="Times New Roman" w:eastAsia="Times New Roman" w:hAnsi="Times New Roman"/>
          <w:sz w:val="14"/>
          <w:szCs w:val="14"/>
          <w:color w:val="auto"/>
        </w:rPr>
        <w:t>In June 2015, we issued, in a self-placed private placement transaction, an aggregate of 25,000 shares of our Series B Preferred having a fair value of $250,000 as compensation for legal services related to our debt restructuring and other corporate finance matters. Effective on June 30, 2015, we issued, in a self-placed private placement transaction, an aggregate of 90,000 shares of our Series B Preferred having an aggregate value of $1,350,000 as compensation for financial advisory and corporate development service contracts with two independent contractors for services to be performed through June 30, 2016. The value of the Series B Preferred grants was recorded as a prepaid expense in the Condensed Consolidated Balance Sheet at the date of the grant and is being expensed ratably over the twelve months ending June 30, 2016, with $337,500 and $675,000 expensed as a component of general and administrative expense in the three and nine months ended December 31, 2015, respectively. During the quarter ended June 30, 2015, we also issued, in a self-placed private placement transaction, an aggregate of 50,000 shares of our common stock, having an aggregate value of $500,000, as compensation under two corporate development service contracts. The value of the common stock grants was expensed as a component of general and administrative expense in the Condensed Consolidated Statement of Operations and Comprehensive Loss for the quarter ended June 30, 2015. During the quarter ended September 30, 2015, we issued, in a self-placed private placement transaction, an aggregate of 10,000 shares of our Series B Preferred having an aggregate fair value of $120,000 to two providers of intellectual property-related legal services. During the quarter ended December 31, 2015, we issued warrants to purchase an aggregate of 45,000 shares of our unregistered common stock to four parties as compensation under certain investment banking agreements. We valued the warrants granted on the dates indicated using the Black Scholes Option Pricing Model and the following assumptions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11/23/2015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12/11/2015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price per share</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6.75</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 per share</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7.00</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 in years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77.95%</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Dividend rate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41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4.22</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2.12</w:t>
            </w:r>
          </w:p>
        </w:tc>
      </w:tr>
      <w:tr>
        <w:trPr>
          <w:trHeight w:val="16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shares granted</w:t>
            </w:r>
          </w:p>
        </w:tc>
        <w:tc>
          <w:tcPr>
            <w:tcW w:w="4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7,500</w:t>
            </w: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37,500</w:t>
            </w:r>
          </w:p>
        </w:tc>
      </w:tr>
      <w:tr>
        <w:trPr>
          <w:trHeight w:val="18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Expense recognized</w:t>
            </w:r>
          </w:p>
        </w:tc>
        <w:tc>
          <w:tcPr>
            <w:tcW w:w="41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31,700</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79,600</w:t>
            </w:r>
          </w:p>
        </w:tc>
      </w:tr>
    </w:tbl>
    <w:p>
      <w:pPr>
        <w:spacing w:after="0" w:line="161" w:lineRule="exact"/>
        <w:rPr>
          <w:sz w:val="20"/>
          <w:szCs w:val="20"/>
          <w:color w:val="auto"/>
        </w:rPr>
      </w:pPr>
    </w:p>
    <w:p>
      <w:pPr>
        <w:jc w:val="both"/>
        <w:ind w:firstLine="628"/>
        <w:spacing w:after="0" w:line="268" w:lineRule="auto"/>
        <w:rPr>
          <w:sz w:val="20"/>
          <w:szCs w:val="20"/>
          <w:color w:val="auto"/>
        </w:rPr>
      </w:pPr>
      <w:r>
        <w:rPr>
          <w:rFonts w:ascii="Times New Roman" w:cs="Times New Roman" w:eastAsia="Times New Roman" w:hAnsi="Times New Roman"/>
          <w:sz w:val="14"/>
          <w:szCs w:val="14"/>
          <w:color w:val="auto"/>
        </w:rPr>
        <w:t>In connection with the November 2015 warrant grant, we also issued 15,750 shares of unregistered common stock valued at $106,300 and, in connection with the December 11, 2015 warrant grant, we made a cash payment of $20,000. We recognized an aggregate of $237,600 in general and administrative expense during the quarter ended December 31, 2015 attributable to these agreements, of which $20,000 was cash.</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of Warrants</w:t>
      </w:r>
    </w:p>
    <w:p>
      <w:pPr>
        <w:spacing w:after="0" w:line="198" w:lineRule="exact"/>
        <w:rPr>
          <w:sz w:val="20"/>
          <w:szCs w:val="20"/>
          <w:color w:val="auto"/>
        </w:rPr>
      </w:pPr>
    </w:p>
    <w:p>
      <w:pPr>
        <w:jc w:val="both"/>
        <w:ind w:firstLine="507"/>
        <w:spacing w:after="0" w:line="261" w:lineRule="auto"/>
        <w:rPr>
          <w:sz w:val="20"/>
          <w:szCs w:val="20"/>
          <w:color w:val="auto"/>
        </w:rPr>
      </w:pPr>
      <w:r>
        <w:rPr>
          <w:rFonts w:ascii="Times New Roman" w:cs="Times New Roman" w:eastAsia="Times New Roman" w:hAnsi="Times New Roman"/>
          <w:sz w:val="14"/>
          <w:szCs w:val="14"/>
          <w:color w:val="auto"/>
        </w:rPr>
        <w:t xml:space="preserve">In addition to warrants modified in connection with conversions of certain of our outstanding promissory notes into Series B Preferred as described earlier in Note 7, </w:t>
      </w:r>
      <w:r>
        <w:rPr>
          <w:rFonts w:ascii="Times New Roman" w:cs="Times New Roman" w:eastAsia="Times New Roman" w:hAnsi="Times New Roman"/>
          <w:sz w:val="14"/>
          <w:szCs w:val="14"/>
          <w:i w:val="1"/>
          <w:iCs w:val="1"/>
          <w:color w:val="auto"/>
        </w:rPr>
        <w:t>Convertible Promissory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Notes and Other Notes Payable, </w:t>
      </w:r>
      <w:r>
        <w:rPr>
          <w:rFonts w:ascii="Times New Roman" w:cs="Times New Roman" w:eastAsia="Times New Roman" w:hAnsi="Times New Roman"/>
          <w:sz w:val="14"/>
          <w:szCs w:val="14"/>
          <w:color w:val="auto"/>
        </w:rPr>
        <w:t>on June 10, 2015, we modified certain other outstanding warrants to purchase an aggregate of 54,576 shares of our common stock to reduce their exercise price.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calculated the fair value of the modified warrants immediately before and after the modifications and determined that the fair value of the warrants increased by an aggregate of $122,300, which we recognized as a component of general and administrative expense in the Condensed Consolidated Statements of Operations and Comprehensive Loss for the quarter ended June 30, 2015, with a corresponding credit to additional paid-in capital. The warrants subject to the exercise price modifications were valued using the Black-Scholes Option Pricing Model and the following assumptions: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Pre-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Post-</w:t>
            </w:r>
          </w:p>
        </w:tc>
        <w:tc>
          <w:tcPr>
            <w:tcW w:w="0" w:type="dxa"/>
            <w:vAlign w:val="bottom"/>
          </w:tcPr>
          <w:p>
            <w:pPr>
              <w:spacing w:after="0"/>
              <w:rPr>
                <w:sz w:val="1"/>
                <w:szCs w:val="1"/>
                <w:color w:val="auto"/>
              </w:rPr>
            </w:pPr>
          </w:p>
        </w:tc>
      </w:tr>
      <w:tr>
        <w:trPr>
          <w:trHeight w:val="18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modification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modification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price per share</w:t>
            </w:r>
          </w:p>
        </w:tc>
        <w:tc>
          <w:tcPr>
            <w:tcW w:w="4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 per share (weighted average)</w:t>
            </w:r>
          </w:p>
        </w:tc>
        <w:tc>
          <w:tcPr>
            <w:tcW w:w="4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30.23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11.92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 (weighted average)</w:t>
            </w:r>
          </w:p>
        </w:tc>
        <w:tc>
          <w:tcPr>
            <w:tcW w:w="4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0.83%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Remaining contractual term in years (weighted average)</w:t>
            </w: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 (weighted average)</w:t>
            </w:r>
          </w:p>
        </w:tc>
        <w:tc>
          <w:tcPr>
            <w:tcW w:w="4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Dividend rate</w:t>
            </w: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4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Fair Value per share (weighted average)</w:t>
            </w:r>
          </w:p>
        </w:tc>
        <w:tc>
          <w:tcPr>
            <w:tcW w:w="4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1.55</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3.79</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280" w:type="dxa"/>
            <w:vAlign w:val="bottom"/>
          </w:tcPr>
          <w:p>
            <w:pPr>
              <w:jc w:val="right"/>
              <w:ind w:right="275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380" w:type="dxa"/>
            <w:vAlign w:val="bottom"/>
            <w:tcBorders>
              <w:bottom w:val="single" w:sz="8" w:color="808080"/>
            </w:tcBorders>
          </w:tcPr>
          <w:p>
            <w:pPr>
              <w:spacing w:after="0"/>
              <w:rPr>
                <w:sz w:val="7"/>
                <w:szCs w:val="7"/>
                <w:color w:val="auto"/>
              </w:rPr>
            </w:pPr>
          </w:p>
        </w:tc>
        <w:tc>
          <w:tcPr>
            <w:tcW w:w="42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7269480</wp:posOffset>
            </wp:positionH>
            <wp:positionV relativeFrom="paragraph">
              <wp:posOffset>-12700</wp:posOffset>
            </wp:positionV>
            <wp:extent cx="1270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1270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24" w:name="page25"/>
    <w:bookmarkEnd w:id="24"/>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 Grants and Modifications</w:t>
      </w:r>
    </w:p>
    <w:p>
      <w:pPr>
        <w:spacing w:after="0" w:line="198" w:lineRule="exact"/>
        <w:rPr>
          <w:sz w:val="20"/>
          <w:szCs w:val="20"/>
          <w:color w:val="auto"/>
        </w:rPr>
      </w:pPr>
    </w:p>
    <w:p>
      <w:pPr>
        <w:jc w:val="both"/>
        <w:ind w:firstLine="507"/>
        <w:spacing w:after="0" w:line="261" w:lineRule="auto"/>
        <w:rPr>
          <w:sz w:val="20"/>
          <w:szCs w:val="20"/>
          <w:color w:val="auto"/>
        </w:rPr>
      </w:pPr>
      <w:r>
        <w:rPr>
          <w:rFonts w:ascii="Times New Roman" w:cs="Times New Roman" w:eastAsia="Times New Roman" w:hAnsi="Times New Roman"/>
          <w:sz w:val="14"/>
          <w:szCs w:val="14"/>
          <w:color w:val="auto"/>
        </w:rPr>
        <w:t>On September 2, 2015, when the market price of our common stock was $9.11 per share, our Board of Directors (</w:t>
      </w:r>
      <w:r>
        <w:rPr>
          <w:rFonts w:ascii="Times New Roman" w:cs="Times New Roman" w:eastAsia="Times New Roman" w:hAnsi="Times New Roman"/>
          <w:sz w:val="14"/>
          <w:szCs w:val="14"/>
          <w:i w:val="1"/>
          <w:iCs w:val="1"/>
          <w:color w:val="auto"/>
        </w:rPr>
        <w:t>Board</w:t>
      </w:r>
      <w:r>
        <w:rPr>
          <w:rFonts w:ascii="Times New Roman" w:cs="Times New Roman" w:eastAsia="Times New Roman" w:hAnsi="Times New Roman"/>
          <w:sz w:val="14"/>
          <w:szCs w:val="14"/>
          <w:color w:val="auto"/>
        </w:rPr>
        <w:t xml:space="preserve">) authorized the grant of fully-vested five-year warrants to purchase an aggregate of 650,000 restricted shares of our common stock at an exercise price of $9.25 per share, including an aggregate of 600,000 of such shares to company officers and independent members of the Board. We valued the new warrant grants at $5.68 per share, or an aggregate of $3,692,900, using the Black Scholes Option Pricing Model and the assumptions indicated in Note 2, </w:t>
      </w:r>
      <w:r>
        <w:rPr>
          <w:rFonts w:ascii="Times New Roman" w:cs="Times New Roman" w:eastAsia="Times New Roman" w:hAnsi="Times New Roman"/>
          <w:sz w:val="14"/>
          <w:szCs w:val="14"/>
          <w:i w:val="1"/>
          <w:iCs w:val="1"/>
          <w:color w:val="auto"/>
        </w:rPr>
        <w:t>Summary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Significant Accounting Policies. </w:t>
      </w:r>
      <w:r>
        <w:rPr>
          <w:rFonts w:ascii="Times New Roman" w:cs="Times New Roman" w:eastAsia="Times New Roman" w:hAnsi="Times New Roman"/>
          <w:sz w:val="14"/>
          <w:szCs w:val="14"/>
          <w:color w:val="auto"/>
        </w:rPr>
        <w:t>We recognized non-cash research and development and general and administrative stock compensation expense in the amounts of $852,200 and $2,840,700, respectively,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attributable to the warrant grants in the quarter ended September 30, 2015, which amounts are reflected in the accompanying Condensed Consolidated Statement of Operations and Comprehensive Loss.</w:t>
      </w:r>
    </w:p>
    <w:p>
      <w:pPr>
        <w:spacing w:after="0" w:line="162"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On November 11, 2015, when the market price of our common stock was $6.50 per share, our Board authorized the modification of outstanding warrants to purchase an aggregate of 1,123,533 shares of our common stock, including warrants to purchase an aggregate of 600,000 shares granted in September 2015, as described above, previously granted to company officers, independent members of the Board and a key scientific advisor to reduce the exercise prices thereof to $7.00 per share and to extend through March 19, 2019 the expiration date of such warrants to purchase an aggregate of 10,803 shares of our unregistered common stock otherwise scheduled to expire during calendar 2016. We calculated the fair value of the modified warrants immediately before and after the modifications and determined that the fair value of the warrants increased by an aggregate of $492,600. We recognized $357,500 of such increase as a component of general and administrative expense in the Condensed Consolidated Statements of Operations and Comprehensive Loss for the quarter ended December 31, 2015, and the remaining $135,100 as a component of research and development expense in the same period. The warrants subject to the exercise price modifications were valued using the Black-Scholes Option Pricing Model and the following assumptions: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Pre-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Post-</w:t>
            </w:r>
          </w:p>
        </w:tc>
        <w:tc>
          <w:tcPr>
            <w:tcW w:w="0" w:type="dxa"/>
            <w:vAlign w:val="bottom"/>
          </w:tcPr>
          <w:p>
            <w:pPr>
              <w:spacing w:after="0"/>
              <w:rPr>
                <w:sz w:val="1"/>
                <w:szCs w:val="1"/>
                <w:color w:val="auto"/>
              </w:rPr>
            </w:pPr>
          </w:p>
        </w:tc>
      </w:tr>
      <w:tr>
        <w:trPr>
          <w:trHeight w:val="186"/>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modification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modification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price per share</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 per share (weighted average)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9.97</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 (weighted average)</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4"/>
                <w:szCs w:val="14"/>
                <w:color w:val="auto"/>
              </w:rPr>
              <w:t>Remaining contractual term in years (weighted 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 (weighted average)</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4"/>
                <w:szCs w:val="14"/>
                <w:color w:val="auto"/>
              </w:rPr>
              <w:t>Dividend rate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Fair Value per share (weighted average)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3.65</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4.08</w:t>
            </w:r>
          </w:p>
        </w:tc>
        <w:tc>
          <w:tcPr>
            <w:tcW w:w="0" w:type="dxa"/>
            <w:vAlign w:val="bottom"/>
          </w:tcPr>
          <w:p>
            <w:pPr>
              <w:spacing w:after="0"/>
              <w:rPr>
                <w:sz w:val="1"/>
                <w:szCs w:val="1"/>
                <w:color w:val="auto"/>
              </w:rPr>
            </w:pPr>
          </w:p>
        </w:tc>
      </w:tr>
      <w:tr>
        <w:trPr>
          <w:trHeight w:val="342"/>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Warrants Outstanding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Following the Series B Warrant issuances and other warrant grants and modifications described above, at December 31, 2015, we had outstanding warrants to purchase shares of our unregistered common stock at a weighted average exercise price of $7.81 per share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Shares Subject</w:t>
            </w: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3160" w:type="dxa"/>
            <w:vAlign w:val="bottom"/>
            <w:gridSpan w:val="2"/>
          </w:tcPr>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to Purchase at</w:t>
            </w: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3160" w:type="dxa"/>
            <w:vAlign w:val="bottom"/>
            <w:gridSpan w:val="2"/>
          </w:tcPr>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3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540" w:type="dxa"/>
            <w:vAlign w:val="bottom"/>
          </w:tcPr>
          <w:p>
            <w:pPr>
              <w:spacing w:after="0"/>
              <w:rPr>
                <w:sz w:val="14"/>
                <w:szCs w:val="14"/>
                <w:color w:val="auto"/>
              </w:rPr>
            </w:pPr>
          </w:p>
        </w:tc>
        <w:tc>
          <w:tcPr>
            <w:tcW w:w="21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3160" w:type="dxa"/>
            <w:vAlign w:val="bottom"/>
            <w:gridSpan w:val="2"/>
          </w:tcPr>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3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180" w:type="dxa"/>
            <w:vAlign w:val="bottom"/>
            <w:gridSpan w:val="2"/>
          </w:tcPr>
          <w:p>
            <w:pPr>
              <w:jc w:val="center"/>
              <w:ind w:left="470"/>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Times New Roman" w:cs="Times New Roman" w:eastAsia="Times New Roman" w:hAnsi="Times New Roman"/>
                <w:sz w:val="14"/>
                <w:szCs w:val="14"/>
                <w:color w:val="auto"/>
              </w:rPr>
              <w:t>7.00</w:t>
            </w:r>
          </w:p>
        </w:tc>
        <w:tc>
          <w:tcPr>
            <w:tcW w:w="330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9/30/2017 to 3/3/2023</w:t>
            </w:r>
          </w:p>
        </w:tc>
        <w:tc>
          <w:tcPr>
            <w:tcW w:w="27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4,169,645</w:t>
            </w:r>
          </w:p>
        </w:tc>
        <w:tc>
          <w:tcPr>
            <w:tcW w:w="0" w:type="dxa"/>
            <w:vAlign w:val="bottom"/>
          </w:tcPr>
          <w:p>
            <w:pPr>
              <w:spacing w:after="0"/>
              <w:rPr>
                <w:sz w:val="1"/>
                <w:szCs w:val="1"/>
                <w:color w:val="auto"/>
              </w:rPr>
            </w:pPr>
          </w:p>
        </w:tc>
      </w:tr>
      <w:tr>
        <w:trPr>
          <w:trHeight w:val="169"/>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160" w:type="dxa"/>
            <w:vAlign w:val="bottom"/>
            <w:gridSpan w:val="2"/>
          </w:tcPr>
          <w:p>
            <w:pPr>
              <w:jc w:val="right"/>
              <w:ind w:right="1800"/>
              <w:spacing w:after="0"/>
              <w:rPr>
                <w:sz w:val="20"/>
                <w:szCs w:val="20"/>
                <w:color w:val="auto"/>
              </w:rPr>
            </w:pPr>
            <w:r>
              <w:rPr>
                <w:rFonts w:ascii="Times New Roman" w:cs="Times New Roman" w:eastAsia="Times New Roman" w:hAnsi="Times New Roman"/>
                <w:sz w:val="14"/>
                <w:szCs w:val="14"/>
                <w:color w:val="auto"/>
              </w:rPr>
              <w:t>9.25</w:t>
            </w:r>
          </w:p>
        </w:tc>
        <w:tc>
          <w:tcPr>
            <w:tcW w:w="4940" w:type="dxa"/>
            <w:vAlign w:val="bottom"/>
            <w:gridSpan w:val="2"/>
          </w:tcPr>
          <w:p>
            <w:pPr>
              <w:jc w:val="center"/>
              <w:ind w:left="3210"/>
              <w:spacing w:after="0"/>
              <w:rPr>
                <w:sz w:val="20"/>
                <w:szCs w:val="20"/>
                <w:color w:val="auto"/>
              </w:rPr>
            </w:pPr>
            <w:r>
              <w:rPr>
                <w:rFonts w:ascii="Times New Roman" w:cs="Times New Roman" w:eastAsia="Times New Roman" w:hAnsi="Times New Roman"/>
                <w:sz w:val="14"/>
                <w:szCs w:val="14"/>
                <w:color w:val="auto"/>
              </w:rPr>
              <w:t>9/2/2020</w:t>
            </w:r>
          </w:p>
        </w:tc>
        <w:tc>
          <w:tcPr>
            <w:tcW w:w="27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69"/>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Times New Roman" w:cs="Times New Roman" w:eastAsia="Times New Roman" w:hAnsi="Times New Roman"/>
                <w:sz w:val="14"/>
                <w:szCs w:val="14"/>
                <w:color w:val="auto"/>
              </w:rPr>
              <w:t>10.00</w:t>
            </w:r>
          </w:p>
        </w:tc>
        <w:tc>
          <w:tcPr>
            <w:tcW w:w="330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1/31/2016 to 1/11/2020</w:t>
            </w:r>
          </w:p>
        </w:tc>
        <w:tc>
          <w:tcPr>
            <w:tcW w:w="27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554,915</w:t>
            </w:r>
          </w:p>
        </w:tc>
        <w:tc>
          <w:tcPr>
            <w:tcW w:w="0" w:type="dxa"/>
            <w:vAlign w:val="bottom"/>
          </w:tcPr>
          <w:p>
            <w:pPr>
              <w:spacing w:after="0"/>
              <w:rPr>
                <w:sz w:val="1"/>
                <w:szCs w:val="1"/>
                <w:color w:val="auto"/>
              </w:rPr>
            </w:pPr>
          </w:p>
        </w:tc>
      </w:tr>
      <w:tr>
        <w:trPr>
          <w:trHeight w:val="169"/>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160" w:type="dxa"/>
            <w:vAlign w:val="bottom"/>
            <w:gridSpan w:val="2"/>
          </w:tcPr>
          <w:p>
            <w:pPr>
              <w:jc w:val="right"/>
              <w:ind w:right="1800"/>
              <w:spacing w:after="0"/>
              <w:rPr>
                <w:sz w:val="20"/>
                <w:szCs w:val="20"/>
                <w:color w:val="auto"/>
              </w:rPr>
            </w:pPr>
            <w:r>
              <w:rPr>
                <w:rFonts w:ascii="Times New Roman" w:cs="Times New Roman" w:eastAsia="Times New Roman" w:hAnsi="Times New Roman"/>
                <w:sz w:val="14"/>
                <w:szCs w:val="14"/>
                <w:color w:val="auto"/>
              </w:rPr>
              <w:t>15.00</w:t>
            </w:r>
          </w:p>
        </w:tc>
        <w:tc>
          <w:tcPr>
            <w:tcW w:w="33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2/14/2018 to 3/4/2018</w:t>
            </w:r>
          </w:p>
        </w:tc>
        <w:tc>
          <w:tcPr>
            <w:tcW w:w="27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75,389</w:t>
            </w:r>
          </w:p>
        </w:tc>
        <w:tc>
          <w:tcPr>
            <w:tcW w:w="0" w:type="dxa"/>
            <w:vAlign w:val="bottom"/>
          </w:tcPr>
          <w:p>
            <w:pPr>
              <w:spacing w:after="0"/>
              <w:rPr>
                <w:sz w:val="1"/>
                <w:szCs w:val="1"/>
                <w:color w:val="auto"/>
              </w:rPr>
            </w:pPr>
          </w:p>
        </w:tc>
      </w:tr>
      <w:tr>
        <w:trPr>
          <w:trHeight w:val="169"/>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Times New Roman" w:cs="Times New Roman" w:eastAsia="Times New Roman" w:hAnsi="Times New Roman"/>
                <w:sz w:val="14"/>
                <w:szCs w:val="14"/>
                <w:color w:val="auto"/>
              </w:rPr>
              <w:t>20.00</w:t>
            </w:r>
          </w:p>
        </w:tc>
        <w:tc>
          <w:tcPr>
            <w:tcW w:w="330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7/30/2016 to 9/15/2019</w:t>
            </w:r>
          </w:p>
        </w:tc>
        <w:tc>
          <w:tcPr>
            <w:tcW w:w="27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115,448</w:t>
            </w:r>
          </w:p>
        </w:tc>
        <w:tc>
          <w:tcPr>
            <w:tcW w:w="0" w:type="dxa"/>
            <w:vAlign w:val="bottom"/>
          </w:tcPr>
          <w:p>
            <w:pPr>
              <w:spacing w:after="0"/>
              <w:rPr>
                <w:sz w:val="1"/>
                <w:szCs w:val="1"/>
                <w:color w:val="auto"/>
              </w:rPr>
            </w:pPr>
          </w:p>
        </w:tc>
      </w:tr>
      <w:tr>
        <w:trPr>
          <w:trHeight w:val="169"/>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160" w:type="dxa"/>
            <w:vAlign w:val="bottom"/>
            <w:gridSpan w:val="2"/>
          </w:tcPr>
          <w:p>
            <w:pPr>
              <w:jc w:val="right"/>
              <w:ind w:right="1800"/>
              <w:spacing w:after="0"/>
              <w:rPr>
                <w:sz w:val="20"/>
                <w:szCs w:val="20"/>
                <w:color w:val="auto"/>
              </w:rPr>
            </w:pPr>
            <w:r>
              <w:rPr>
                <w:rFonts w:ascii="Times New Roman" w:cs="Times New Roman" w:eastAsia="Times New Roman" w:hAnsi="Times New Roman"/>
                <w:sz w:val="14"/>
                <w:szCs w:val="14"/>
                <w:color w:val="auto"/>
              </w:rPr>
              <w:t>30.00</w:t>
            </w:r>
          </w:p>
        </w:tc>
        <w:tc>
          <w:tcPr>
            <w:tcW w:w="33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2/13/2016 to 11/20/2017</w:t>
            </w:r>
          </w:p>
        </w:tc>
        <w:tc>
          <w:tcPr>
            <w:tcW w:w="27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6,100</w:t>
            </w:r>
          </w:p>
        </w:tc>
        <w:tc>
          <w:tcPr>
            <w:tcW w:w="0" w:type="dxa"/>
            <w:vAlign w:val="bottom"/>
          </w:tcPr>
          <w:p>
            <w:pPr>
              <w:spacing w:after="0"/>
              <w:rPr>
                <w:sz w:val="1"/>
                <w:szCs w:val="1"/>
                <w:color w:val="auto"/>
              </w:rPr>
            </w:pPr>
          </w:p>
        </w:tc>
      </w:tr>
      <w:tr>
        <w:trPr>
          <w:trHeight w:val="170"/>
        </w:trPr>
        <w:tc>
          <w:tcPr>
            <w:tcW w:w="64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33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7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4,971,497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300" w:type="dxa"/>
            <w:vAlign w:val="bottom"/>
            <w:vMerge w:val="restart"/>
          </w:tcPr>
          <w:p>
            <w:pPr>
              <w:jc w:val="right"/>
              <w:ind w:right="1170"/>
              <w:spacing w:after="0"/>
              <w:rPr>
                <w:sz w:val="20"/>
                <w:szCs w:val="20"/>
                <w:color w:val="auto"/>
              </w:rPr>
            </w:pPr>
            <w:r>
              <w:rPr>
                <w:rFonts w:ascii="Times New Roman" w:cs="Times New Roman" w:eastAsia="Times New Roman" w:hAnsi="Times New Roman"/>
                <w:sz w:val="14"/>
                <w:szCs w:val="14"/>
                <w:color w:val="auto"/>
              </w:rPr>
              <w:t>-22-</w:t>
            </w: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64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3300" w:type="dxa"/>
            <w:vAlign w:val="bottom"/>
            <w:tcBorders>
              <w:bottom w:val="single" w:sz="8" w:color="808080"/>
            </w:tcBorders>
          </w:tcPr>
          <w:p>
            <w:pPr>
              <w:spacing w:after="0"/>
              <w:rPr>
                <w:sz w:val="7"/>
                <w:szCs w:val="7"/>
                <w:color w:val="auto"/>
              </w:rPr>
            </w:pPr>
          </w:p>
        </w:tc>
        <w:tc>
          <w:tcPr>
            <w:tcW w:w="16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6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7269480</wp:posOffset>
            </wp:positionH>
            <wp:positionV relativeFrom="paragraph">
              <wp:posOffset>-12700</wp:posOffset>
            </wp:positionV>
            <wp:extent cx="1270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1270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25" w:name="page26"/>
    <w:bookmarkEnd w:id="25"/>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Related Party Transactions</w:t>
      </w:r>
    </w:p>
    <w:p>
      <w:pPr>
        <w:spacing w:after="0" w:line="198" w:lineRule="exact"/>
        <w:rPr>
          <w:sz w:val="20"/>
          <w:szCs w:val="20"/>
          <w:color w:val="auto"/>
        </w:rPr>
      </w:pPr>
    </w:p>
    <w:p>
      <w:pPr>
        <w:jc w:val="both"/>
        <w:ind w:firstLine="507"/>
        <w:spacing w:after="0" w:line="261" w:lineRule="auto"/>
        <w:rPr>
          <w:sz w:val="20"/>
          <w:szCs w:val="20"/>
          <w:color w:val="auto"/>
        </w:rPr>
      </w:pPr>
      <w:r>
        <w:rPr>
          <w:rFonts w:ascii="Times New Roman" w:cs="Times New Roman" w:eastAsia="Times New Roman" w:hAnsi="Times New Roman"/>
          <w:sz w:val="14"/>
          <w:szCs w:val="14"/>
          <w:color w:val="auto"/>
        </w:rPr>
        <w:t>Cato Holding Company, doing business as Cato BioVentures (</w:t>
      </w:r>
      <w:r>
        <w:rPr>
          <w:rFonts w:ascii="Times New Roman" w:cs="Times New Roman" w:eastAsia="Times New Roman" w:hAnsi="Times New Roman"/>
          <w:sz w:val="14"/>
          <w:szCs w:val="14"/>
          <w:i w:val="1"/>
          <w:iCs w:val="1"/>
          <w:color w:val="auto"/>
        </w:rPr>
        <w:t>CBV</w:t>
      </w:r>
      <w:r>
        <w:rPr>
          <w:rFonts w:ascii="Times New Roman" w:cs="Times New Roman" w:eastAsia="Times New Roman" w:hAnsi="Times New Roman"/>
          <w:sz w:val="14"/>
          <w:szCs w:val="14"/>
          <w:color w:val="auto"/>
        </w:rPr>
        <w:t>), the parent of Cato Research Ltd. (</w:t>
      </w:r>
      <w:r>
        <w:rPr>
          <w:rFonts w:ascii="Times New Roman" w:cs="Times New Roman" w:eastAsia="Times New Roman" w:hAnsi="Times New Roman"/>
          <w:sz w:val="14"/>
          <w:szCs w:val="14"/>
          <w:i w:val="1"/>
          <w:iCs w:val="1"/>
          <w:color w:val="auto"/>
        </w:rPr>
        <w:t>CRL</w:t>
      </w:r>
      <w:r>
        <w:rPr>
          <w:rFonts w:ascii="Times New Roman" w:cs="Times New Roman" w:eastAsia="Times New Roman" w:hAnsi="Times New Roman"/>
          <w:sz w:val="14"/>
          <w:szCs w:val="14"/>
          <w:color w:val="auto"/>
        </w:rPr>
        <w:t>), is one the largest institutional holders of our common stock at December 31, 2015. In October 2012, we issued a 7.5% promissory note (</w:t>
      </w:r>
      <w:r>
        <w:rPr>
          <w:rFonts w:ascii="Times New Roman" w:cs="Times New Roman" w:eastAsia="Times New Roman" w:hAnsi="Times New Roman"/>
          <w:sz w:val="14"/>
          <w:szCs w:val="14"/>
          <w:i w:val="1"/>
          <w:iCs w:val="1"/>
          <w:color w:val="auto"/>
        </w:rPr>
        <w:t>CHC Note</w:t>
      </w:r>
      <w:r>
        <w:rPr>
          <w:rFonts w:ascii="Times New Roman" w:cs="Times New Roman" w:eastAsia="Times New Roman" w:hAnsi="Times New Roman"/>
          <w:sz w:val="14"/>
          <w:szCs w:val="14"/>
          <w:color w:val="auto"/>
        </w:rPr>
        <w:t>) and a warrant (</w:t>
      </w:r>
      <w:r>
        <w:rPr>
          <w:rFonts w:ascii="Times New Roman" w:cs="Times New Roman" w:eastAsia="Times New Roman" w:hAnsi="Times New Roman"/>
          <w:sz w:val="14"/>
          <w:szCs w:val="14"/>
          <w:i w:val="1"/>
          <w:iCs w:val="1"/>
          <w:color w:val="auto"/>
        </w:rPr>
        <w:t>CHC Warrant</w:t>
      </w:r>
      <w:r>
        <w:rPr>
          <w:rFonts w:ascii="Times New Roman" w:cs="Times New Roman" w:eastAsia="Times New Roman" w:hAnsi="Times New Roman"/>
          <w:sz w:val="14"/>
          <w:szCs w:val="14"/>
          <w:color w:val="auto"/>
        </w:rPr>
        <w:t xml:space="preserve">) to CHC in settlement of prior indebtedness. As disclosed in Note 7, </w:t>
      </w:r>
      <w:r>
        <w:rPr>
          <w:rFonts w:ascii="Times New Roman" w:cs="Times New Roman" w:eastAsia="Times New Roman" w:hAnsi="Times New Roman"/>
          <w:sz w:val="14"/>
          <w:szCs w:val="14"/>
          <w:i w:val="1"/>
          <w:iCs w:val="1"/>
          <w:color w:val="auto"/>
        </w:rPr>
        <w:t>Convertible Promissory Notes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Other Notes Payable</w:t>
      </w:r>
      <w:r>
        <w:rPr>
          <w:rFonts w:ascii="Times New Roman" w:cs="Times New Roman" w:eastAsia="Times New Roman" w:hAnsi="Times New Roman"/>
          <w:sz w:val="14"/>
          <w:szCs w:val="14"/>
          <w:color w:val="auto"/>
        </w:rPr>
        <w:t>, during June 2015, the outstanding balance of the CHC Note was converted into shares of our Series B Preferred and we reduced the exercise price of the CHC Warrant from $30.00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 share to $7.00 per share. Total interest expense, including amortization of note discount, on the CHC Note was $0 and $7,400 for the quarters ended December 31, 2015 and 2014, respectively, and $4,700 and $22,500 in the nine month periods ended December 31, 2015 and 2014, respectively.</w:t>
      </w:r>
    </w:p>
    <w:p>
      <w:pPr>
        <w:spacing w:after="0" w:line="160" w:lineRule="exact"/>
        <w:rPr>
          <w:sz w:val="20"/>
          <w:szCs w:val="20"/>
          <w:color w:val="auto"/>
        </w:rPr>
      </w:pPr>
    </w:p>
    <w:p>
      <w:pPr>
        <w:jc w:val="both"/>
        <w:ind w:firstLine="507"/>
        <w:spacing w:after="0" w:line="264" w:lineRule="auto"/>
        <w:rPr>
          <w:sz w:val="20"/>
          <w:szCs w:val="20"/>
          <w:color w:val="auto"/>
        </w:rPr>
      </w:pPr>
      <w:r>
        <w:rPr>
          <w:rFonts w:ascii="Times New Roman" w:cs="Times New Roman" w:eastAsia="Times New Roman" w:hAnsi="Times New Roman"/>
          <w:sz w:val="14"/>
          <w:szCs w:val="14"/>
          <w:color w:val="auto"/>
        </w:rPr>
        <w:t>During fiscal year 2007, we entered into a master contract research, development and regulatory service arrangement with CRL, a contract research organization (</w:t>
      </w:r>
      <w:r>
        <w:rPr>
          <w:rFonts w:ascii="Times New Roman" w:cs="Times New Roman" w:eastAsia="Times New Roman" w:hAnsi="Times New Roman"/>
          <w:sz w:val="14"/>
          <w:szCs w:val="14"/>
          <w:i w:val="1"/>
          <w:iCs w:val="1"/>
          <w:color w:val="auto"/>
        </w:rPr>
        <w:t>CRO</w:t>
      </w:r>
      <w:r>
        <w:rPr>
          <w:rFonts w:ascii="Times New Roman" w:cs="Times New Roman" w:eastAsia="Times New Roman" w:hAnsi="Times New Roman"/>
          <w:sz w:val="14"/>
          <w:szCs w:val="14"/>
          <w:color w:val="auto"/>
        </w:rPr>
        <w:t>), related to the development of AV-101, our orally available small molecule prodrug candidate now in Phase 2 clinical development for Major Depressive Disorder, and subsequent other projects under which we incurred expenses of $19,400 and $7,500 for the quarters ended December 31, 2015 and 2014, respectively, and $41,500 and $22,500 in the nine month periods ended December 31, 2015 and 2014, respectively.</w:t>
      </w:r>
    </w:p>
    <w:p>
      <w:pPr>
        <w:spacing w:after="0" w:line="158" w:lineRule="exact"/>
        <w:rPr>
          <w:sz w:val="20"/>
          <w:szCs w:val="20"/>
          <w:color w:val="auto"/>
        </w:rPr>
      </w:pPr>
    </w:p>
    <w:p>
      <w:pPr>
        <w:jc w:val="both"/>
        <w:ind w:firstLine="507"/>
        <w:spacing w:after="0" w:line="259" w:lineRule="auto"/>
        <w:rPr>
          <w:sz w:val="20"/>
          <w:szCs w:val="20"/>
          <w:color w:val="auto"/>
        </w:rPr>
      </w:pPr>
      <w:r>
        <w:rPr>
          <w:rFonts w:ascii="Times New Roman" w:cs="Times New Roman" w:eastAsia="Times New Roman" w:hAnsi="Times New Roman"/>
          <w:sz w:val="14"/>
          <w:szCs w:val="14"/>
          <w:color w:val="auto"/>
        </w:rPr>
        <w:t>In October 2012, we issued to CRL (i) a 7.5% promissory note (</w:t>
      </w:r>
      <w:r>
        <w:rPr>
          <w:rFonts w:ascii="Times New Roman" w:cs="Times New Roman" w:eastAsia="Times New Roman" w:hAnsi="Times New Roman"/>
          <w:sz w:val="14"/>
          <w:szCs w:val="14"/>
          <w:i w:val="1"/>
          <w:iCs w:val="1"/>
          <w:color w:val="auto"/>
        </w:rPr>
        <w:t>CRL Note</w:t>
      </w:r>
      <w:r>
        <w:rPr>
          <w:rFonts w:ascii="Times New Roman" w:cs="Times New Roman" w:eastAsia="Times New Roman" w:hAnsi="Times New Roman"/>
          <w:sz w:val="14"/>
          <w:szCs w:val="14"/>
          <w:color w:val="auto"/>
        </w:rPr>
        <w:t>) as payment in full for all contract research, development and regulatory services and advice (</w:t>
      </w:r>
      <w:r>
        <w:rPr>
          <w:rFonts w:ascii="Times New Roman" w:cs="Times New Roman" w:eastAsia="Times New Roman" w:hAnsi="Times New Roman"/>
          <w:sz w:val="14"/>
          <w:szCs w:val="14"/>
          <w:i w:val="1"/>
          <w:iCs w:val="1"/>
          <w:color w:val="auto"/>
        </w:rPr>
        <w:t>CRO Services</w:t>
      </w:r>
      <w:r>
        <w:rPr>
          <w:rFonts w:ascii="Times New Roman" w:cs="Times New Roman" w:eastAsia="Times New Roman" w:hAnsi="Times New Roman"/>
          <w:sz w:val="14"/>
          <w:szCs w:val="14"/>
          <w:color w:val="auto"/>
        </w:rPr>
        <w:t>) rendered by CRL to us through December 31, 2012 with respect to certain AV-101 preclinical and clinical development and regulatory activities, and (ii) a warrant (</w:t>
      </w:r>
      <w:r>
        <w:rPr>
          <w:rFonts w:ascii="Times New Roman" w:cs="Times New Roman" w:eastAsia="Times New Roman" w:hAnsi="Times New Roman"/>
          <w:sz w:val="14"/>
          <w:szCs w:val="14"/>
          <w:i w:val="1"/>
          <w:iCs w:val="1"/>
          <w:color w:val="auto"/>
        </w:rPr>
        <w:t>CRL Warrant</w:t>
      </w:r>
      <w:r>
        <w:rPr>
          <w:rFonts w:ascii="Times New Roman" w:cs="Times New Roman" w:eastAsia="Times New Roman" w:hAnsi="Times New Roman"/>
          <w:sz w:val="14"/>
          <w:szCs w:val="14"/>
          <w:color w:val="auto"/>
        </w:rPr>
        <w:t xml:space="preserve">). As disclosed in Note 7, </w:t>
      </w:r>
      <w:r>
        <w:rPr>
          <w:rFonts w:ascii="Times New Roman" w:cs="Times New Roman" w:eastAsia="Times New Roman" w:hAnsi="Times New Roman"/>
          <w:sz w:val="14"/>
          <w:szCs w:val="14"/>
          <w:i w:val="1"/>
          <w:iCs w:val="1"/>
          <w:color w:val="auto"/>
        </w:rPr>
        <w:t>Convertible Promissory Notes and Other Notes Payable</w:t>
      </w:r>
      <w:r>
        <w:rPr>
          <w:rFonts w:ascii="Times New Roman" w:cs="Times New Roman" w:eastAsia="Times New Roman" w:hAnsi="Times New Roman"/>
          <w:sz w:val="14"/>
          <w:szCs w:val="14"/>
          <w:color w:val="auto"/>
        </w:rPr>
        <w:t>, during June 2015, the entire outstanding balance of the CRL Note and all other outstanding amounts owed to CRL for CRO services were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converted into shares of our Series B Preferred and we reduced the exercise price of the CRL Warrant from $20.00 per share to $7.00 per share. Total interest expense, including amortization of the note discount, on the CRL Note was $0 and $36,300 for the quarters ended December 31, 2015 and 2014, respectively, and $23,500 and $109,900 for the nine month periods ended December 31, 2015 and 2014,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Subsequent Events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Series B Preferred Unit Offering</w:t>
      </w:r>
    </w:p>
    <w:p>
      <w:pPr>
        <w:spacing w:after="0" w:line="200"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Between January 1, 2016 and February 12, 2016, in self-placed private placement transactions, we sold to accredited investors Series B Preferred Units consisting of (i) an aggregate of 18,286 shares of our Series B Preferred and (ii) Series B Warrants to purchase an aggregate of 18,286 shares of our common stock at an exercise price of $7.00 per share. We received cash proceeds of $128,000 from these sales of Series B Preferred Units.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of Series B Preferred into Common Stock</w:t>
      </w:r>
    </w:p>
    <w:p>
      <w:pPr>
        <w:spacing w:after="0" w:line="200"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Between January 1, 2016 and February 12, 2016, holders of an aggregate of 13,500 shares of Series B Preferred converted such shares into an equivalent number of registered shares of our common stock. Additionally, we issued an aggregate of 716 shares of our restricted common stock in payment of $6,200 in accrued dividends on the Series B Preferred converted.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Creation of Series C Convertible Preferred Stock</w:t>
      </w:r>
    </w:p>
    <w:p>
      <w:pPr>
        <w:spacing w:after="0" w:line="200"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On January 13, 2016, our Board authorized the creation of, and effective January 25, 2016, we filed a Certificate of Designation of the Relative Rights and Preferences of the Series C Convertible Preferred Stock of VistaGen Therapeutics, Inc. (the “</w:t>
      </w:r>
      <w:r>
        <w:rPr>
          <w:rFonts w:ascii="Times New Roman" w:cs="Times New Roman" w:eastAsia="Times New Roman" w:hAnsi="Times New Roman"/>
          <w:sz w:val="14"/>
          <w:szCs w:val="14"/>
          <w:i w:val="1"/>
          <w:iCs w:val="1"/>
          <w:color w:val="auto"/>
        </w:rPr>
        <w:t>Certificate of Designation</w:t>
      </w:r>
      <w:r>
        <w:rPr>
          <w:rFonts w:ascii="Times New Roman" w:cs="Times New Roman" w:eastAsia="Times New Roman" w:hAnsi="Times New Roman"/>
          <w:sz w:val="14"/>
          <w:szCs w:val="14"/>
          <w:color w:val="auto"/>
        </w:rPr>
        <w:t>”) with the Nevada Secretary of State to designate, 3.0 million shares of our preferred stock, par value $0.001 per share, as Series C Convertible Preferred Stock (“</w:t>
      </w:r>
      <w:r>
        <w:rPr>
          <w:rFonts w:ascii="Times New Roman" w:cs="Times New Roman" w:eastAsia="Times New Roman" w:hAnsi="Times New Roman"/>
          <w:sz w:val="14"/>
          <w:szCs w:val="14"/>
          <w:i w:val="1"/>
          <w:iCs w:val="1"/>
          <w:color w:val="auto"/>
        </w:rPr>
        <w:t>Series C Preferred</w:t>
      </w:r>
      <w:r>
        <w:rPr>
          <w:rFonts w:ascii="Times New Roman" w:cs="Times New Roman" w:eastAsia="Times New Roman" w:hAnsi="Times New Roman"/>
          <w:sz w:val="14"/>
          <w:szCs w:val="14"/>
          <w:color w:val="auto"/>
        </w:rPr>
        <w:t>”). Upon liquidation, each share of Series C Preferred ranks pari-passu with our Series B Preferred and our Series A Convertible Preferred Stock (“</w:t>
      </w:r>
      <w:r>
        <w:rPr>
          <w:rFonts w:ascii="Times New Roman" w:cs="Times New Roman" w:eastAsia="Times New Roman" w:hAnsi="Times New Roman"/>
          <w:sz w:val="14"/>
          <w:szCs w:val="14"/>
          <w:i w:val="1"/>
          <w:iCs w:val="1"/>
          <w:color w:val="auto"/>
        </w:rPr>
        <w:t>Series A Preferred</w:t>
      </w:r>
      <w:r>
        <w:rPr>
          <w:rFonts w:ascii="Times New Roman" w:cs="Times New Roman" w:eastAsia="Times New Roman" w:hAnsi="Times New Roman"/>
          <w:sz w:val="14"/>
          <w:szCs w:val="14"/>
          <w:color w:val="auto"/>
        </w:rPr>
        <w:t>”), and is convertible, at the option of the holder into one share of our common stock, subject to certain beneficial ownership limitations as set forth in the Certificate of Designation. Shares of the Series C Preferred do not accrue dividends, and holders of the Series C Preferred have no voting rights. Each share of Series C Preferred is convertible into one (1) share of our common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 Exchanges</w:t>
      </w:r>
    </w:p>
    <w:p>
      <w:pPr>
        <w:spacing w:after="0" w:line="198"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On January 25, 2016, we entered into an Exchange Agreement (the “</w:t>
      </w:r>
      <w:r>
        <w:rPr>
          <w:rFonts w:ascii="Times New Roman" w:cs="Times New Roman" w:eastAsia="Times New Roman" w:hAnsi="Times New Roman"/>
          <w:sz w:val="14"/>
          <w:szCs w:val="14"/>
          <w:i w:val="1"/>
          <w:iCs w:val="1"/>
          <w:color w:val="auto"/>
        </w:rPr>
        <w:t>Exchange Agreement</w:t>
      </w:r>
      <w:r>
        <w:rPr>
          <w:rFonts w:ascii="Times New Roman" w:cs="Times New Roman" w:eastAsia="Times New Roman" w:hAnsi="Times New Roman"/>
          <w:sz w:val="14"/>
          <w:szCs w:val="14"/>
          <w:color w:val="auto"/>
        </w:rPr>
        <w:t>”) with Platinum and Montsant Partners, LLC, an organization affiliated with Platinum (“</w:t>
      </w:r>
      <w:r>
        <w:rPr>
          <w:rFonts w:ascii="Times New Roman" w:cs="Times New Roman" w:eastAsia="Times New Roman" w:hAnsi="Times New Roman"/>
          <w:sz w:val="14"/>
          <w:szCs w:val="14"/>
          <w:i w:val="1"/>
          <w:iCs w:val="1"/>
          <w:color w:val="auto"/>
        </w:rPr>
        <w:t>Montsant</w:t>
      </w:r>
      <w:r>
        <w:rPr>
          <w:rFonts w:ascii="Times New Roman" w:cs="Times New Roman" w:eastAsia="Times New Roman" w:hAnsi="Times New Roman"/>
          <w:sz w:val="14"/>
          <w:szCs w:val="14"/>
          <w:color w:val="auto"/>
        </w:rPr>
        <w:t>” and, together with Platinum, the “</w:t>
      </w:r>
      <w:r>
        <w:rPr>
          <w:rFonts w:ascii="Times New Roman" w:cs="Times New Roman" w:eastAsia="Times New Roman" w:hAnsi="Times New Roman"/>
          <w:sz w:val="14"/>
          <w:szCs w:val="14"/>
          <w:i w:val="1"/>
          <w:iCs w:val="1"/>
          <w:color w:val="auto"/>
        </w:rPr>
        <w:t>Holders</w:t>
      </w:r>
      <w:r>
        <w:rPr>
          <w:rFonts w:ascii="Times New Roman" w:cs="Times New Roman" w:eastAsia="Times New Roman" w:hAnsi="Times New Roman"/>
          <w:sz w:val="14"/>
          <w:szCs w:val="14"/>
          <w:color w:val="auto"/>
        </w:rPr>
        <w:t>”), pursuant to which (i) 200,000 shares of our common stock held by the Holders were exchanged for 200,000 shares of Series C Preferred; (ii) the Holders canceled 2,368,658 warrants previously issued to them by the Company (the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 in exchange for a total of 1,776,494 shares of Series C Preferred. In addition, Platinum terminated its right under the Note Exchange and Purchase Agreement, originally dated October 11, 2012 (the “</w:t>
      </w:r>
      <w:r>
        <w:rPr>
          <w:rFonts w:ascii="Times New Roman" w:cs="Times New Roman" w:eastAsia="Times New Roman" w:hAnsi="Times New Roman"/>
          <w:sz w:val="14"/>
          <w:szCs w:val="14"/>
          <w:i w:val="1"/>
          <w:iCs w:val="1"/>
          <w:color w:val="auto"/>
        </w:rPr>
        <w:t>NEPA</w:t>
      </w:r>
      <w:r>
        <w:rPr>
          <w:rFonts w:ascii="Times New Roman" w:cs="Times New Roman" w:eastAsia="Times New Roman" w:hAnsi="Times New Roman"/>
          <w:sz w:val="14"/>
          <w:szCs w:val="14"/>
          <w:color w:val="auto"/>
        </w:rPr>
        <w:t>”), as amended, to receive warrants (“</w:t>
      </w:r>
      <w:r>
        <w:rPr>
          <w:rFonts w:ascii="Times New Roman" w:cs="Times New Roman" w:eastAsia="Times New Roman" w:hAnsi="Times New Roman"/>
          <w:sz w:val="14"/>
          <w:szCs w:val="14"/>
          <w:i w:val="1"/>
          <w:iCs w:val="1"/>
          <w:color w:val="auto"/>
        </w:rPr>
        <w:t>Series A Warrants</w:t>
      </w:r>
      <w:r>
        <w:rPr>
          <w:rFonts w:ascii="Times New Roman" w:cs="Times New Roman" w:eastAsia="Times New Roman" w:hAnsi="Times New Roman"/>
          <w:sz w:val="14"/>
          <w:szCs w:val="14"/>
          <w:color w:val="auto"/>
        </w:rPr>
        <w:t>”) to purchase a total of 455,358 shares of our common stock upon conversion of all of its shares of our Series A Preferred, and, as consideration, we issued to Platinum 341,518 shares of Series C Preferred. Upon execution of the Exchange Agreement and the termination of Platinum’s right to receive Series A Warrants under the NEPA, we issued Series A Warrants to purchase a total of 80,357 shares of our common stock to the holder of shares of Series A Preferred previously held, but subsequently assigned, by Platinum.</w:t>
      </w:r>
    </w:p>
    <w:p>
      <w:pPr>
        <w:spacing w:after="0" w:line="168"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Between January 29, 2016 and February 12, 2016, we entered into Warrant Exchange Agreements with certain holders of outstanding warrants to purchase an aggregate of 824,887 shares of our common stock pursuant to which the holders agreed to the cancellation of such warrants in exchange for our issuance to them of an aggregate of 618,685 shares of our unregistered common stock. At February 12, 2016, we had warrants outstanding to purchase 1,874,595 shares of our common stock.</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26" w:name="page27"/>
    <w:bookmarkEnd w:id="26"/>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This Quarterly Report on Form 10-Q includes forward-looking statements. All statements contained in this Quarterly Report on Form 10-Q includes forward-looking statements. All statements contained in this Quarterly Report on Form 10-Q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our Annual Report on Form 10-K for the year ended March 31, 2015 and in our other filings with the SEC.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Quarterly Report on Form 10-Q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200"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We are a clinical-stage biopharmaceutical company committed to developing and commercializing innovative product candidates for patients with diseases and disorders involving the central nervous system (</w:t>
      </w:r>
      <w:r>
        <w:rPr>
          <w:rFonts w:ascii="Times New Roman" w:cs="Times New Roman" w:eastAsia="Times New Roman" w:hAnsi="Times New Roman"/>
          <w:sz w:val="14"/>
          <w:szCs w:val="14"/>
          <w:i w:val="1"/>
          <w:iCs w:val="1"/>
          <w:color w:val="auto"/>
        </w:rPr>
        <w:t>CNS</w:t>
      </w:r>
      <w:r>
        <w:rPr>
          <w:rFonts w:ascii="Times New Roman" w:cs="Times New Roman" w:eastAsia="Times New Roman" w:hAnsi="Times New Roman"/>
          <w:sz w:val="14"/>
          <w:szCs w:val="14"/>
          <w:color w:val="auto"/>
        </w:rPr>
        <w:t>) and cancer. Our lead new drug candidate, AV-101, is a new generation, orally available prodrug candidate in Phase 2A development, initially for the adjunctive treatment of Major Depressive Disorder (</w:t>
      </w:r>
      <w:r>
        <w:rPr>
          <w:rFonts w:ascii="Times New Roman" w:cs="Times New Roman" w:eastAsia="Times New Roman" w:hAnsi="Times New Roman"/>
          <w:sz w:val="14"/>
          <w:szCs w:val="14"/>
          <w:i w:val="1"/>
          <w:iCs w:val="1"/>
          <w:color w:val="auto"/>
        </w:rPr>
        <w:t>MDD</w:t>
      </w:r>
      <w:r>
        <w:rPr>
          <w:rFonts w:ascii="Times New Roman" w:cs="Times New Roman" w:eastAsia="Times New Roman" w:hAnsi="Times New Roman"/>
          <w:sz w:val="14"/>
          <w:szCs w:val="14"/>
          <w:color w:val="auto"/>
        </w:rPr>
        <w:t>) in patients with an inadequate response to standard antidepressants. AV-101’s novel mechanism of action, as an N-methyl D aspartate receptor (</w:t>
      </w:r>
      <w:r>
        <w:rPr>
          <w:rFonts w:ascii="Times New Roman" w:cs="Times New Roman" w:eastAsia="Times New Roman" w:hAnsi="Times New Roman"/>
          <w:sz w:val="14"/>
          <w:szCs w:val="14"/>
          <w:i w:val="1"/>
          <w:iCs w:val="1"/>
          <w:color w:val="auto"/>
        </w:rPr>
        <w:t>NMDAR</w:t>
      </w:r>
      <w:r>
        <w:rPr>
          <w:rFonts w:ascii="Times New Roman" w:cs="Times New Roman" w:eastAsia="Times New Roman" w:hAnsi="Times New Roman"/>
          <w:sz w:val="14"/>
          <w:szCs w:val="14"/>
          <w:color w:val="auto"/>
        </w:rPr>
        <w:t>) antagonist binding selectively at the glycine binding (</w:t>
      </w:r>
      <w:r>
        <w:rPr>
          <w:rFonts w:ascii="Times New Roman" w:cs="Times New Roman" w:eastAsia="Times New Roman" w:hAnsi="Times New Roman"/>
          <w:sz w:val="14"/>
          <w:szCs w:val="14"/>
          <w:i w:val="1"/>
          <w:iCs w:val="1"/>
          <w:color w:val="auto"/>
        </w:rPr>
        <w:t>GlyB</w:t>
      </w:r>
      <w:r>
        <w:rPr>
          <w:rFonts w:ascii="Times New Roman" w:cs="Times New Roman" w:eastAsia="Times New Roman" w:hAnsi="Times New Roman"/>
          <w:sz w:val="14"/>
          <w:szCs w:val="14"/>
          <w:color w:val="auto"/>
        </w:rPr>
        <w:t>) co-agonist site of the NMDAR, is fundamentally differentiated from all antidepressants currently approved by the U.S. Food and Drug Administration (</w:t>
      </w:r>
      <w:r>
        <w:rPr>
          <w:rFonts w:ascii="Times New Roman" w:cs="Times New Roman" w:eastAsia="Times New Roman" w:hAnsi="Times New Roman"/>
          <w:sz w:val="14"/>
          <w:szCs w:val="14"/>
          <w:i w:val="1"/>
          <w:iCs w:val="1"/>
          <w:color w:val="auto"/>
        </w:rPr>
        <w:t>FDA</w:t>
      </w:r>
      <w:r>
        <w:rPr>
          <w:rFonts w:ascii="Times New Roman" w:cs="Times New Roman" w:eastAsia="Times New Roman" w:hAnsi="Times New Roman"/>
          <w:sz w:val="14"/>
          <w:szCs w:val="14"/>
          <w:color w:val="auto"/>
        </w:rPr>
        <w:t>). A Phase 2A clinical study of AV-101 in subjects with treatment-resistant MDD is being conducted and funded by the National Institutes of Mental Health (</w:t>
      </w:r>
      <w:r>
        <w:rPr>
          <w:rFonts w:ascii="Times New Roman" w:cs="Times New Roman" w:eastAsia="Times New Roman" w:hAnsi="Times New Roman"/>
          <w:sz w:val="14"/>
          <w:szCs w:val="14"/>
          <w:i w:val="1"/>
          <w:iCs w:val="1"/>
          <w:color w:val="auto"/>
        </w:rPr>
        <w:t>NIMH</w:t>
      </w:r>
      <w:r>
        <w:rPr>
          <w:rFonts w:ascii="Times New Roman" w:cs="Times New Roman" w:eastAsia="Times New Roman" w:hAnsi="Times New Roman"/>
          <w:sz w:val="14"/>
          <w:szCs w:val="14"/>
          <w:color w:val="auto"/>
        </w:rPr>
        <w:t>) under a Cooperative Research and Development Agreement (</w:t>
      </w:r>
      <w:r>
        <w:rPr>
          <w:rFonts w:ascii="Times New Roman" w:cs="Times New Roman" w:eastAsia="Times New Roman" w:hAnsi="Times New Roman"/>
          <w:sz w:val="14"/>
          <w:szCs w:val="14"/>
          <w:i w:val="1"/>
          <w:iCs w:val="1"/>
          <w:color w:val="auto"/>
        </w:rPr>
        <w:t>CRADA</w:t>
      </w:r>
      <w:r>
        <w:rPr>
          <w:rFonts w:ascii="Times New Roman" w:cs="Times New Roman" w:eastAsia="Times New Roman" w:hAnsi="Times New Roman"/>
          <w:sz w:val="14"/>
          <w:szCs w:val="14"/>
          <w:color w:val="auto"/>
        </w:rPr>
        <w:t>). The Principal Investigator of this NIMH-funded Phase 2A study, which was initiated in October 2015, is Dr. Carlos Zarate, Jr., Chief of the NIMH’s Experimental Therapeutics &amp; Pathophysiology Branch and its Section on Neurobiology and Treatment of Mood and Anxiety Disorders. Dr. Zarate is an internationally recognized expert in the field of depression and was among the first clinical researchers in the world to discover the therapeutic potential of the NMDAR antagonist ketamine in treatment-resistant MDD.</w:t>
      </w:r>
    </w:p>
    <w:p>
      <w:pPr>
        <w:spacing w:after="0" w:line="168"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We also believe AV-101 has therapeutic potential in multiple additional CNS indications, including neuropathic pain and epilepsy, and in neurodegenerative diseases such as Parkinson’s disease and Huntington’s disease.</w:t>
      </w:r>
    </w:p>
    <w:p>
      <w:pPr>
        <w:spacing w:after="0" w:line="144" w:lineRule="exact"/>
        <w:rPr>
          <w:sz w:val="20"/>
          <w:szCs w:val="20"/>
          <w:color w:val="auto"/>
        </w:rPr>
      </w:pPr>
    </w:p>
    <w:p>
      <w:pPr>
        <w:jc w:val="both"/>
        <w:ind w:firstLine="673"/>
        <w:spacing w:after="0" w:line="264" w:lineRule="auto"/>
        <w:rPr>
          <w:sz w:val="20"/>
          <w:szCs w:val="20"/>
          <w:color w:val="auto"/>
        </w:rPr>
      </w:pPr>
      <w:r>
        <w:rPr>
          <w:rFonts w:ascii="Times New Roman" w:cs="Times New Roman" w:eastAsia="Times New Roman" w:hAnsi="Times New Roman"/>
          <w:sz w:val="14"/>
          <w:szCs w:val="14"/>
          <w:color w:val="auto"/>
        </w:rPr>
        <w:t>We are applying our proprietary, human pluripotent stem cell (</w:t>
      </w:r>
      <w:r>
        <w:rPr>
          <w:rFonts w:ascii="Times New Roman" w:cs="Times New Roman" w:eastAsia="Times New Roman" w:hAnsi="Times New Roman"/>
          <w:sz w:val="14"/>
          <w:szCs w:val="14"/>
          <w:i w:val="1"/>
          <w:iCs w:val="1"/>
          <w:color w:val="auto"/>
        </w:rPr>
        <w:t>hPSC</w:t>
      </w:r>
      <w:r>
        <w:rPr>
          <w:rFonts w:ascii="Times New Roman" w:cs="Times New Roman" w:eastAsia="Times New Roman" w:hAnsi="Times New Roman"/>
          <w:sz w:val="14"/>
          <w:szCs w:val="14"/>
          <w:color w:val="auto"/>
        </w:rPr>
        <w:t>) technology for drug rescue to develop proprietary new chemical entities (</w:t>
      </w:r>
      <w:r>
        <w:rPr>
          <w:rFonts w:ascii="Times New Roman" w:cs="Times New Roman" w:eastAsia="Times New Roman" w:hAnsi="Times New Roman"/>
          <w:sz w:val="14"/>
          <w:szCs w:val="14"/>
          <w:i w:val="1"/>
          <w:iCs w:val="1"/>
          <w:color w:val="auto"/>
        </w:rPr>
        <w:t>NCEs</w:t>
      </w:r>
      <w:r>
        <w:rPr>
          <w:rFonts w:ascii="Times New Roman" w:cs="Times New Roman" w:eastAsia="Times New Roman" w:hAnsi="Times New Roman"/>
          <w:sz w:val="14"/>
          <w:szCs w:val="14"/>
          <w:color w:val="auto"/>
        </w:rPr>
        <w:t>) for our internal drug candidate pipeline. Initial drug rescue programs are focused on NCEs for the treatment of cancer. We are also considering potential therapeutic and commercial applications of our stem cell technology platform for regenerative medicine (</w:t>
      </w:r>
      <w:r>
        <w:rPr>
          <w:rFonts w:ascii="Times New Roman" w:cs="Times New Roman" w:eastAsia="Times New Roman" w:hAnsi="Times New Roman"/>
          <w:sz w:val="14"/>
          <w:szCs w:val="14"/>
          <w:i w:val="1"/>
          <w:iCs w:val="1"/>
          <w:color w:val="auto"/>
        </w:rPr>
        <w:t>RM</w:t>
      </w:r>
      <w:r>
        <w:rPr>
          <w:rFonts w:ascii="Times New Roman" w:cs="Times New Roman" w:eastAsia="Times New Roman" w:hAnsi="Times New Roman"/>
          <w:sz w:val="14"/>
          <w:szCs w:val="14"/>
          <w:color w:val="auto"/>
        </w:rPr>
        <w:t>), including, through strategic collaborations, nonclinical and clinical proof of concept studies focused on RM using blood, cartilage, heart and liver cells derived from our hPSC technology platform.</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27" w:name="page28"/>
    <w:bookmarkEnd w:id="27"/>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AV-101 and Major Depressive Disorder</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Background</w:t>
      </w:r>
    </w:p>
    <w:p>
      <w:pPr>
        <w:spacing w:after="0" w:line="198" w:lineRule="exact"/>
        <w:rPr>
          <w:sz w:val="20"/>
          <w:szCs w:val="20"/>
          <w:color w:val="auto"/>
        </w:rPr>
      </w:pPr>
    </w:p>
    <w:p>
      <w:pPr>
        <w:jc w:val="both"/>
        <w:ind w:firstLine="507"/>
        <w:spacing w:after="0" w:line="270" w:lineRule="auto"/>
        <w:rPr>
          <w:sz w:val="20"/>
          <w:szCs w:val="20"/>
          <w:color w:val="auto"/>
        </w:rPr>
      </w:pPr>
      <w:r>
        <w:rPr>
          <w:rFonts w:ascii="Times New Roman" w:cs="Times New Roman" w:eastAsia="Times New Roman" w:hAnsi="Times New Roman"/>
          <w:sz w:val="14"/>
          <w:szCs w:val="14"/>
          <w:color w:val="auto"/>
        </w:rPr>
        <w:t>The World Health Organization estimates that 350 million people worldwide are affected by depression. According to the U.S. National Institutes of Health (</w:t>
      </w:r>
      <w:r>
        <w:rPr>
          <w:rFonts w:ascii="Times New Roman" w:cs="Times New Roman" w:eastAsia="Times New Roman" w:hAnsi="Times New Roman"/>
          <w:sz w:val="14"/>
          <w:szCs w:val="14"/>
          <w:i w:val="1"/>
          <w:iCs w:val="1"/>
          <w:color w:val="auto"/>
        </w:rPr>
        <w:t>NIH</w:t>
      </w:r>
      <w:r>
        <w:rPr>
          <w:rFonts w:ascii="Times New Roman" w:cs="Times New Roman" w:eastAsia="Times New Roman" w:hAnsi="Times New Roman"/>
          <w:sz w:val="14"/>
          <w:szCs w:val="14"/>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Times New Roman" w:cs="Times New Roman" w:eastAsia="Times New Roman" w:hAnsi="Times New Roman"/>
          <w:sz w:val="14"/>
          <w:szCs w:val="14"/>
          <w:i w:val="1"/>
          <w:iCs w:val="1"/>
          <w:color w:val="auto"/>
        </w:rPr>
        <w:t>CDC</w:t>
      </w:r>
      <w:r>
        <w:rPr>
          <w:rFonts w:ascii="Times New Roman" w:cs="Times New Roman" w:eastAsia="Times New Roman" w:hAnsi="Times New Roman"/>
          <w:sz w:val="14"/>
          <w:szCs w:val="14"/>
          <w:color w:val="auto"/>
        </w:rPr>
        <w:t>), one in 10 Americans takes an antidepressant medication.</w:t>
      </w:r>
    </w:p>
    <w:p>
      <w:pPr>
        <w:spacing w:after="0" w:line="154" w:lineRule="exact"/>
        <w:rPr>
          <w:sz w:val="20"/>
          <w:szCs w:val="20"/>
          <w:color w:val="auto"/>
        </w:rPr>
      </w:pPr>
    </w:p>
    <w:p>
      <w:pPr>
        <w:jc w:val="both"/>
        <w:ind w:firstLine="507"/>
        <w:spacing w:after="0" w:line="261" w:lineRule="auto"/>
        <w:rPr>
          <w:sz w:val="20"/>
          <w:szCs w:val="20"/>
          <w:color w:val="auto"/>
        </w:rPr>
      </w:pPr>
      <w:r>
        <w:rPr>
          <w:rFonts w:ascii="Times New Roman" w:cs="Times New Roman" w:eastAsia="Times New Roman" w:hAnsi="Times New Roman"/>
          <w:sz w:val="14"/>
          <w:szCs w:val="14"/>
          <w:color w:val="auto"/>
        </w:rPr>
        <w:t>Unfortunately, millions of depression sufferers (more than 30%) do not benefit from initial treatment with standard antidepressants, generally a selective serotonin reuptake inhibitor (</w:t>
      </w:r>
      <w:r>
        <w:rPr>
          <w:rFonts w:ascii="Times New Roman" w:cs="Times New Roman" w:eastAsia="Times New Roman" w:hAnsi="Times New Roman"/>
          <w:sz w:val="14"/>
          <w:szCs w:val="14"/>
          <w:i w:val="1"/>
          <w:iCs w:val="1"/>
          <w:color w:val="auto"/>
        </w:rPr>
        <w:t>SSRI</w:t>
      </w:r>
      <w:r>
        <w:rPr>
          <w:rFonts w:ascii="Times New Roman" w:cs="Times New Roman" w:eastAsia="Times New Roman" w:hAnsi="Times New Roman"/>
          <w:sz w:val="14"/>
          <w:szCs w:val="14"/>
          <w:color w:val="auto"/>
        </w:rPr>
        <w:t>) or a serotonin-norepinephrine reuptake inhibitor (</w:t>
      </w:r>
      <w:r>
        <w:rPr>
          <w:rFonts w:ascii="Times New Roman" w:cs="Times New Roman" w:eastAsia="Times New Roman" w:hAnsi="Times New Roman"/>
          <w:sz w:val="14"/>
          <w:szCs w:val="14"/>
          <w:i w:val="1"/>
          <w:iCs w:val="1"/>
          <w:color w:val="auto"/>
        </w:rPr>
        <w:t>SNRI</w:t>
      </w:r>
      <w:r>
        <w:rPr>
          <w:rFonts w:ascii="Times New Roman" w:cs="Times New Roman" w:eastAsia="Times New Roman" w:hAnsi="Times New Roman"/>
          <w:sz w:val="14"/>
          <w:szCs w:val="14"/>
          <w:color w:val="auto"/>
        </w:rPr>
        <w:t>). Moreover, even when they do relieve depressive symptoms and induce remission of a major depressive episode, SSRIs and SNRIs take many weeks to achieve therapeutic benefits because of their mechanism of action. During the weeks to months before onset of antidepressant effects, side effects of SSRIs and SNRIs, including anxiety, metabolic syndrome, sleep disturbance, sexual dysfunction and suicidal thoughts and behaviors, may be considerable. Unfortunately, even after treatment with as many as four different standard antidepressants, millions of patients (more than 30% of drug-treated patients) do not achieve an adequate therapeutic response to their standard antidepressant therapies.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AV-101</w:t>
      </w:r>
    </w:p>
    <w:p>
      <w:pPr>
        <w:spacing w:after="0" w:line="179"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 xml:space="preserve">AV-101, our orally available prodrug candidate, is in Phase 2 clinical development, initially for the adjunctive treatment of MDD patients with an inadequate response to standard antidepressant therapies. As published in the October 2015 issue of the peer-reviewed, </w:t>
      </w:r>
      <w:r>
        <w:rPr>
          <w:rFonts w:ascii="Times New Roman" w:cs="Times New Roman" w:eastAsia="Times New Roman" w:hAnsi="Times New Roman"/>
          <w:sz w:val="14"/>
          <w:szCs w:val="14"/>
          <w:i w:val="1"/>
          <w:iCs w:val="1"/>
          <w:color w:val="auto"/>
        </w:rPr>
        <w:t>Journal of Pharmacology and Experimental Therapeutics,</w:t>
      </w:r>
      <w:r>
        <w:rPr>
          <w:rFonts w:ascii="Times New Roman" w:cs="Times New Roman" w:eastAsia="Times New Roman" w:hAnsi="Times New Roman"/>
          <w:sz w:val="14"/>
          <w:szCs w:val="14"/>
          <w:color w:val="auto"/>
        </w:rPr>
        <w:t xml:space="preserve"> in an article entitled, </w:t>
      </w:r>
      <w:r>
        <w:rPr>
          <w:rFonts w:ascii="Times New Roman" w:cs="Times New Roman" w:eastAsia="Times New Roman" w:hAnsi="Times New Roman"/>
          <w:sz w:val="14"/>
          <w:szCs w:val="14"/>
          <w:i w:val="1"/>
          <w:iCs w:val="1"/>
          <w:color w:val="auto"/>
        </w:rPr>
        <w:t xml:space="preserve">The prodrug 4-chlorokynurenine causes ketamine-like antidepressant effects, but not side effects, by NMDA/glycineB-site inhibition, </w:t>
      </w:r>
      <w:r>
        <w:rPr>
          <w:rFonts w:ascii="Times New Roman" w:cs="Times New Roman" w:eastAsia="Times New Roman" w:hAnsi="Times New Roman"/>
          <w:sz w:val="14"/>
          <w:szCs w:val="14"/>
          <w:color w:val="auto"/>
        </w:rPr>
        <w:t>in well-established preclinical models of depression, AV-101 was shown to induce fast-acting, dose-dependent,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persistent and statistically significant antidepressant-like responses, following a single treatment, which responses were equivalent to responses seen with a control single sub-anesthetic dose of the NMDAR antagonist ketamine, an FDA-approved anesthetic administered intravenously by clinicians in a medical setting to treat MDD patients who have not responded adequately to standard antidepressant therapies). In the same preclinical studies, the SSRI fluoxetine did not induce rapid onset antidepressant-like responses.</w:t>
      </w:r>
    </w:p>
    <w:p>
      <w:pPr>
        <w:spacing w:after="0" w:line="166"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Following two successful randomized, double-blind, placebo-controlled Phase 1A and Phase 1B safety studies funded by the NIH, we are now collaborating with the NIMH on a Phase 2A efficacy and safety study of AV-101 in subjects with treatment-resistant MDD. This NIMH-funded Phase 2A study began in late-2015, and is expected to enroll from 24 to 28 patients. As noted above, Dr. Carlos Zarate, Jr.of the NIMH is the Principal Investigator of the study.</w:t>
      </w:r>
    </w:p>
    <w:p>
      <w:pPr>
        <w:spacing w:after="0" w:line="158"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have therapeutic benefit.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NCE Drug Rescue and Regenerative Medicine</w:t>
      </w:r>
    </w:p>
    <w:p>
      <w:pPr>
        <w:spacing w:after="0" w:line="198" w:lineRule="exact"/>
        <w:rPr>
          <w:sz w:val="20"/>
          <w:szCs w:val="20"/>
          <w:color w:val="auto"/>
        </w:rPr>
      </w:pPr>
    </w:p>
    <w:p>
      <w:pPr>
        <w:jc w:val="both"/>
        <w:ind w:firstLine="507"/>
        <w:spacing w:after="0" w:line="264" w:lineRule="auto"/>
        <w:rPr>
          <w:sz w:val="20"/>
          <w:szCs w:val="20"/>
          <w:color w:val="auto"/>
        </w:rPr>
      </w:pPr>
      <w:r>
        <w:rPr>
          <w:rFonts w:ascii="Times New Roman" w:cs="Times New Roman" w:eastAsia="Times New Roman" w:hAnsi="Times New Roman"/>
          <w:sz w:val="14"/>
          <w:szCs w:val="14"/>
          <w:color w:val="auto"/>
        </w:rPr>
        <w:t xml:space="preserve">Our drug rescue programs involve using </w:t>
      </w:r>
      <w:r>
        <w:rPr>
          <w:rFonts w:ascii="Times New Roman" w:cs="Times New Roman" w:eastAsia="Times New Roman" w:hAnsi="Times New Roman"/>
          <w:sz w:val="14"/>
          <w:szCs w:val="14"/>
          <w:i w:val="1"/>
          <w:iCs w:val="1"/>
          <w:color w:val="auto"/>
        </w:rPr>
        <w:t>CardioSafe</w:t>
      </w:r>
      <w:r>
        <w:rPr>
          <w:rFonts w:ascii="Times New Roman" w:cs="Times New Roman" w:eastAsia="Times New Roman" w:hAnsi="Times New Roman"/>
          <w:sz w:val="14"/>
          <w:szCs w:val="14"/>
          <w:color w:val="auto"/>
        </w:rPr>
        <w:t xml:space="preserve"> 3D(TM)</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our customized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bioassay system, to predict potential human heart toxicity of NCEs, long before they are ever tested in animal and human studies. We are are focused on leveraging our stem cell technology platform to recapture value from substantial prior investments by pharmaceutical companies and others related to screening large-scale compound libraries, optimizing and testing for efficacy NCEs that were terminated before FDA approval due to heart toxicity risks and are now available in the public domain and amenable to drug rescue.</w:t>
      </w:r>
    </w:p>
    <w:p>
      <w:pPr>
        <w:spacing w:after="0" w:line="160"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Our current interests in the regenerative medicine arena include collaborative nonclinical proof of concept studies with academic research partners to explore potential regenerative medicine applications involving hPSC-derived blood, bone, cartilage, heart, and liver cells.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Operations Overview and Results of Operations</w:t>
      </w:r>
    </w:p>
    <w:p>
      <w:pPr>
        <w:spacing w:after="0" w:line="200"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Our critical accounting policies and estimates and recent accounting pronouncements are disclosed in our Annual Report on Form 10-K for the fiscal year ended March 31, 2015, as filed with the SEC on June 29, 2015, and in Note 3 to the accompanying unaudited Condensed Consolidated Financial Statements included in Part 1, Item 1 of this Quarterly Report on Form 10-Q.</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28" w:name="page29"/>
    <w:bookmarkEnd w:id="28"/>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Loss</w:t>
      </w:r>
    </w:p>
    <w:p>
      <w:pPr>
        <w:spacing w:after="0" w:line="200"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We have not yet achieved revenue-generating status from any of our product candidates. Since inception, we have devoted substantially all of our time and efforts developing AV-101 from early preclinical studies to our ongoing Phase 2A clinical study in Major Depressive Disorder, as well as stem cell research and bioassay development, small molecule drug development, and creating, protecting and patenting intellectual property, with the corollary initiatives of recruiting personnel and raising working capital. As of December 31, 2015, we had an accumulated deficit of approximately $123.2 million. Our net loss for the nine month period ended December 31, 2015 was $38.7 million, including a non-cash loss of approximately $26.7 million attributable to converting over $17.2 million of our indebtedness into equity securities between May 2015 and August 2015. Our net loss for the nine month period ended December 31, 2014 was $7.7 million. We expect losses to continue for the foreseeable future, primarily related to our further development of AV-101 for Major Depressive Disorder and additional CNS indications.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Summary of Nine Months Ended December 31, 2015</w:t>
      </w:r>
    </w:p>
    <w:p>
      <w:pPr>
        <w:spacing w:after="0" w:line="200"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Although our financial resources have been limited, we have continued to advance development of AV-101 for Major Depressive Disorder and other CNS indications and explore NCE drug rescue and regenerative medicine opportunities related to our stem cell technology platform. Pursuant to our February 2015 Cooperative Research and Development Agreement (</w:t>
      </w:r>
      <w:r>
        <w:rPr>
          <w:rFonts w:ascii="Times New Roman" w:cs="Times New Roman" w:eastAsia="Times New Roman" w:hAnsi="Times New Roman"/>
          <w:sz w:val="14"/>
          <w:szCs w:val="14"/>
          <w:i w:val="1"/>
          <w:iCs w:val="1"/>
          <w:color w:val="auto"/>
        </w:rPr>
        <w:t>CRADA</w:t>
      </w:r>
      <w:r>
        <w:rPr>
          <w:rFonts w:ascii="Times New Roman" w:cs="Times New Roman" w:eastAsia="Times New Roman" w:hAnsi="Times New Roman"/>
          <w:sz w:val="14"/>
          <w:szCs w:val="14"/>
          <w:color w:val="auto"/>
        </w:rPr>
        <w:t>) with the NIH, the NIH is funding and conducting our Phase 2 clinical study of AV-101 in Major Depressive Disorder.</w:t>
      </w:r>
    </w:p>
    <w:p>
      <w:pPr>
        <w:spacing w:after="0" w:line="158" w:lineRule="exact"/>
        <w:rPr>
          <w:sz w:val="20"/>
          <w:szCs w:val="20"/>
          <w:color w:val="auto"/>
        </w:rPr>
      </w:pPr>
    </w:p>
    <w:p>
      <w:pPr>
        <w:jc w:val="both"/>
        <w:ind w:firstLine="507"/>
        <w:spacing w:after="0" w:line="255" w:lineRule="auto"/>
        <w:rPr>
          <w:sz w:val="20"/>
          <w:szCs w:val="20"/>
          <w:color w:val="auto"/>
        </w:rPr>
      </w:pPr>
      <w:r>
        <w:rPr>
          <w:rFonts w:ascii="Times New Roman" w:cs="Times New Roman" w:eastAsia="Times New Roman" w:hAnsi="Times New Roman"/>
          <w:sz w:val="14"/>
          <w:szCs w:val="14"/>
          <w:color w:val="auto"/>
        </w:rPr>
        <w:t>Throughout fiscal 2014 and 2015 and the nine months ended December 31, 2015, through self-placed private placement transactions and other corporate finance initiatives, our executive management has been focused on raising sufficient operating capital to continue to advance development of AV-101, as well as other research and development objectives, while meeting our continuing operational needs. Among our most significant accomplishments during the nine months ended December 31, 2015 have been the following: (i) entering into our Cooperative Research and Development Agreement (</w:t>
      </w:r>
      <w:r>
        <w:rPr>
          <w:rFonts w:ascii="Times New Roman" w:cs="Times New Roman" w:eastAsia="Times New Roman" w:hAnsi="Times New Roman"/>
          <w:sz w:val="14"/>
          <w:szCs w:val="14"/>
          <w:i w:val="1"/>
          <w:iCs w:val="1"/>
          <w:color w:val="auto"/>
        </w:rPr>
        <w:t>CRADA</w:t>
      </w:r>
      <w:r>
        <w:rPr>
          <w:rFonts w:ascii="Times New Roman" w:cs="Times New Roman" w:eastAsia="Times New Roman" w:hAnsi="Times New Roman"/>
          <w:sz w:val="14"/>
          <w:szCs w:val="14"/>
          <w:color w:val="auto"/>
        </w:rPr>
        <w:t>) with the U.S. National Institute of Mental Health (</w:t>
      </w:r>
      <w:r>
        <w:rPr>
          <w:rFonts w:ascii="Times New Roman" w:cs="Times New Roman" w:eastAsia="Times New Roman" w:hAnsi="Times New Roman"/>
          <w:sz w:val="14"/>
          <w:szCs w:val="14"/>
          <w:i w:val="1"/>
          <w:iCs w:val="1"/>
          <w:color w:val="auto"/>
        </w:rPr>
        <w:t>NIMH</w:t>
      </w:r>
      <w:r>
        <w:rPr>
          <w:rFonts w:ascii="Times New Roman" w:cs="Times New Roman" w:eastAsia="Times New Roman" w:hAnsi="Times New Roman"/>
          <w:sz w:val="14"/>
          <w:szCs w:val="14"/>
          <w:color w:val="auto"/>
        </w:rPr>
        <w:t>); (ii) launching, under the CRADA, our NIH-funded Phase 2A clinical study of AV-101 in subjects with treatment-resistant Major Depressive Disorder (</w:t>
      </w:r>
      <w:r>
        <w:rPr>
          <w:rFonts w:ascii="Times New Roman" w:cs="Times New Roman" w:eastAsia="Times New Roman" w:hAnsi="Times New Roman"/>
          <w:sz w:val="14"/>
          <w:szCs w:val="14"/>
          <w:i w:val="1"/>
          <w:iCs w:val="1"/>
          <w:color w:val="auto"/>
        </w:rPr>
        <w:t>MDD</w:t>
      </w:r>
      <w:r>
        <w:rPr>
          <w:rFonts w:ascii="Times New Roman" w:cs="Times New Roman" w:eastAsia="Times New Roman" w:hAnsi="Times New Roman"/>
          <w:sz w:val="14"/>
          <w:szCs w:val="14"/>
          <w:color w:val="auto"/>
        </w:rPr>
        <w:t xml:space="preserve">), with Dr. Carlos Zarate, Jr., Chief of the Section on the Neurobiology and Treatment of Mood Disorders and Chief of the Experimental Therapeutics and Pathophysiology Branch at the NIMH, as Principal Investigator; (iii) bolstering our Clinical and Scientific Advisory Board with the additions of both Dr. Maurizio Fava, Professor of Psychiatry at Harvard Medical School and Director of the Division of Clinical Research of the Massachusetts General Hospital Research Institute, and Dr. Gerard Sanacora, Associate Professor at Yale School of Medicine and Director of the Yale Depression Research Program; (iv) publishing AV-101 preclinical data in the October 2015 issue of the peer-reviewed, </w:t>
      </w:r>
      <w:r>
        <w:rPr>
          <w:rFonts w:ascii="Times New Roman" w:cs="Times New Roman" w:eastAsia="Times New Roman" w:hAnsi="Times New Roman"/>
          <w:sz w:val="14"/>
          <w:szCs w:val="14"/>
          <w:i w:val="1"/>
          <w:iCs w:val="1"/>
          <w:color w:val="auto"/>
        </w:rPr>
        <w:t>Journal of Pharmacology and Experimental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Therapeutics</w:t>
      </w:r>
      <w:r>
        <w:rPr>
          <w:rFonts w:ascii="Times New Roman" w:cs="Times New Roman" w:eastAsia="Times New Roman" w:hAnsi="Times New Roman"/>
          <w:sz w:val="14"/>
          <w:szCs w:val="14"/>
          <w:color w:val="auto"/>
        </w:rPr>
        <w:t>, in an article entitled “The prodrug 4-chlorokynurenine causes ketamine-like antidepressant effects, but not side effects, by NMDA/glycineB-site inhibition;” (v) successfully negotiating,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extinguishing and converting (in self-placed private placement transactions) approximately $17.2 million (substantially all) of our outstanding indebtedness into our equity securities; and (vi) completing self-placed private placement transactions with accredited investors thereby providing additional operating capital through the sale of our equity securities.</w:t>
      </w:r>
    </w:p>
    <w:p>
      <w:pPr>
        <w:spacing w:after="0" w:line="167"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To meet our working capital needs, in April and May 2015, we completed self-placed private placement transactions involving securities purchase agreements with accredited investors pursuant to which we sold to such accredited investors 2014 Private Placement Units, for aggregate cash proceeds of $280,000, consisting of (i) 10% convertible notes in the aggregate face amount of $280,000 due between April 30, 2015 and May 15, 2015; (ii) an aggregate of 33,000 restricted shares of our common stock; and (iii) warrants exercisable through December 31, 2016 to purchase an aggregate of 24,250 restricted shares of our common stock at an exercise price of $10.00 per share. Between May 2015 and December 31, 2015, we entered into self-placed private placement transactions involving securities purchase agreements with accredited investors, pursuant to which we sold Series B Preferred Units, for aggregate cash proceeds of approximately $4.3 million, consisting of an aggregate of (i) 628,264 shares of our Series B 10% Convertible Preferred Stock (</w:t>
      </w:r>
      <w:r>
        <w:rPr>
          <w:rFonts w:ascii="Times New Roman" w:cs="Times New Roman" w:eastAsia="Times New Roman" w:hAnsi="Times New Roman"/>
          <w:sz w:val="14"/>
          <w:szCs w:val="14"/>
          <w:i w:val="1"/>
          <w:iCs w:val="1"/>
          <w:color w:val="auto"/>
        </w:rPr>
        <w:t>Series B Preferred</w:t>
      </w:r>
      <w:r>
        <w:rPr>
          <w:rFonts w:ascii="Times New Roman" w:cs="Times New Roman" w:eastAsia="Times New Roman" w:hAnsi="Times New Roman"/>
          <w:sz w:val="14"/>
          <w:szCs w:val="14"/>
          <w:color w:val="auto"/>
        </w:rPr>
        <w:t>); and (ii) five-year warrants to purchase an aggregate of 628,264 shares of our common stock. In connection with the foregoing self-placed private placement transactions, from April 1, 2015 and December 31, 2015, we received aggregate cash proceeds of approximately $4.6 million.</w:t>
      </w:r>
    </w:p>
    <w:p>
      <w:pPr>
        <w:spacing w:after="0" w:line="166"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As a matter of course, we seek to minimize cash commitments and expenditures for both internal and external research and development and general and administrative services to the greatest extent possible. The conversion of such a substantial portion of our outstanding indebtedness during the nine months ended December 31, 2015 materially reduced our cash requirements for debt service.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29" w:name="page30"/>
    <w:bookmarkEnd w:id="29"/>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Three Months Ended December 31, 2015 and 2014</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results of our operations for the three months ended December 31, 2015 and 2014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9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445</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671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1,116</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640" w:type="dxa"/>
            <w:vAlign w:val="bottom"/>
            <w:tcBorders>
              <w:top w:val="single" w:sz="8" w:color="CCEE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1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(1,116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1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(792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Change in warrant liabilities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953</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(135</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64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(1,090</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640" w:type="dxa"/>
            <w:vAlign w:val="bottom"/>
            <w:tcBorders>
              <w:top w:val="single" w:sz="8" w:color="CCEE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1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(1,090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dividend on Series B Preferred Stock</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Deemed dividend on Series B Preferred Stock</w:t>
            </w:r>
          </w:p>
        </w:tc>
        <w:tc>
          <w:tcPr>
            <w:tcW w:w="10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1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(1,090</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200"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We reported no revenue for the quarters ended December 31, 2015 or 2014 and we presently have no revenue generating arrangements. However, as indicated previously, we have entered into a CRADA with the NIH providing for a Phase 2A clinical study of AV-101 in treatment resistant Major Depressive Disorder. This Phase 2A study, which began in late-2015, will be funded by the NIH and conducted at the NIMH.</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30" w:name="page31"/>
    <w:bookmarkEnd w:id="30"/>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w:t>
      </w:r>
    </w:p>
    <w:p>
      <w:pPr>
        <w:spacing w:after="0" w:line="200"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Research and development expense totaled $806,300 for the quarter ended December 31, 2015, an increase of approximately 81% compared with the $455,400 reported for the quarter ended December 31, 2014, primarily as a result of increased spending on the development of AV-101, legal and application costs related to a number of U.S. and foreign pending patent applications with respect to AV-101 and our stem cell technology platform, as well as noncash expense related to November 2015 modification of certain outstanding warrants. The following table indicates the primary components of research and development expense for each of the periods (amounts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214</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Consulting and other professional services</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4"/>
                <w:szCs w:val="14"/>
                <w:color w:val="auto"/>
              </w:rPr>
              <w:t>Technology licenses and royalties</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Project-related research and supplies: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AV-101</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Stem cell and all other</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Rent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modification expense</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Research and Development Expense</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806</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507"/>
        <w:spacing w:after="0" w:line="261" w:lineRule="auto"/>
        <w:rPr>
          <w:sz w:val="20"/>
          <w:szCs w:val="20"/>
          <w:color w:val="auto"/>
        </w:rPr>
      </w:pPr>
      <w:r>
        <w:rPr>
          <w:rFonts w:ascii="Times New Roman" w:cs="Times New Roman" w:eastAsia="Times New Roman" w:hAnsi="Times New Roman"/>
          <w:sz w:val="14"/>
          <w:szCs w:val="14"/>
          <w:color w:val="auto"/>
        </w:rPr>
        <w:t>To conserve cash resources, during the period from April 2014 through December 2014, Ralph Snodgrass, Ph.D., our Chief Scientific Officer (</w:t>
      </w:r>
      <w:r>
        <w:rPr>
          <w:rFonts w:ascii="Times New Roman" w:cs="Times New Roman" w:eastAsia="Times New Roman" w:hAnsi="Times New Roman"/>
          <w:sz w:val="14"/>
          <w:szCs w:val="14"/>
          <w:i w:val="1"/>
          <w:iCs w:val="1"/>
          <w:color w:val="auto"/>
        </w:rPr>
        <w:t>CSO</w:t>
      </w:r>
      <w:r>
        <w:rPr>
          <w:rFonts w:ascii="Times New Roman" w:cs="Times New Roman" w:eastAsia="Times New Roman" w:hAnsi="Times New Roman"/>
          <w:sz w:val="14"/>
          <w:szCs w:val="14"/>
          <w:color w:val="auto"/>
        </w:rPr>
        <w:t>), voluntarily accepted a temporary salary reduction to substantially less than his contractual pay rate. At December 31 2014, however, we accrued the difference between Dr. Snodgrass’ reduced rate and his contractual rate for the three preceding quarters. During the quarter ended December 31, 2015, Dr. Snodgrass has received cash compensation at his contractual base salary rate. Partially offsetting this increase is the impact of the voluntary resignation of one member of our scientific staff at the end of September 2014 and the voluntary reduction of work hours and pay by another member of our scientific staff from October 2014 through September 2015.</w:t>
      </w:r>
    </w:p>
    <w:p>
      <w:pPr>
        <w:spacing w:after="0" w:line="162"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Stock based compensation expense reflects the ratable amortization of option grants made to scientific staff and consultants, most recently in September 2015 (in 2015 expense only), March 2014 and October 2013, as well as the ratable amortization of a warrant grant made to our CSO in March 2014. Our stock options are generally amortized over a two-year or four-year vesting period, and warrants granted to the CSO in March 2014 are being amortized over a three-year vesting period. Essentially all of the option grants made prior to October 2013 and a warrant grant made to our CSO in March 2013 became fully-vested and fully-expensed prior to the quarter ended December 31, 2015.</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Consulting services reflects fees paid or accrued for scientific services rendered to us by third-parties, primarily by members of our scientific and clinical advisory board.</w:t>
      </w:r>
    </w:p>
    <w:p>
      <w:pPr>
        <w:spacing w:after="0" w:line="198"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Technology license expense reflects both recurring annual fees as well as legal counsel and other costs related to patent prosecution and protection that we are required to fund under the terms of certain of our stem cell technology license agreements or have elected to pursue for commercial purposes. We recognize these costs as they are invoiced to us by the licensors and they do not occur ratably throughout the year or between years. Additionally, in 2015, this expense includes legal counsel and other costs we have incurred to advance in the U.S. and numerous foreign countries several pending patent applications with respect to AV-101 and our stem cell technology platform.</w:t>
      </w:r>
    </w:p>
    <w:p>
      <w:pPr>
        <w:spacing w:after="0" w:line="160"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AV-101 expenses in both periods presented reflect the costs associated with monitoring for and responding to potential feedback related to the Phase 1 clinical trial and preparing other reports required under the terms of our prior NIH grant, primarily through our contract research collaborator, Cato Research Ltd. Expenses in 2015 also include costs incurred to explore and develop more efficient and cost-effective production methods for AV-101 as well as costs related to updating documentation to facilitate the Phase 2 clinical trial of AV-101 in treatment resistant Major Depressive Disorder to be sponsored and conducted by the NIH. Stem cell and other project related expenses in both periods were minimal.</w:t>
      </w:r>
    </w:p>
    <w:p>
      <w:pPr>
        <w:spacing w:after="0" w:line="160"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Warrant modification expense reflects an increase in the fair value attributable to the November 2015 modification of outstanding warrants to purchase an aggregate of 315,000 shares of our common stock previously granted to our CSO and a key scientific advisor to reduce the exercise prices thereof from a range of $9.25 to $12.80 per share to $7.00 per share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31" w:name="page32"/>
    <w:bookmarkEnd w:id="31"/>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w:t>
      </w:r>
    </w:p>
    <w:p>
      <w:pPr>
        <w:spacing w:after="0" w:line="200"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General and administrative expense increased significantly, from $671,300 to $1,335,500, for the quarters ended December 31, 2014 and 2015, respectively, primarily as a result of noncash expense related to both grants of equity securities in payment of certain professional services during 2015 and the modification of certain outstanding warrants in November 2015. The following table indicates the primary components of general and administrative expenses for each of the periods (amounts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82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3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2014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76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1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Consulting Services</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4"/>
                <w:szCs w:val="14"/>
                <w:color w:val="auto"/>
              </w:rPr>
              <w:t>Legal, accounting and other professional fees</w:t>
            </w: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Investor relations</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4"/>
                <w:szCs w:val="14"/>
                <w:color w:val="auto"/>
              </w:rPr>
              <w:t>Insurance</w:t>
            </w: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Travel expenses</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4"/>
                <w:szCs w:val="14"/>
                <w:color w:val="auto"/>
              </w:rPr>
              <w:t>Rent and utilities</w:t>
            </w: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modification expense</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4"/>
                <w:szCs w:val="14"/>
                <w:color w:val="auto"/>
              </w:rPr>
              <w:t>All other expenses</w:t>
            </w: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2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4"/>
                <w:szCs w:val="14"/>
                <w:color w:val="auto"/>
              </w:rPr>
              <w:t>Total General and Administrative Expense</w:t>
            </w:r>
          </w:p>
        </w:tc>
        <w:tc>
          <w:tcPr>
            <w:tcW w:w="760" w:type="dxa"/>
            <w:vAlign w:val="bottom"/>
          </w:tcPr>
          <w:p>
            <w:pPr>
              <w:jc w:val="right"/>
              <w:ind w:right="63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14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753"/>
        <w:spacing w:after="0" w:line="264" w:lineRule="auto"/>
        <w:rPr>
          <w:sz w:val="20"/>
          <w:szCs w:val="20"/>
          <w:color w:val="auto"/>
        </w:rPr>
      </w:pPr>
      <w:r>
        <w:rPr>
          <w:rFonts w:ascii="Times New Roman" w:cs="Times New Roman" w:eastAsia="Times New Roman" w:hAnsi="Times New Roman"/>
          <w:sz w:val="14"/>
          <w:szCs w:val="14"/>
          <w:color w:val="auto"/>
        </w:rPr>
        <w:t>To conserve cash resources, during the period from April 2014 through December 2014, both Shawn Singh, our Chief Executive Officer (</w:t>
      </w:r>
      <w:r>
        <w:rPr>
          <w:rFonts w:ascii="Times New Roman" w:cs="Times New Roman" w:eastAsia="Times New Roman" w:hAnsi="Times New Roman"/>
          <w:sz w:val="14"/>
          <w:szCs w:val="14"/>
          <w:i w:val="1"/>
          <w:iCs w:val="1"/>
          <w:color w:val="auto"/>
        </w:rPr>
        <w:t>CEO</w:t>
      </w:r>
      <w:r>
        <w:rPr>
          <w:rFonts w:ascii="Times New Roman" w:cs="Times New Roman" w:eastAsia="Times New Roman" w:hAnsi="Times New Roman"/>
          <w:sz w:val="14"/>
          <w:szCs w:val="14"/>
          <w:color w:val="auto"/>
        </w:rPr>
        <w:t>), and Jerrold Dotson, our Chief Financial Officer (</w:t>
      </w:r>
      <w:r>
        <w:rPr>
          <w:rFonts w:ascii="Times New Roman" w:cs="Times New Roman" w:eastAsia="Times New Roman" w:hAnsi="Times New Roman"/>
          <w:sz w:val="14"/>
          <w:szCs w:val="14"/>
          <w:i w:val="1"/>
          <w:iCs w:val="1"/>
          <w:color w:val="auto"/>
        </w:rPr>
        <w:t>CFO</w:t>
      </w:r>
      <w:r>
        <w:rPr>
          <w:rFonts w:ascii="Times New Roman" w:cs="Times New Roman" w:eastAsia="Times New Roman" w:hAnsi="Times New Roman"/>
          <w:sz w:val="14"/>
          <w:szCs w:val="14"/>
          <w:color w:val="auto"/>
        </w:rPr>
        <w:t>), voluntarily accepted a temporary salary reduction to substantially less than his contractual or agreed base pay rate. At December 31 2014, however, we accrued the difference between each of their reduced rates and their contractual rates for the three preceding quarters. During the quarter ended December 31, 2015, both Messrs. Singh and Dotson have received cash compensation at their respective contractual base salary rate. Pay rates and administrative employee headcount have otherwise remained generally stable between the periods reported.</w:t>
      </w:r>
    </w:p>
    <w:p>
      <w:pPr>
        <w:spacing w:after="0" w:line="160"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Stock based compensation expense reflects the ratable amortization of option grants made to administrative staff and consultants, most recently in September 2015 (in 2015 expense only), March 2014 and October 2013, as well as the ratable amortization of a warrant grant made to officers and independent members of our Board of Directors in March 2014. Our stock options are generally amortized over a two-year or four-year vesting period, and warrants granted to officers and directors in March 2014 are being amortized over a three-year vesting period. Essentially all of the option grants made prior to October 2013 and warrant grants made to our officers and independent members of our Board of Directors in March 2013 became fully-vested and fully-expensed prior to the quarter ended December 31, 2015.</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Consulting services primarily includes fees accrued for the services of independent members of our Board of Directors.</w:t>
      </w:r>
    </w:p>
    <w:p>
      <w:pPr>
        <w:spacing w:after="0" w:line="198"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 xml:space="preserve">The increase in legal, accounting and other professional service fees results primarily from (i) $337,500 of noncash expense recognized during the quarter pursuant to the June 30, 2015 grant of an aggregate of 90,000 shares of our Series B Preferred having an aggregate fair value of $1,350,000 as compensation for financial advisory and corporate development service contracts with two independent contractors for services to be performed through June 30, 2016; and (ii) $138,000 of noncash expense attributable to the fair value of 15,750 shares of our unregistered common stock and a five-year warrant to purchase 7,500 unregistered shares of our common stock granted in connection with investment banking services. As described in Note 8, </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to the accompanying Condensed Consolidated Financial Statements in Part I of this Report, the value of the Series B Preferred grants was recorded as a prepaid expense at the date of the grant and is being expensed ratably over the twelve month period ending June 30, 2016.</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both periods, travel expenses reflect costs associated with meetings with accredited investors in connection with self-placed private placements of our securities.</w:t>
      </w:r>
    </w:p>
    <w:p>
      <w:pPr>
        <w:spacing w:after="0" w:line="198"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Warrant modification expense reflects an increase in the fair value attributable to the November 2015 modification of outstanding warrants to purchase an aggregate of 808,553 shares of our common stock previously granted to our CEO, CFO, and independent members of our Board of Directors to reduce the exercise prices thereof from a range of $9.25 to $12.80 per share to $7.00 per share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32" w:name="page33"/>
    <w:bookmarkEnd w:id="32"/>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and Other Expenses, Net</w:t>
      </w:r>
    </w:p>
    <w:p>
      <w:pPr>
        <w:spacing w:after="0" w:line="200"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Interest expense, net totaled $2,500 for the quarter ended December 31, 2015, a significant decrease compared to the $792,400 reported for the quarter ended December 31, 2014 resulting from the extinguishment of substantially all of our promissory notes, as well as other indebtedness, by conversion into our Series B Preferred and the related elimination of note interest and discount amortization. The following table summarizes the primary components of interest expense for each of the periods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on promissory notes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discount on promissory notes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interest expense, including on capital leases and premium financing</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foreign currency fluctuations on notes payable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8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The substantial overall decrease in interest expense on promissory notes and the related amortization of discounts on such notes between the periods primarily reflects the cessation of interest accrual and discount amortization upon the extinguishment and conversion of all outstanding Senior Secured Convertible Notes, 2014 Unit Notes and other outstanding promissory notes into shares of our Series B Preferred between May 2015 and August 2015.</w:t>
      </w:r>
    </w:p>
    <w:p>
      <w:pPr>
        <w:spacing w:after="0" w:line="156" w:lineRule="exact"/>
        <w:rPr>
          <w:sz w:val="20"/>
          <w:szCs w:val="20"/>
          <w:color w:val="auto"/>
        </w:rPr>
      </w:pPr>
    </w:p>
    <w:p>
      <w:pPr>
        <w:jc w:val="both"/>
        <w:ind w:firstLine="507"/>
        <w:spacing w:after="0" w:line="255" w:lineRule="auto"/>
        <w:rPr>
          <w:sz w:val="20"/>
          <w:szCs w:val="20"/>
          <w:color w:val="auto"/>
        </w:rPr>
      </w:pPr>
      <w:r>
        <w:rPr>
          <w:rFonts w:ascii="Times New Roman" w:cs="Times New Roman" w:eastAsia="Times New Roman" w:hAnsi="Times New Roman"/>
          <w:sz w:val="14"/>
          <w:szCs w:val="14"/>
          <w:color w:val="auto"/>
        </w:rPr>
        <w:t>Under the terms of the October 2012 Note Exchange and Purchase Agreement we entered with Platinum Long Term Growth VII, LLC (</w:t>
      </w:r>
      <w:r>
        <w:rPr>
          <w:rFonts w:ascii="Times New Roman" w:cs="Times New Roman" w:eastAsia="Times New Roman" w:hAnsi="Times New Roman"/>
          <w:sz w:val="14"/>
          <w:szCs w:val="14"/>
          <w:i w:val="1"/>
          <w:iCs w:val="1"/>
          <w:color w:val="auto"/>
        </w:rPr>
        <w:t>Platinum</w:t>
      </w:r>
      <w:r>
        <w:rPr>
          <w:rFonts w:ascii="Times New Roman" w:cs="Times New Roman" w:eastAsia="Times New Roman" w:hAnsi="Times New Roman"/>
          <w:sz w:val="14"/>
          <w:szCs w:val="14"/>
          <w:color w:val="auto"/>
        </w:rPr>
        <w:t xml:space="preserve">), our largest investor, we issued certain Senior Secured Convertible Promissory Notes and a related Exchange Warrant and Investment Warrants between October 2012 and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and other anti-dilution features requiring us to treat the warrants as liabilities. Accordingly, we recorded a noncash warrant liability at its estimated fair value as of the date of warrant issuance or contract execution. As described in Note 8, </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xml:space="preserve">, and Note 4,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to the Condensed Consolidated Financial Statements included in Part 1, Item 1 of this Quarterly Report on Form 10-Q, on May 12, 2015, we entered into an agreement with Platinum pursuant to which we amended the warrants to fix the exercise price thereof and eliminated the anti-dilution reset features that had previously required the warrants to be treated as liabilities and carried at fair value. Accordingly, we eliminated the entire warrant liability with respect to these warrants during the quarter ended June 30, 2015. (Refer to Note 10,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to the Condensed Consolidated Financial Statements included in Part 1, Item 1 of this Quarterly Report on Form 10-Q, regarding the subsequent exchange of these warrants for shares of our Series C Preferred) During the quarter ended December 31, 2014, we recognized noncash income of $953,700 related to the net decrease in the estimated fair value of the warrant liabilities since March 31, 2014, which resulted primarily from the decrease in the market price of our common stock in relation to the exercise price of the warrants.</w:t>
      </w:r>
    </w:p>
    <w:p>
      <w:pPr>
        <w:spacing w:after="0" w:line="340"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In October 2014, we accepted a cash payment of $60,000 as settlement in full for a promissory note issued to us in May 2011 for the purchase of shares of our common stock. At the time of the payment, the principal and accrued interest due to us on the note receivable was $194,900, resulting in a recognized loss of $134,900 related to the settlement. Other expense in the quarter ended December 31, 2015 reflects the noncash loss on the disposition of a piece of failed lab equipment.</w:t>
      </w:r>
    </w:p>
    <w:p>
      <w:pPr>
        <w:spacing w:after="0" w:line="158"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We allocated proceeds from the self-placed private placement sales of Series B Preferred Units during the quarter ended December 31, 2015 to the Series B Preferred and the Series B Warrants based on their relative fair values on the dates of the sales. The difference, for accounting purposes, between the relative fair value per share of the Series B Preferred, approximately $4.21 per share, and its Conversion Price (or stated value) of $7.00 per share represents a deemed dividend to the purchasers of the Series B Preferred Units. Accordingly, we have recognized a deemed dividend in the aggregate amount of $668,700 in arriving at net loss attributable to common stockholders for the quarter ended December 31, 2015 in the accompanying Condensed Consolidated Statement of Operations and Comprehensive Loss included in Part I of this Report. Further, we have recognized $631,300 representing the 10% cumulative dividend payable on our Series B Preferred as an additional deduction in arriving at net loss attributable to common stockholders for the quarter ended December 31, 2015 in the accompanying Condensed Consolidated Statement of Operations and Comprehensive Loss.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26"/>
        </w:trPr>
        <w:tc>
          <w:tcPr>
            <w:tcW w:w="820" w:type="dxa"/>
            <w:vAlign w:val="bottom"/>
            <w:tcBorders>
              <w:bottom w:val="single" w:sz="8" w:color="0000EE"/>
            </w:tcBorders>
            <w:gridSpan w:val="2"/>
          </w:tcPr>
          <w:p>
            <w:pPr>
              <w:spacing w:after="0"/>
              <w:rPr>
                <w:rFonts w:ascii="Times New Roman" w:cs="Times New Roman" w:eastAsia="Times New Roman" w:hAnsi="Times New Roman"/>
                <w:sz w:val="11"/>
                <w:szCs w:val="11"/>
                <w:b w:val="1"/>
                <w:bCs w:val="1"/>
                <w:i w:val="1"/>
                <w:iCs w:val="1"/>
                <w:color w:val="0000EE"/>
                <w:w w:val="99"/>
              </w:rPr>
            </w:pPr>
            <w:hyperlink w:anchor="page2">
              <w:r>
                <w:rPr>
                  <w:rFonts w:ascii="Times New Roman" w:cs="Times New Roman" w:eastAsia="Times New Roman" w:hAnsi="Times New Roman"/>
                  <w:sz w:val="11"/>
                  <w:szCs w:val="11"/>
                  <w:b w:val="1"/>
                  <w:bCs w:val="1"/>
                  <w:i w:val="1"/>
                  <w:iCs w:val="1"/>
                  <w:color w:val="0000EE"/>
                  <w:w w:val="99"/>
                </w:rPr>
                <w:t>Table of Contents</w:t>
              </w:r>
            </w:hyperlink>
          </w:p>
        </w:tc>
        <w:tc>
          <w:tcPr>
            <w:tcW w:w="8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8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Nine Months Ended December 31, 2015 and 2014</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The following table summarizes the results of our operations for the nine months ended December 31, 2015 and 2014 (amounts in thousands).</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62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8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2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2,835</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1,477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7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9,350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3,501</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2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7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(9,350)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(3,501)</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7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(2,183)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warrant liabilities</w:t>
            </w:r>
          </w:p>
        </w:tc>
        <w:tc>
          <w:tcPr>
            <w:tcW w:w="7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7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(26,700)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(2,371)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7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2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7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6"/>
              </w:rPr>
              <w:t>(38,717)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(7,662)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7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802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(38,719)</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(7,664)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Accrued dividend on Series B Preferred Stock</w:t>
            </w:r>
          </w:p>
        </w:tc>
        <w:tc>
          <w:tcPr>
            <w:tcW w:w="7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Deemed dividend on Series B Preferred Stock</w:t>
            </w:r>
          </w:p>
        </w:tc>
        <w:tc>
          <w:tcPr>
            <w:tcW w:w="7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(1,812)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720" w:type="dxa"/>
            <w:vAlign w:val="bottom"/>
          </w:tcPr>
          <w:p>
            <w:pPr>
              <w:jc w:val="right"/>
              <w:ind w:right="599"/>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6"/>
              </w:rPr>
              <w:t>(41,990)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200"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We reported no revenue for the nine month periods ended December 31, 2015 or 2014 and we presently have no revenue generating arrangements. However, as indicated previously, we have entered into a CRADA with the NIH providing for a Phase 2A clinical study of AV-101 in treatment-resistant Major Depressive Disorder. This Phase 2A study, which began in late-2015, is being funded by the NIH and being conducted at the NIMH.</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19" w:right="219" w:bottom="1440" w:gutter="0" w:footer="0" w:header="0"/>
        </w:sectPr>
      </w:pPr>
    </w:p>
    <w:bookmarkStart w:id="34" w:name="page35"/>
    <w:bookmarkEnd w:id="34"/>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w:t>
      </w:r>
    </w:p>
    <w:p>
      <w:pPr>
        <w:spacing w:after="0" w:line="200"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Research and development expense totaled $2.8 million for the nine months ended December 31, 2015 compared to $1.5 million for the nine months ended December 31, 2014, primarily as a result of noncash expense related to stock based compensation awards granted in September 2015 and warrant modifications made in November 2015, as well as patent- and technology license-related expenses in support of AV-101 and our stem cell technology platforms. The following table indicates the primary components of research and development expense for each of the periods (amounts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color w:val="auto"/>
              </w:rPr>
              <w:t>Nine Months Ended December 31,</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color w:val="auto"/>
                <w:w w:val="99"/>
              </w:rPr>
              <w:t>2015</w:t>
            </w:r>
          </w:p>
        </w:tc>
        <w:tc>
          <w:tcPr>
            <w:tcW w:w="1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color w:val="auto"/>
                <w:w w:val="99"/>
              </w:rPr>
              <w:t>2014</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Consulting and other professional services</w:t>
            </w: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Technology licenses and royalties</w:t>
            </w: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Project-related research and supplies:</w:t>
            </w: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AV-101</w:t>
            </w: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Stem cell and all other</w:t>
            </w:r>
          </w:p>
        </w:tc>
        <w:tc>
          <w:tcPr>
            <w:tcW w:w="6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Rent</w:t>
            </w: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modification expense</w:t>
            </w: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All other</w:t>
            </w: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72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Total Research and Development Expense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The decrease in salaries and benefits is primarily the result of the voluntary resignation of one member of our scientific staff at the end of September 2014 and the voluntary reduction of work hours and pay by another member of our scientific staff during the period October 2014 through September 2015.</w:t>
      </w:r>
    </w:p>
    <w:p>
      <w:pPr>
        <w:spacing w:after="0" w:line="146"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 xml:space="preserve">The increase in stock based compensation expense for 2015 reflects the $852,200 fair value, determined using the Black-Scholes Option Pricing Model and the assumptions indicated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to the accompanying Condensed Consolidated Financial Statements in Part I of this Report, of the September 2015 grant of immediately vested and expensed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warrants to purchase 150,000 shares of our common stock granted to our CSO. Stock based compensation expense additionally reflects the ratable amortization of option grants made to scientific staff and consultants, most recently in September 2015, March 2014 and October 2013, as well as the ratable amortization of a warrant grant made to our CSO in March 2014. Our stock options are generally amortized over a two-year or four-year vesting period, and warrants granted to the CSO in March 2014 are being amortized over a three-year vesting period. Essentially all of the option grants made prior to October 2013 and a warrant grant made to our CSO in March 2013 became fully-vested and fully-expensed prior to the quarter ended December 31, 2015.</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Consulting services reflects fees paid or accrued for scientific services rendered to us by third-parties, primarily by members of our scientific and clinical advisory board.</w:t>
      </w:r>
    </w:p>
    <w:p>
      <w:pPr>
        <w:spacing w:after="0" w:line="198"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Technology license expense reflects both recurring annual fees as well as costs for patent prosecution and protection that we are required to fund under the terms of certain of our stem cell technology license agreements, as well as those we elected to make for commercial purposes. We recognize these costs as they are invoiced to us by the licensors and they do not occur ratably throughout the year or between years. Additionally, in 2015, this expense includes significant costs we have incurred to advance, in the U.S. and numerous foreign counties, a number of pending patent applications with respect to AV-101 and our stem cell technology platform.</w:t>
      </w:r>
    </w:p>
    <w:p>
      <w:pPr>
        <w:spacing w:after="0" w:line="160"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AV-101 expenses in both periods presented reflect the costs associated with monitoring for and responding to potential feedback related to the Phase 1 clinical trial and preparing other reports required under the terms of our prior NIH grant, primarily through our contract research collaborator, Cato Research Ltd. An additional level of expense has been incurred during the nine months ended December 31, 2015 to explore and develop more efficient and cost-effective production methods for AV-101 as well as for updating documentation to facilitate the Phase 2 clinical trial of AV-101 in treatment resistant Major Depressive Disorder that is being funded and conducted by the NIH. Stem cell and other project related expenses in both periods were nominal.</w:t>
      </w:r>
    </w:p>
    <w:p>
      <w:pPr>
        <w:spacing w:after="0" w:line="160"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Warrant modification expense reflects an increase in the fair value attributable to the November 2015 modification of outstanding warrants to purchase an aggregate of 315,000 shares of our common stock previously granted to our CSO and a key scientific advisor to reduce the exercise prices thereof from a range of $9.25 to $12.80 per share to $7.00 per share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35" w:name="page36"/>
    <w:bookmarkEnd w:id="35"/>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w:t>
      </w:r>
    </w:p>
    <w:p>
      <w:pPr>
        <w:spacing w:after="0" w:line="200"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General and administrative expense was $6.5 million for the nine months ended December 31, 2015 compared to $2.0 million reported for the nine months ended December 31, 2014, primarily as a result of noncash expense of approximately $2.9 million related to stock based compensation awards granted in September 2015 and warrant modifications made in November 2015, as well as increased professional services fees. The following table indicates the primary components of general and administrative expenses for each of the periods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Nine Months Ended December 31,</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2015</w:t>
            </w:r>
          </w:p>
        </w:tc>
        <w:tc>
          <w:tcPr>
            <w:tcW w:w="54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color w:val="auto"/>
                <w:w w:val="99"/>
              </w:rPr>
              <w:t>2014</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benefits</w:t>
            </w:r>
          </w:p>
        </w:tc>
        <w:tc>
          <w:tcPr>
            <w:tcW w:w="1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4"/>
                <w:szCs w:val="14"/>
                <w:color w:val="auto"/>
              </w:rPr>
              <w:t>520</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4"/>
                <w:szCs w:val="14"/>
                <w:color w:val="auto"/>
              </w:rPr>
            </w:pPr>
          </w:p>
        </w:tc>
        <w:tc>
          <w:tcPr>
            <w:tcW w:w="164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color w:val="auto"/>
              </w:rPr>
              <w:t>2,889</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Consulting Services</w:t>
            </w:r>
          </w:p>
        </w:tc>
        <w:tc>
          <w:tcPr>
            <w:tcW w:w="10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4"/>
                <w:szCs w:val="14"/>
                <w:color w:val="auto"/>
              </w:rPr>
              <w:t>72</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Legal, accounting and other professional fees</w:t>
            </w:r>
          </w:p>
        </w:tc>
        <w:tc>
          <w:tcPr>
            <w:tcW w:w="1000" w:type="dxa"/>
            <w:vAlign w:val="bottom"/>
          </w:tcPr>
          <w:p>
            <w:pPr>
              <w:spacing w:after="0"/>
              <w:rPr>
                <w:sz w:val="14"/>
                <w:szCs w:val="14"/>
                <w:color w:val="auto"/>
              </w:rPr>
            </w:pPr>
          </w:p>
        </w:tc>
        <w:tc>
          <w:tcPr>
            <w:tcW w:w="164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color w:val="auto"/>
              </w:rPr>
              <w:t>2,113</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Investor relations</w:t>
            </w:r>
          </w:p>
        </w:tc>
        <w:tc>
          <w:tcPr>
            <w:tcW w:w="10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4"/>
                <w:szCs w:val="14"/>
                <w:color w:val="auto"/>
              </w:rPr>
              <w:t>60</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Insurance</w:t>
            </w:r>
          </w:p>
        </w:tc>
        <w:tc>
          <w:tcPr>
            <w:tcW w:w="1000" w:type="dxa"/>
            <w:vAlign w:val="bottom"/>
          </w:tcPr>
          <w:p>
            <w:pPr>
              <w:spacing w:after="0"/>
              <w:rPr>
                <w:sz w:val="14"/>
                <w:szCs w:val="14"/>
                <w:color w:val="auto"/>
              </w:rPr>
            </w:pPr>
          </w:p>
        </w:tc>
        <w:tc>
          <w:tcPr>
            <w:tcW w:w="164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color w:val="auto"/>
              </w:rPr>
              <w:t>105</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Travel expenses</w:t>
            </w:r>
          </w:p>
        </w:tc>
        <w:tc>
          <w:tcPr>
            <w:tcW w:w="10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4"/>
                <w:szCs w:val="14"/>
                <w:color w:val="auto"/>
              </w:rPr>
              <w:t>73</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Rent and utilities</w:t>
            </w:r>
          </w:p>
        </w:tc>
        <w:tc>
          <w:tcPr>
            <w:tcW w:w="1000" w:type="dxa"/>
            <w:vAlign w:val="bottom"/>
          </w:tcPr>
          <w:p>
            <w:pPr>
              <w:spacing w:after="0"/>
              <w:rPr>
                <w:sz w:val="14"/>
                <w:szCs w:val="14"/>
                <w:color w:val="auto"/>
              </w:rPr>
            </w:pPr>
          </w:p>
        </w:tc>
        <w:tc>
          <w:tcPr>
            <w:tcW w:w="164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color w:val="auto"/>
              </w:rPr>
              <w:t>116</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modification expense</w:t>
            </w:r>
          </w:p>
        </w:tc>
        <w:tc>
          <w:tcPr>
            <w:tcW w:w="10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4"/>
                <w:szCs w:val="14"/>
                <w:color w:val="auto"/>
              </w:rPr>
              <w:t>480</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All other expenses</w:t>
            </w:r>
          </w:p>
        </w:tc>
        <w:tc>
          <w:tcPr>
            <w:tcW w:w="1000" w:type="dxa"/>
            <w:vAlign w:val="bottom"/>
          </w:tcPr>
          <w:p>
            <w:pPr>
              <w:spacing w:after="0"/>
              <w:rPr>
                <w:sz w:val="14"/>
                <w:szCs w:val="14"/>
                <w:color w:val="auto"/>
              </w:rPr>
            </w:pPr>
          </w:p>
        </w:tc>
        <w:tc>
          <w:tcPr>
            <w:tcW w:w="164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color w:val="auto"/>
              </w:rPr>
              <w:t>87</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72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Total General and Administrative Expense</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color w:val="auto"/>
              </w:rPr>
              <w:t>6,515</w:t>
            </w:r>
          </w:p>
        </w:tc>
        <w:tc>
          <w:tcPr>
            <w:tcW w:w="4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7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Administrative employee headcount and pay rates have remained essentially consistent between the periods reported.</w:t>
      </w:r>
    </w:p>
    <w:p>
      <w:pPr>
        <w:spacing w:after="0" w:line="198"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 xml:space="preserve">The increase in stock based compensation expense for 2015 reflects the $2,840,700 fair value, determined using the Black-Scholes Option Pricing Model and the assumptions indicated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to the accompanying Condensed Consolidated Financial Statements in Part I of this Report, of the September 2015 grant of immediately vested and expensed warrants to purchase an aggregate of 500,000 shares of our common stock granted to our officers, independent members of our Board of Directors and certain administrative consultants. Stock based compensation expense additionally reflects the ratable amortization of option grants made to administrative staff and consultants, most recently in September 2015, March 2014 and October 2013, as well as the ratable amortization of a warrant grant made to certain officers and independent members of our Board of Directors in March 2014. Our stock options are generally amortized over a two-year or four-year vesting period, and warrants granted to officers and directors in March 2014 are being amortized over a three-year vesting period. Essentially all of the option grants made prior to October 2013 and warrant grants made to our officers and independent members of our Board of Directors in March 2013 became fully-vested and fully-expensed prior to the quarter ended December 31, 2015.</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Consulting services primarily includes fees accrued for the services of independent members of our Board of Directors.</w:t>
      </w:r>
    </w:p>
    <w:p>
      <w:pPr>
        <w:spacing w:after="0" w:line="198" w:lineRule="exact"/>
        <w:rPr>
          <w:sz w:val="20"/>
          <w:szCs w:val="20"/>
          <w:color w:val="auto"/>
        </w:rPr>
      </w:pPr>
    </w:p>
    <w:p>
      <w:pPr>
        <w:jc w:val="both"/>
        <w:ind w:firstLine="507"/>
        <w:spacing w:after="0" w:line="255" w:lineRule="auto"/>
        <w:rPr>
          <w:sz w:val="20"/>
          <w:szCs w:val="20"/>
          <w:color w:val="auto"/>
        </w:rPr>
      </w:pPr>
      <w:r>
        <w:rPr>
          <w:rFonts w:ascii="Times New Roman" w:cs="Times New Roman" w:eastAsia="Times New Roman" w:hAnsi="Times New Roman"/>
          <w:sz w:val="14"/>
          <w:szCs w:val="14"/>
          <w:color w:val="auto"/>
        </w:rPr>
        <w:t xml:space="preserve">The increase in legal, accounting and other professional service fees results primarily from (i) the $675,000 noncash expense recognized pursuant to the June 30, 2015 grant of an aggregate of 90,000 shares of our Series B Preferred having an aggregate value of $1,350,000 as compensation for financial advisory and corporate development service contracts with two independent contractors for services to be performed through June 30, 2016; (ii) the grant of an aggregate of 50,000 shares of our common stock having an aggregate fair value of $500,000 pursuant to two corporate development contracts initiated during the quarter ended June 30, 2015; (iii) the grant of 25,000 shares of our Series B Preferred having a fair value of $250,000 to legal counsel as compensation for services in connection with our debt restructuring and other corporate finance matters, and (iv) $138,000 of noncash expense attributable to the fair value of 15,750 shares of our unregistered common stock and a five-year warrant to purchase 7,500 unregistered shares of our common stock granted in connection with investment banking services.. As described in Note 8, </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to the accompanying Condensed Consolidated Financial Statements in Part I of this Report, the $1,350,000 fair value of the 90,000 shares of Series B Preferred was recorded as a prepaid expense at the date of the grant and is being expensed ratably over the twelve months ending June 30, 2016. Legal expense for 2015 also includes one-time cash fees associated with the conversion of our promissory notes and other debt into our Series B Preferred. Professional services expense in 2015 reflects a $100,000 reduction in expense related to a contract for strategic advisory and business development services compared to 2014. In both years, accounting service fees include expense related to the annual audit of the prior year financial statements and current quarterly financial statement review services.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decrease in outsourced investor relations service reflects a reduction in investor relations initiatives during the latter portion of calendar 2015.</w:t>
      </w:r>
    </w:p>
    <w:p>
      <w:pPr>
        <w:spacing w:after="0" w:line="198"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In both periods, travel expense reflects costs associated with meetings with accredited investors in connection with the self-placed private placements of our securities, and in 2015, with various creditors in connection with extinguishment of a substantial portion of our indebtedness.</w:t>
      </w:r>
    </w:p>
    <w:p>
      <w:pPr>
        <w:spacing w:after="0" w:line="146"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Noncash warrant modification expense in 2015 includes (i) a $122,000 increase in the fair value attributable to the June 2015 strategic modification of outstanding warrants to purchase an aggregate of 54,576 shares of our common stock to reduce the exercise prices thereof, generally from $30.00 per share to $10.00 per share; and (ii) a $358,000 increase in the fair value attributable to the November 2015 modification of outstanding warrants to purchase an aggregate of 808,553 shares of our common stock previously granted to our CEO, CFO, and independent members of our Board of Directors to reduce the exercise prices thereof from a range of $9.25 to $12.80 per share to $7.00 per share</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36" w:name="page37"/>
    <w:bookmarkEnd w:id="36"/>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and Other Expenses, Net</w:t>
      </w:r>
    </w:p>
    <w:p>
      <w:pPr>
        <w:spacing w:after="0" w:line="200" w:lineRule="exact"/>
        <w:rPr>
          <w:sz w:val="20"/>
          <w:szCs w:val="20"/>
          <w:color w:val="auto"/>
        </w:rPr>
      </w:pPr>
    </w:p>
    <w:p>
      <w:pPr>
        <w:jc w:val="both"/>
        <w:ind w:firstLine="507"/>
        <w:spacing w:after="0" w:line="259" w:lineRule="auto"/>
        <w:rPr>
          <w:sz w:val="20"/>
          <w:szCs w:val="20"/>
          <w:color w:val="auto"/>
        </w:rPr>
      </w:pPr>
      <w:r>
        <w:rPr>
          <w:rFonts w:ascii="Times New Roman" w:cs="Times New Roman" w:eastAsia="Times New Roman" w:hAnsi="Times New Roman"/>
          <w:sz w:val="14"/>
          <w:szCs w:val="14"/>
          <w:color w:val="auto"/>
        </w:rPr>
        <w:t>Interest expense, net totaled $769,800 for the nine months ended December 31, 2015 compared to the $2,182,900 reported for the nine months ended December 31, 2014, reflecting the extinguishment of substantially all of our promissory notes and related discounts upon conversion into our Series B Preferred between May 2015 and August 2015. The following table summarizes the primary components of interest expense for each of the periods (amounts in thousands):</w:t>
      </w: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color w:val="auto"/>
              </w:rPr>
              <w:t>Nine Months Ended December 31,</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color w:val="auto"/>
                <w:w w:val="99"/>
              </w:rPr>
              <w:t>2015</w:t>
            </w:r>
          </w:p>
        </w:tc>
        <w:tc>
          <w:tcPr>
            <w:tcW w:w="1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color w:val="auto"/>
              </w:rPr>
              <w:t>2014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on promissory notes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909</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discount on promissory notes</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1,295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interest expense, including on capital leases and premium financing</w:t>
            </w: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2,210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foreign currency fluctuations on notes payable</w:t>
            </w: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1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72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2,183</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The substantial overall decrease in interest expense on promissory notes and the related amortization of discounts on such notes between the periods primarily reflects (i) accrued interest and discount amortization recorded for the issuances between July 2014 and May 2015 of an aggregate of approximately $1.8 million of 10% convertible promissory notes (</w:t>
      </w:r>
      <w:r>
        <w:rPr>
          <w:rFonts w:ascii="Times New Roman" w:cs="Times New Roman" w:eastAsia="Times New Roman" w:hAnsi="Times New Roman"/>
          <w:sz w:val="14"/>
          <w:szCs w:val="14"/>
          <w:i w:val="1"/>
          <w:iCs w:val="1"/>
          <w:color w:val="auto"/>
        </w:rPr>
        <w:t>2014 Unit Notes</w:t>
      </w:r>
      <w:r>
        <w:rPr>
          <w:rFonts w:ascii="Times New Roman" w:cs="Times New Roman" w:eastAsia="Times New Roman" w:hAnsi="Times New Roman"/>
          <w:sz w:val="14"/>
          <w:szCs w:val="14"/>
          <w:color w:val="auto"/>
        </w:rPr>
        <w:t>); and (ii) the offsetting cessation of interest accrual and discount amortization upon the conversion of all outstanding Senior Secured Convertible Notes, 2014 Unit Notes and other outstanding promissory notes aggregating approximately $13.3 million into shares of our Series B Preferred between May 2015 and August 2015.</w:t>
      </w:r>
    </w:p>
    <w:p>
      <w:pPr>
        <w:spacing w:after="0" w:line="160" w:lineRule="exact"/>
        <w:rPr>
          <w:sz w:val="20"/>
          <w:szCs w:val="20"/>
          <w:color w:val="auto"/>
        </w:rPr>
      </w:pPr>
    </w:p>
    <w:p>
      <w:pPr>
        <w:jc w:val="both"/>
        <w:ind w:firstLine="507"/>
        <w:spacing w:after="0" w:line="254" w:lineRule="auto"/>
        <w:rPr>
          <w:sz w:val="20"/>
          <w:szCs w:val="20"/>
          <w:color w:val="auto"/>
        </w:rPr>
      </w:pPr>
      <w:r>
        <w:rPr>
          <w:rFonts w:ascii="Times New Roman" w:cs="Times New Roman" w:eastAsia="Times New Roman" w:hAnsi="Times New Roman"/>
          <w:sz w:val="14"/>
          <w:szCs w:val="14"/>
          <w:color w:val="auto"/>
        </w:rPr>
        <w:t xml:space="preserve">Under the terms of our October 2012 Note Exchange and Purchase Agreement with Platinum, we issued certain Senior Secured Convertible Promissory Notes and a related Exchange Warrant and Investment Warrants between October 2012 and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As described in Note 8, </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xml:space="preserve">, and Note 4, </w:t>
      </w:r>
      <w:r>
        <w:rPr>
          <w:rFonts w:ascii="Times New Roman" w:cs="Times New Roman" w:eastAsia="Times New Roman" w:hAnsi="Times New Roman"/>
          <w:sz w:val="14"/>
          <w:szCs w:val="14"/>
          <w:i w:val="1"/>
          <w:iCs w:val="1"/>
          <w:color w:val="auto"/>
        </w:rPr>
        <w:t>Fair Value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Measurements, </w:t>
      </w:r>
      <w:r>
        <w:rPr>
          <w:rFonts w:ascii="Times New Roman" w:cs="Times New Roman" w:eastAsia="Times New Roman" w:hAnsi="Times New Roman"/>
          <w:sz w:val="14"/>
          <w:szCs w:val="14"/>
          <w:color w:val="auto"/>
        </w:rPr>
        <w:t>to the Condensed Consolidated Financial Statements included in Part 1, Item 1 of this Quarterly Report on Form 10-Q, on May 12, 2015, we entered into an agreement with Platinum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pursuant to which we amended the various warrants to fix the exercise price thereof and eliminate the anti-dilution reset features that had previously required the warrants to be treated as liabilities and carried at fair value. Accordingly, during the quarter ended June 30, 2015, we adjusted these warrants to their fair value, estimated to be $4,903,200, reflecting an increase of $1,894,700 since March 31, 2015, resulting primarily from the increase in the market price of our common stock in relation to the exercise price of the warrants, and then subsequently eliminated the entire warrant liability with respect to these warrants. (Refer to Note 10,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to the Condensed Consolidated Financial Statements included in Part 1, Item 1 of this Quarterly Report on Form 10-Q, regarding the subsequent exchange of these warrants for shares of our Series C Preferred stock.) During the nine months ended December 31, 2014, we recognized noncash gains of $528,300 related to the net decrease in the estimated fair value of the warrant liabilities since March 31, 2014, which resulted primarily from the decrease in the market price of our common stock in relation to the exercise price of the warrants.</w:t>
      </w:r>
    </w:p>
    <w:p>
      <w:pPr>
        <w:spacing w:after="0" w:line="171" w:lineRule="exact"/>
        <w:rPr>
          <w:sz w:val="20"/>
          <w:szCs w:val="20"/>
          <w:color w:val="auto"/>
        </w:rPr>
      </w:pPr>
    </w:p>
    <w:p>
      <w:pPr>
        <w:jc w:val="both"/>
        <w:ind w:firstLine="507"/>
        <w:spacing w:after="0" w:line="255" w:lineRule="auto"/>
        <w:rPr>
          <w:sz w:val="20"/>
          <w:szCs w:val="20"/>
          <w:color w:val="auto"/>
        </w:rPr>
      </w:pPr>
      <w:r>
        <w:rPr>
          <w:rFonts w:ascii="Times New Roman" w:cs="Times New Roman" w:eastAsia="Times New Roman" w:hAnsi="Times New Roman"/>
          <w:sz w:val="14"/>
          <w:szCs w:val="14"/>
          <w:color w:val="auto"/>
        </w:rPr>
        <w:t xml:space="preserve">As described more completely in Note 7, </w:t>
      </w:r>
      <w:r>
        <w:rPr>
          <w:rFonts w:ascii="Times New Roman" w:cs="Times New Roman" w:eastAsia="Times New Roman" w:hAnsi="Times New Roman"/>
          <w:sz w:val="14"/>
          <w:szCs w:val="14"/>
          <w:i w:val="1"/>
          <w:iCs w:val="1"/>
          <w:color w:val="auto"/>
        </w:rPr>
        <w:t>Convertible Promissory Notes and other Notes Payable</w:t>
      </w:r>
      <w:r>
        <w:rPr>
          <w:rFonts w:ascii="Times New Roman" w:cs="Times New Roman" w:eastAsia="Times New Roman" w:hAnsi="Times New Roman"/>
          <w:sz w:val="14"/>
          <w:szCs w:val="14"/>
          <w:color w:val="auto"/>
        </w:rPr>
        <w:t xml:space="preserve">, and Note 8, </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to the accompanying Condensed Consolidated Financial Statements in Part I of this Report, between May 12, 2015 and December 31, 2015, we have extinguished the outstanding balances of approximately $17.2 million of promissory notes, including our Senior Secured Notes, our 2014 Unit Notes and other debt and certain adjustments thereto that were either already due and payable or would have otherwise matured prior to March 31, 2016 by converting such balances into shares of our Series B Preferred. We treated the conversion of the indebtedness into Series B Preferred as extinguishments of debt for accounting purposes. Since the fair value of the Series B Preferred we negotiated in settlement of the promissory notes and other indebtedness exceeded the carrying value of the debts, we incurred noncash losses on each of the extinguishments. Additionally, under the terms of the Platinum Agreement, we issued to Platinum 400,000 shares of Series B Preferred having an aggregate fair value of $4.0 million and Series B Warrants to purchase 1.2 million shares of our common stock having an aggregate of fair value of $8,270,900. We recognized this aggregate fair value as an additional noncash component of loss on extinguishment of debt. Many of the 2014 Unit Notes that were converted into Series B Preferred contained a beneficial conversion feature at the time they were originally issued. We have accounted for the repurchase of the beneficial conversion feature at the time the 2014 Unit Notes were extinguished and converted, an aggregate of $2,237,100, as a reduction to the loss on extinguishment of debt. We recorded an aggregate net noncash loss of $26.7 million attributable to the extinguishment of the indebtedness converted into Series B Preferred.</w:t>
      </w:r>
    </w:p>
    <w:p>
      <w:pPr>
        <w:spacing w:after="0" w:line="171"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During the quarter ended June 30, 2014, we entered into agreements with substantially all holders of our 2013 Unit Notes and 2013 Unit Warrants to amend certain terms of the notes and the warrants to essentially conform them to the 2014 Unit Notes and 2014 Unit Warrants. We treated the amendments as an extinguishment of debt for accounting purposes and recognized noncash losses on the extinguishment of debt in the aggregate amount of $526,200 attributable to the amendments. We also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during the quarter ended June 30, 2014. In July 2014, we entered into an agreement with Platinum, as further amended in September 2014, pursuant to which Platinum agreed to convert into our unregistered equity securities all then outstanding Senior Secured Notes and related accrued interest held by Platinum upon our consummation prior to October 31, 2014 of either (i) a Private Financing or a Public Offering, each as defined in the agreement. Prior to the agreement, the Senior Secured Notes were convertible, at Platinum’s option, at any time prior to maturity at a conversion price of $10.00 per share. The modification of the conversion feature in the Senior Secured Notes was treated as an extinguishment of the debt for accounting purposes and we recognized a non-cash loss on the extinguishment of debt in the aggregate amount of $1,603,400 attributable to the amendment in the quarter ended September 30, 2014.</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37" w:name="page38"/>
    <w:bookmarkEnd w:id="37"/>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5"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In October 2014, we accepted a cash payment of $60,000 as settlement in full for a promissory note issued to us in May 2011 for the purchase of shares of our common stock. At the time of the payment, the principal and accrued interest due to us on the note receivable was $194,900, resulting in a noncash loss of $134,900 related to the settlement recognized in Other expense in the nine months ended December 31, 2014. Other expense in the nine months ended December 31, 2015 reflects the noncash loss on the disposition of a piece of failed lab equipment.</w:t>
      </w:r>
    </w:p>
    <w:p>
      <w:pPr>
        <w:spacing w:after="0" w:line="158"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We allocated the proceeds from the self-placed private placement sales of Series B Preferred Units between May 2015 and December 31, 2015 to the Series B Preferred and the Series B Warrants based on their relative fair values on the dates of the sales. The difference, for accounting purposes, between the relative fair value per share of the Series B Preferred, approximately $4.12 per share, and its Conversion Price (or stated value) of $7.00 per share represents a deemed dividend to the purchasers of the Series B Preferred Units. Accordingly, we have recognized a deemed dividend in the aggregate amount of $1,811,800 in arriving at net loss attributable to common stockholders for the nine months ended December 31, 2015 in the accompanying Condensed Consolidated Statement of Operations and Comprehensive Loss included in Part I of this Report. Further, we have recognized $1,459,300 representing the 10% cumulative dividend payable on our Series B Preferred as an additional deduction in arriving at net loss attributable to common stockholders for the nine months ended December 31, 2015 in the accompanying Condensed Consolidated Statement of Operations and Comprehensive Loss.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Since our inception in May 1998 through December 31, 2015, we have financed our operations through (1) the issuance and sale of our common stock, preferred stock, warrants for common stock, and promissory notes for aggregate cash proceeds of approximately $33.9 million; (2) issuance of common stock and preferred stock with an approximate value at issuance of $28.9 million as consideration for, among other things, technology licenses and patent prosecution, sponsored research, contract research, drug development, drug manufacturing, regulatory services, and legal, investor relations, corporate development and financial advisory services; and (3) receipt of aggregate non-dilutive cash proceeds of approximately $16.4 million from government research and development grant awards and strategic collaboration transactions.</w:t>
      </w:r>
    </w:p>
    <w:p>
      <w:pPr>
        <w:spacing w:after="0" w:line="161"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 xml:space="preserve">As described more completely in Note 7, </w:t>
      </w:r>
      <w:r>
        <w:rPr>
          <w:rFonts w:ascii="Times New Roman" w:cs="Times New Roman" w:eastAsia="Times New Roman" w:hAnsi="Times New Roman"/>
          <w:sz w:val="14"/>
          <w:szCs w:val="14"/>
          <w:i w:val="1"/>
          <w:iCs w:val="1"/>
          <w:color w:val="auto"/>
        </w:rPr>
        <w:t>Convertible Promissory Notes and other Notes Payable</w:t>
      </w:r>
      <w:r>
        <w:rPr>
          <w:rFonts w:ascii="Times New Roman" w:cs="Times New Roman" w:eastAsia="Times New Roman" w:hAnsi="Times New Roman"/>
          <w:sz w:val="14"/>
          <w:szCs w:val="14"/>
          <w:color w:val="auto"/>
        </w:rPr>
        <w:t xml:space="preserve">, and Note 8, </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to the accompanying Condensed Consolidated Financial Statements in Part I of this Report, between March 31, 2015 and December 31, 2015, we created our Series B 10% Convertible Preferred Stock (</w:t>
      </w:r>
      <w:r>
        <w:rPr>
          <w:rFonts w:ascii="Times New Roman" w:cs="Times New Roman" w:eastAsia="Times New Roman" w:hAnsi="Times New Roman"/>
          <w:sz w:val="14"/>
          <w:szCs w:val="14"/>
          <w:i w:val="1"/>
          <w:iCs w:val="1"/>
          <w:color w:val="auto"/>
        </w:rPr>
        <w:t>Series B Preferred</w:t>
      </w:r>
      <w:r>
        <w:rPr>
          <w:rFonts w:ascii="Times New Roman" w:cs="Times New Roman" w:eastAsia="Times New Roman" w:hAnsi="Times New Roman"/>
          <w:sz w:val="14"/>
          <w:szCs w:val="14"/>
          <w:color w:val="auto"/>
        </w:rPr>
        <w:t>) and eliminated the outstanding balances of approximately $17.2 million of promissory notes, other indebtedness and certain adjustments thereto that was either already due and payable or would have otherwise matured prior to March 31, 2016, through conversion into our Series B Preferred and, with respect to a portion of the indebtedness converted, warrants to purchase common stock. More specifically, through December 31, 2015, we have extinguished and converted (i) all of the Senior Secured Convertible Promissory Notes originally issued to Platinum, (ii) all of the 2014 Unit Notes outstanding at March 31, 2015 and those issued subsequently, and (iii) substantially all other outstanding promissory notes and accounts payable, including those issued to Cato Research Ltd., Cato Holding Company, Morrison &amp; Foerster (Note A and Note B), University Health Network, McCarthy Tetrault, Desjardins Securities, Burr Pilger &amp; Mayer, National Jewish Health, MicroConstants and several others, into an aggregate of 2,618,917 shares of our Series B Preferred. Additionally, through December 31, 2015, in our self-placed private placement of Series B Units, we have sold additional Series B Preferred Units consisting of an aggregate of 628,264 unregistered shares of Series B Preferred and five year warrants to purchase 628,264 shares of our common stock, and we have received cash proceeds of $4,397,800.</w:t>
      </w:r>
    </w:p>
    <w:p>
      <w:pPr>
        <w:spacing w:after="0" w:line="146" w:lineRule="exact"/>
        <w:rPr>
          <w:sz w:val="20"/>
          <w:szCs w:val="20"/>
          <w:color w:val="auto"/>
        </w:rPr>
      </w:pPr>
    </w:p>
    <w:p>
      <w:pPr>
        <w:jc w:val="both"/>
        <w:ind w:firstLine="507"/>
        <w:spacing w:after="0" w:line="254" w:lineRule="auto"/>
        <w:rPr>
          <w:sz w:val="20"/>
          <w:szCs w:val="20"/>
          <w:color w:val="auto"/>
        </w:rPr>
      </w:pPr>
      <w:r>
        <w:rPr>
          <w:rFonts w:ascii="Times New Roman" w:cs="Times New Roman" w:eastAsia="Times New Roman" w:hAnsi="Times New Roman"/>
          <w:sz w:val="14"/>
          <w:szCs w:val="14"/>
          <w:color w:val="auto"/>
        </w:rPr>
        <w:t>At December 31, 2015, we did not have sufficient cash and cash equivalents to enable us to fund our planned operations over the next twelve months, including expected cash expenditures of approximately $6.0 million. In August 2015, we entered into an agreement with Platinum (</w:t>
      </w:r>
      <w:r>
        <w:rPr>
          <w:rFonts w:ascii="Times New Roman" w:cs="Times New Roman" w:eastAsia="Times New Roman" w:hAnsi="Times New Roman"/>
          <w:sz w:val="14"/>
          <w:szCs w:val="14"/>
          <w:i w:val="1"/>
          <w:iCs w:val="1"/>
          <w:color w:val="auto"/>
        </w:rPr>
        <w:t>August 2015 Agreement</w:t>
      </w:r>
      <w:r>
        <w:rPr>
          <w:rFonts w:ascii="Times New Roman" w:cs="Times New Roman" w:eastAsia="Times New Roman" w:hAnsi="Times New Roman"/>
          <w:sz w:val="14"/>
          <w:szCs w:val="14"/>
          <w:color w:val="auto"/>
        </w:rPr>
        <w:t xml:space="preserve">) pursuant to which we agreed to sell to Platinum an additional $3.0 million of our Series B Preferred and Series B Warrants (collectively, </w:t>
      </w:r>
      <w:r>
        <w:rPr>
          <w:rFonts w:ascii="Times New Roman" w:cs="Times New Roman" w:eastAsia="Times New Roman" w:hAnsi="Times New Roman"/>
          <w:sz w:val="14"/>
          <w:szCs w:val="14"/>
          <w:i w:val="1"/>
          <w:iCs w:val="1"/>
          <w:color w:val="auto"/>
        </w:rPr>
        <w:t>Series B Units</w:t>
      </w:r>
      <w:r>
        <w:rPr>
          <w:rFonts w:ascii="Times New Roman" w:cs="Times New Roman" w:eastAsia="Times New Roman" w:hAnsi="Times New Roman"/>
          <w:sz w:val="14"/>
          <w:szCs w:val="14"/>
          <w:color w:val="auto"/>
        </w:rPr>
        <w:t xml:space="preserve">). Through December 31, 2015, Platinum purchased an additional $1.65 million of Series B Units under the August 2015 Agreement. Concurrently with its December 2015 purchase of $1.0 million of Series B Units and at our request, Platinum agreed to cancel its right to purchase the remaining $1.35 million of the Series B Units under the August 2015 Agreement. As more particularly disclosed in Note 10,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from January 1, 2016 through February 12, 2016, we have sold to certain accredited investors other than Platinum $128,000 of our Series B Units in self-placed private placement transactions. We intend to raise additional capital through conversions, exchanges, issuances, and/or sales of our securities, which may include both debt and equity securities. We may also seek research and development collaborations that could generate revenue, as well as government grant awards. Further, strategic collaborations, such as our February 2015 Cooperative Research and Development Agreement (</w:t>
      </w:r>
      <w:r>
        <w:rPr>
          <w:rFonts w:ascii="Times New Roman" w:cs="Times New Roman" w:eastAsia="Times New Roman" w:hAnsi="Times New Roman"/>
          <w:sz w:val="14"/>
          <w:szCs w:val="14"/>
          <w:i w:val="1"/>
          <w:iCs w:val="1"/>
          <w:color w:val="auto"/>
        </w:rPr>
        <w:t>CRADA</w:t>
      </w:r>
      <w:r>
        <w:rPr>
          <w:rFonts w:ascii="Times New Roman" w:cs="Times New Roman" w:eastAsia="Times New Roman" w:hAnsi="Times New Roman"/>
          <w:sz w:val="14"/>
          <w:szCs w:val="14"/>
          <w:color w:val="auto"/>
        </w:rPr>
        <w:t>) with the U.S. National Institute of Mental Health (</w:t>
      </w:r>
      <w:r>
        <w:rPr>
          <w:rFonts w:ascii="Times New Roman" w:cs="Times New Roman" w:eastAsia="Times New Roman" w:hAnsi="Times New Roman"/>
          <w:sz w:val="14"/>
          <w:szCs w:val="14"/>
          <w:i w:val="1"/>
          <w:iCs w:val="1"/>
          <w:color w:val="auto"/>
        </w:rPr>
        <w:t>NIMH</w:t>
      </w:r>
      <w:r>
        <w:rPr>
          <w:rFonts w:ascii="Times New Roman" w:cs="Times New Roman" w:eastAsia="Times New Roman" w:hAnsi="Times New Roman"/>
          <w:sz w:val="14"/>
          <w:szCs w:val="14"/>
          <w:color w:val="auto"/>
        </w:rPr>
        <w:t>)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the size of our staff and staff salaries and benefits, as well as costs relating to regulatory consulting, contract research and development, investor relations and corporate development, legal, accounting, public company compliance and other professional services and working capital costs.</w:t>
      </w:r>
    </w:p>
    <w:p>
      <w:pPr>
        <w:spacing w:after="0" w:line="148"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38" w:name="page39"/>
    <w:bookmarkEnd w:id="38"/>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and Cash Equivalents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following table summarizes changes in cash and cash equivalents for the periods stated (in thousands):</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(3,499</w:t>
            </w:r>
          </w:p>
        </w:tc>
        <w:tc>
          <w:tcPr>
            <w:tcW w:w="8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(1,874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w:t>
            </w:r>
          </w:p>
        </w:tc>
        <w:tc>
          <w:tcPr>
            <w:tcW w:w="86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4,592</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1,887</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tcBorders>
              <w:top w:val="single" w:sz="8" w:color="CCEEFF"/>
            </w:tcBorders>
            <w:gridSpan w:val="2"/>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0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1,088</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13</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70</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gridSpan w:val="2"/>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1,158</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13</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6660" w:type="dxa"/>
            <w:vAlign w:val="bottom"/>
            <w:gridSpan w:val="3"/>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We have no off-balance sheet arrangements.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4.</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CONTROLS AND PROCEDURES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Internal Control over Financial Reporting</w:t>
      </w:r>
    </w:p>
    <w:p>
      <w:pPr>
        <w:spacing w:after="0" w:line="200"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39" w:name="page40"/>
    <w:bookmarkEnd w:id="39"/>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the date of this Report, we were not party to any legal matters or claims.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98" w:lineRule="exact"/>
        <w:rPr>
          <w:sz w:val="20"/>
          <w:szCs w:val="20"/>
          <w:color w:val="auto"/>
        </w:rPr>
      </w:pPr>
    </w:p>
    <w:p>
      <w:pPr>
        <w:jc w:val="both"/>
        <w:ind w:firstLine="507"/>
        <w:spacing w:after="0" w:line="264"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You should consider carefully the risks and uncertainties described below, together with all of the other information in this Quarterly Report on Form 10-Q and in our Annual Report on Form 10-K filed with the Securities and Exchange Commission for the fiscal year ended March 31, 2015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Product Development, Regulatory Approval and Commercialization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200" w:lineRule="exact"/>
        <w:rPr>
          <w:sz w:val="20"/>
          <w:szCs w:val="20"/>
          <w:color w:val="auto"/>
        </w:rPr>
      </w:pPr>
    </w:p>
    <w:p>
      <w:pPr>
        <w:jc w:val="both"/>
        <w:ind w:firstLine="507"/>
        <w:spacing w:after="0" w:line="254" w:lineRule="auto"/>
        <w:rPr>
          <w:sz w:val="20"/>
          <w:szCs w:val="20"/>
          <w:color w:val="auto"/>
        </w:rPr>
      </w:pPr>
      <w:r>
        <w:rPr>
          <w:rFonts w:ascii="Times New Roman" w:cs="Times New Roman" w:eastAsia="Times New Roman" w:hAnsi="Times New Roman"/>
          <w:sz w:val="14"/>
          <w:szCs w:val="14"/>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Major Depressive Disorder (</w:t>
      </w:r>
      <w:r>
        <w:rPr>
          <w:rFonts w:ascii="Times New Roman" w:cs="Times New Roman" w:eastAsia="Times New Roman" w:hAnsi="Times New Roman"/>
          <w:sz w:val="14"/>
          <w:szCs w:val="14"/>
          <w:i w:val="1"/>
          <w:iCs w:val="1"/>
          <w:color w:val="auto"/>
        </w:rPr>
        <w:t>MDD</w:t>
      </w:r>
      <w:r>
        <w:rPr>
          <w:rFonts w:ascii="Times New Roman" w:cs="Times New Roman" w:eastAsia="Times New Roman" w:hAnsi="Times New Roman"/>
          <w:sz w:val="14"/>
          <w:szCs w:val="14"/>
          <w:color w:val="auto"/>
        </w:rPr>
        <w:t>), and various other diseases and disorders involving the central nervous system (</w:t>
      </w:r>
      <w:r>
        <w:rPr>
          <w:rFonts w:ascii="Times New Roman" w:cs="Times New Roman" w:eastAsia="Times New Roman" w:hAnsi="Times New Roman"/>
          <w:sz w:val="14"/>
          <w:szCs w:val="14"/>
          <w:i w:val="1"/>
          <w:iCs w:val="1"/>
          <w:color w:val="auto"/>
        </w:rPr>
        <w:t>CNS</w:t>
      </w:r>
      <w:r>
        <w:rPr>
          <w:rFonts w:ascii="Times New Roman" w:cs="Times New Roman" w:eastAsia="Times New Roman" w:hAnsi="Times New Roman"/>
          <w:sz w:val="14"/>
          <w:szCs w:val="14"/>
          <w:color w:val="auto"/>
        </w:rPr>
        <w:t>), as well as our ability to produce, develop and commercialize new chemical entities (</w:t>
      </w:r>
      <w:r>
        <w:rPr>
          <w:rFonts w:ascii="Times New Roman" w:cs="Times New Roman" w:eastAsia="Times New Roman" w:hAnsi="Times New Roman"/>
          <w:sz w:val="14"/>
          <w:szCs w:val="14"/>
          <w:i w:val="1"/>
          <w:iCs w:val="1"/>
          <w:color w:val="auto"/>
        </w:rPr>
        <w:t>NCEs</w:t>
      </w:r>
      <w:r>
        <w:rPr>
          <w:rFonts w:ascii="Times New Roman" w:cs="Times New Roman" w:eastAsia="Times New Roman" w:hAnsi="Times New Roman"/>
          <w:sz w:val="14"/>
          <w:szCs w:val="14"/>
          <w:color w:val="auto"/>
        </w:rPr>
        <w:t>) from our drug rescue programs. AV-101 will require substantial additional Phase 2 and Phase 3 clinical development, testing and regulatory approval before we are permitted to commence its commercialization.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U.S. Food and Drug Administration, or FDA, regulatory approval process and will be commercialized. Accordingly, even if we are able to obtain the requisite financing to continue to fund our non-clinical studies and clinical trials, we cannot assure you that AV-101, any drug rescue NCE, or any other product candidate will be successfully developed or commercialized.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40" w:name="page41"/>
    <w:bookmarkEnd w:id="40"/>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5"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We are not permitted to market our product candidates in the United States until we receive approval of a New Drug Application, or an NDA, from the FDA, or in any foreign countries until we receive the requisite approval from such countries. In late-2015, in collaboration with the NIMH under our CRADA, we began a Phase 2A clinical trial involving AV-101, to study its safety, tolerability and efficacy in patients with MDD. If our Phase 2A clinical trial of AV-101 is successful, we expect the FDA to require us to complete at least one pivotal Phase 2B clinical trial and at least one pivotal Phase 3 clinical trial in order to submit an NDA for AV-101 as an adjunctive treatment for MDD. However, the FDA may require that we conduct more than one Phase 2B clinical study and more than one Phase 3 pivotal trial of AV-101 before we can submit an NDA. The FDA may also require that we conduct additional toxicity studies and additional non-clinical studies before submitting an NDA for AV-101.</w:t>
      </w:r>
    </w:p>
    <w:p>
      <w:pPr>
        <w:spacing w:after="0" w:line="145"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Obtaining FDA approval of an NDA is a complex, lengthy, expensive and uncertain process, and the FDA may delay, limit or deny approval of AV-101 or any of our product candidates for many reasons, including, among others:</w:t>
      </w:r>
    </w:p>
    <w:p>
      <w:pPr>
        <w:spacing w:after="0" w:line="146" w:lineRule="exact"/>
        <w:rPr>
          <w:sz w:val="20"/>
          <w:szCs w:val="20"/>
          <w:color w:val="auto"/>
        </w:rPr>
      </w:pPr>
    </w:p>
    <w:p>
      <w:pPr>
        <w:ind w:left="940" w:hanging="471"/>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demonstrate that our product candidate is safe and effective in treating a human disease or disorder, to the satisfaction of the FDA;</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non-clinical studies and clinical trials may not meet the level of statistical or clinical significance required by the FDA for marketing approval;</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disagree with the number, design, size, conduct or implementation of our non-clinical studies and clinical trials;</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require that we conduct additional non-clinical studies and clinical trials;</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the applicable foreign regulatory agency may not approve the formulation, labeling or specifications of any of our product candidates;</w:t>
      </w:r>
    </w:p>
    <w:p>
      <w:pPr>
        <w:spacing w:after="0" w:line="198" w:lineRule="exact"/>
        <w:rPr>
          <w:rFonts w:ascii="Times New Roman" w:cs="Times New Roman" w:eastAsia="Times New Roman" w:hAnsi="Times New Roman"/>
          <w:sz w:val="14"/>
          <w:szCs w:val="14"/>
          <w:color w:val="auto"/>
        </w:rPr>
      </w:pPr>
    </w:p>
    <w:p>
      <w:pPr>
        <w:ind w:left="940" w:hanging="471"/>
        <w:spacing w:after="0" w:line="285" w:lineRule="auto"/>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 research organizations, or CROs, that we retain to conduct our non-clinical studies and clinical trials may take actions outside of our control that materially adversely impact our non-clinical studies and clinical trials;</w:t>
      </w:r>
    </w:p>
    <w:p>
      <w:pPr>
        <w:spacing w:after="0" w:line="145"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find the data from non-clinical studies and clinical trials insufficient to demonstrate that our product candidates’ clinical and other benefits outweigh their safety risks;</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disagree with our interpretation of data from our non-clinical studies and clinical trials;</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not accept data generated at our non-clinical studies and clinical trial sites;</w:t>
      </w:r>
    </w:p>
    <w:p>
      <w:pPr>
        <w:spacing w:after="0" w:line="198" w:lineRule="exact"/>
        <w:rPr>
          <w:rFonts w:ascii="Times New Roman" w:cs="Times New Roman" w:eastAsia="Times New Roman" w:hAnsi="Times New Roman"/>
          <w:sz w:val="14"/>
          <w:szCs w:val="14"/>
          <w:color w:val="auto"/>
        </w:rPr>
      </w:pPr>
    </w:p>
    <w:p>
      <w:pPr>
        <w:jc w:val="both"/>
        <w:ind w:left="940" w:hanging="471"/>
        <w:spacing w:after="0" w:line="268" w:lineRule="auto"/>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57"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require development of a Risk Evaluation and Mitigation Strategy, or REMS, as a condition of approval or post-approval;</w:t>
      </w:r>
    </w:p>
    <w:p>
      <w:pPr>
        <w:spacing w:after="0" w:line="198" w:lineRule="exact"/>
        <w:rPr>
          <w:rFonts w:ascii="Times New Roman" w:cs="Times New Roman" w:eastAsia="Times New Roman" w:hAnsi="Times New Roman"/>
          <w:sz w:val="14"/>
          <w:szCs w:val="14"/>
          <w:color w:val="auto"/>
        </w:rPr>
      </w:pPr>
    </w:p>
    <w:p>
      <w:pPr>
        <w:ind w:left="940" w:hanging="471"/>
        <w:spacing w:after="0" w:line="285" w:lineRule="auto"/>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or cGMPs; or</w:t>
      </w:r>
    </w:p>
    <w:p>
      <w:pPr>
        <w:spacing w:after="0" w:line="145"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applicable foreign regulatory agency may change its approval policies or adopt new regulations.</w:t>
      </w:r>
    </w:p>
    <w:p>
      <w:pPr>
        <w:spacing w:after="0" w:line="198"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would have a material adverse effect on our business and prospects.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Fast Track designation by the FDA may not actually lead to a faster development or regulatory review or approval process.</w:t>
      </w:r>
    </w:p>
    <w:p>
      <w:pPr>
        <w:spacing w:after="0" w:line="200"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We intend to seek FDA Fast Track designation for AV-101 for adjunctive treatment of MDD, and we may do so for other product candidates as well. If a product candidate is intended for the treatment of a serious or life-threatening condition and the product candidate demonstrates the potential to address unmet medical needs for this condition, the sponsor may apply for the FDA Fast Track designation.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63"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our NIH-funded Phase 2A clinical study of AV-101 in MDD, thereby delaying or preventing clinical development. Further, if AV-101 is approved for adjunctive treatment of MDD, and the market for this indication is smaller than we anticipate, our ability to achieve profitability could be limited.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41" w:name="page42"/>
    <w:bookmarkEnd w:id="41"/>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Results of earlier clinical trials may not be predictive of the results of later-stage clinical trials.</w:t>
      </w:r>
    </w:p>
    <w:p>
      <w:pPr>
        <w:spacing w:after="0" w:line="179"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39"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39"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5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If serious adverse events or other undesirable side effects are identified during the use of AV-101 in clinical trials, it may adversely effect our development of AV-101 for MDD and other CNS indications.</w:t>
      </w:r>
    </w:p>
    <w:p>
      <w:pPr>
        <w:spacing w:after="0" w:line="144"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AV-101 is currently being tested in an NIH-investigator sponsored Phase 2A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Positive results from early preclinical studies and clinical trials of AV-101 or other product candidates are not necessarily predictive of the results of later preclinical studies and clinical trials of such product candidates. If we cannot replicate the positive results from our earlier pre-clinical studies and clinical trials of AV-101 or other product candidates in our later pre-clinical studies and clinical trials, we may be unable to successfully develop, obtain regulatory approval for and commercialize our product candidates.</w:t>
      </w:r>
    </w:p>
    <w:p>
      <w:pPr>
        <w:spacing w:after="0" w:line="156"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Positive results from preclinical studies of our product candidates, and any positive results we may obtain from early clinical trials of our product candidates, may not necessarily be predictive of the results from required later pre-clinical studies and clinical trials. Similarly, even if we are able to complete our planned pre-clinical studies or clinical trials of our product candidates according to our current development timeline, the positive results from our pre-clinical studies and clinical trials of our product candidates may not be replicated in subsequent pre-clinical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2A clinical trial for AV-101, and if we fail to produce positive results in our NIH-sponsored Phase 2A clinical trial of AV-101 in MDD, the development timeline and regulatory approval and commercialization prospects for AV-101 and, correspondingly, our business and financial prospects, could be materially adversely affected.</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42" w:name="page43"/>
    <w:bookmarkEnd w:id="42"/>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123" w:lineRule="exact"/>
        <w:rPr>
          <w:sz w:val="20"/>
          <w:szCs w:val="20"/>
          <w:color w:val="auto"/>
        </w:rPr>
      </w:pPr>
    </w:p>
    <w:p>
      <w:pPr>
        <w:jc w:val="both"/>
        <w:ind w:firstLine="482"/>
        <w:spacing w:after="0" w:line="263" w:lineRule="auto"/>
        <w:rPr>
          <w:sz w:val="20"/>
          <w:szCs w:val="20"/>
          <w:color w:val="auto"/>
        </w:rPr>
      </w:pPr>
      <w:r>
        <w:rPr>
          <w:rFonts w:ascii="Times New Roman" w:cs="Times New Roman" w:eastAsia="Times New Roman" w:hAnsi="Times New Roman"/>
          <w:sz w:val="14"/>
          <w:szCs w:val="14"/>
          <w:color w:val="auto"/>
        </w:rPr>
        <w:t>Under our CRADA, we and the NIH have commenced an NIH-funded Phase 2A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NIH-funded Phase 2A study of AV-101 or any of our future-planned clinical trials will be completed on schedule, if at all, as the commencement and completion of clinical trials can be delayed or prevented for a number of reasons, including, among others:</w:t>
      </w:r>
    </w:p>
    <w:p>
      <w:pPr>
        <w:spacing w:after="0" w:line="139" w:lineRule="exact"/>
        <w:rPr>
          <w:sz w:val="20"/>
          <w:szCs w:val="20"/>
          <w:color w:val="auto"/>
        </w:rPr>
      </w:pPr>
    </w:p>
    <w:p>
      <w:pPr>
        <w:ind w:left="940" w:hanging="471"/>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deny permission to proceed with our planned clinical trials or any other clinical trials we may initiate, or may place a clinical trial on hold;</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filing or receiving approvals of additional INDs that may be required;</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results from our ongoing pre-clinical studies;</w:t>
      </w:r>
    </w:p>
    <w:p>
      <w:pPr>
        <w:spacing w:after="0" w:line="198" w:lineRule="exact"/>
        <w:rPr>
          <w:rFonts w:ascii="Times New Roman" w:cs="Times New Roman" w:eastAsia="Times New Roman" w:hAnsi="Times New Roman"/>
          <w:sz w:val="14"/>
          <w:szCs w:val="14"/>
          <w:color w:val="auto"/>
        </w:rPr>
      </w:pPr>
    </w:p>
    <w:p>
      <w:pPr>
        <w:ind w:left="940" w:right="260" w:hanging="471"/>
        <w:spacing w:after="0" w:line="285" w:lineRule="auto"/>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45" w:lineRule="exact"/>
        <w:rPr>
          <w:rFonts w:ascii="Times New Roman" w:cs="Times New Roman" w:eastAsia="Times New Roman" w:hAnsi="Times New Roman"/>
          <w:sz w:val="14"/>
          <w:szCs w:val="14"/>
          <w:color w:val="auto"/>
        </w:rPr>
      </w:pPr>
    </w:p>
    <w:p>
      <w:pPr>
        <w:ind w:left="940" w:right="140" w:hanging="471"/>
        <w:spacing w:after="0" w:line="285" w:lineRule="auto"/>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quantity or quality of a product candidate or other materials necessary to conduct clinical trials, for example delays in the manufacturing of sufficient supply of finished drug product;</w:t>
      </w:r>
    </w:p>
    <w:p>
      <w:pPr>
        <w:spacing w:after="0" w:line="145"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obtaining Institutional Review Board, or IRB, approval to conduct a clinical trial at a prospective site or sites;</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recruiting and enrolling patients to participate in clinical trials, including the proximity of patients to trial sites;</w:t>
      </w:r>
    </w:p>
    <w:p>
      <w:pPr>
        <w:spacing w:after="0" w:line="198" w:lineRule="exact"/>
        <w:rPr>
          <w:rFonts w:ascii="Times New Roman" w:cs="Times New Roman" w:eastAsia="Times New Roman" w:hAnsi="Times New Roman"/>
          <w:sz w:val="14"/>
          <w:szCs w:val="14"/>
          <w:color w:val="auto"/>
        </w:rPr>
      </w:pPr>
    </w:p>
    <w:p>
      <w:pPr>
        <w:ind w:left="940" w:right="80" w:hanging="471"/>
        <w:spacing w:after="0" w:line="285" w:lineRule="auto"/>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45"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or unexpected drug-related side effects experienced by patients in a clinical trial;</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validating any endpoints utilized in a clinical trial;</w:t>
      </w:r>
    </w:p>
    <w:p>
      <w:pPr>
        <w:spacing w:after="0" w:line="198" w:lineRule="exact"/>
        <w:rPr>
          <w:rFonts w:ascii="Times New Roman" w:cs="Times New Roman" w:eastAsia="Times New Roman" w:hAnsi="Times New Roman"/>
          <w:sz w:val="14"/>
          <w:szCs w:val="14"/>
          <w:color w:val="auto"/>
        </w:rPr>
      </w:pPr>
    </w:p>
    <w:p>
      <w:pPr>
        <w:ind w:left="940" w:right="560" w:hanging="471"/>
        <w:spacing w:after="0" w:line="285" w:lineRule="auto"/>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45"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from pre-clinical or clinical testing of other CNS therapies that raise safety or efficacy concerns; and</w:t>
      </w:r>
    </w:p>
    <w:p>
      <w:pPr>
        <w:spacing w:after="0" w:line="198" w:lineRule="exact"/>
        <w:rPr>
          <w:rFonts w:ascii="Times New Roman" w:cs="Times New Roman" w:eastAsia="Times New Roman" w:hAnsi="Times New Roman"/>
          <w:sz w:val="14"/>
          <w:szCs w:val="14"/>
          <w:color w:val="auto"/>
        </w:rPr>
      </w:pPr>
    </w:p>
    <w:p>
      <w:pPr>
        <w:ind w:left="940" w:right="160" w:hanging="471"/>
        <w:spacing w:after="0" w:line="285" w:lineRule="auto"/>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retaining patients who have enrolled in a clinical trial but may be prone to withdraw due to rigors of the clinical trials, lack of efficacy, side effects, personal issues or loss of interest.</w:t>
      </w:r>
    </w:p>
    <w:p>
      <w:pPr>
        <w:spacing w:after="0" w:line="125"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or DSMB, overseeing the clinical trial at issue or other regulatory authorities due to a number of factors, including, among others:</w:t>
      </w:r>
    </w:p>
    <w:p>
      <w:pPr>
        <w:spacing w:after="0" w:line="158" w:lineRule="exact"/>
        <w:rPr>
          <w:sz w:val="20"/>
          <w:szCs w:val="20"/>
          <w:color w:val="auto"/>
        </w:rPr>
      </w:pPr>
    </w:p>
    <w:p>
      <w:pPr>
        <w:ind w:left="940" w:hanging="471"/>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conduct the clinical trial in accordance with regulatory requirements or our clinical protocols;</w:t>
      </w:r>
    </w:p>
    <w:p>
      <w:pPr>
        <w:spacing w:after="0" w:line="198" w:lineRule="exact"/>
        <w:rPr>
          <w:rFonts w:ascii="Times New Roman" w:cs="Times New Roman" w:eastAsia="Times New Roman" w:hAnsi="Times New Roman"/>
          <w:sz w:val="14"/>
          <w:szCs w:val="14"/>
          <w:color w:val="auto"/>
        </w:rPr>
      </w:pPr>
    </w:p>
    <w:p>
      <w:pPr>
        <w:ind w:left="940" w:right="420" w:hanging="471"/>
        <w:spacing w:after="0" w:line="285" w:lineRule="auto"/>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45"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safety issues, including any that could be identified in our ongoing non-clinical carcinogenicity studies, adverse side effects or lack of effectiveness;</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 regulations or administrative actions;</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problems with clinical supply materials; and</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adequate funding to continue clinical trials.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43" w:name="page44"/>
    <w:bookmarkEnd w:id="43"/>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Changes in regulatory requirements, FDA guidance or unanticipated events during our preclinical studies and clinical trials of our product candidates may occur, which may result in changes to preclinical studies and clinical trial protocols or additional preclinical studies and clinical trial requirements, which could result in increased costs to us and could delay our development timeline.</w:t>
      </w:r>
    </w:p>
    <w:p>
      <w:pPr>
        <w:spacing w:after="0" w:line="144"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Changes in regulatory requirements, FDA guidance or unanticipated events during our preclinical studies and clinical trials may force us to amend preclinical studies and clinical trial protocols or the FDA may impose additional preclinical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pre-clinical studies may adversely impact the cost, timing, or successful completion of those pre-clinical studies. If we experience delays completing, or if we terminate, any of our pre-clinical studies or clinical trials, or if we are required to conduct additional pre-clinical studies or clinical trials, the commercial prospects for our product candidates may be harmed and our ability to generate product revenue will be delayed.</w:t>
      </w:r>
    </w:p>
    <w:p>
      <w:pPr>
        <w:spacing w:after="0" w:line="16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44"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We do not have the ability to independently conduct clinical trials. We rely on medical institutions, clinical investigators, contract laboratories and other third parties, such as contract research organizations, or CROs, to conduct clinical trials on our product candidates. We enter into agreements with third-party CROs to provide monitors for and to manage data for our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42" w:lineRule="exact"/>
        <w:rPr>
          <w:sz w:val="20"/>
          <w:szCs w:val="20"/>
          <w:color w:val="auto"/>
        </w:rPr>
      </w:pPr>
    </w:p>
    <w:p>
      <w:pPr>
        <w:ind w:left="960" w:hanging="491"/>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staffing difficulties;</w:t>
      </w:r>
    </w:p>
    <w:p>
      <w:pPr>
        <w:spacing w:after="0" w:line="198" w:lineRule="exact"/>
        <w:rPr>
          <w:rFonts w:ascii="Times New Roman" w:cs="Times New Roman" w:eastAsia="Times New Roman" w:hAnsi="Times New Roman"/>
          <w:sz w:val="14"/>
          <w:szCs w:val="14"/>
          <w:color w:val="auto"/>
        </w:rPr>
      </w:pPr>
    </w:p>
    <w:p>
      <w:pPr>
        <w:ind w:left="1000" w:hanging="531"/>
        <w:spacing w:after="0"/>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comply with contractual obligations;</w:t>
      </w:r>
    </w:p>
    <w:p>
      <w:pPr>
        <w:spacing w:after="0" w:line="198" w:lineRule="exact"/>
        <w:rPr>
          <w:rFonts w:ascii="Times New Roman" w:cs="Times New Roman" w:eastAsia="Times New Roman" w:hAnsi="Times New Roman"/>
          <w:sz w:val="14"/>
          <w:szCs w:val="14"/>
          <w:color w:val="auto"/>
        </w:rPr>
      </w:pPr>
    </w:p>
    <w:p>
      <w:pPr>
        <w:ind w:left="960" w:hanging="491"/>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regulatory compliance issues;</w:t>
      </w:r>
    </w:p>
    <w:p>
      <w:pPr>
        <w:spacing w:after="0" w:line="198" w:lineRule="exact"/>
        <w:rPr>
          <w:rFonts w:ascii="Times New Roman" w:cs="Times New Roman" w:eastAsia="Times New Roman" w:hAnsi="Times New Roman"/>
          <w:sz w:val="14"/>
          <w:szCs w:val="14"/>
          <w:color w:val="auto"/>
        </w:rPr>
      </w:pPr>
    </w:p>
    <w:p>
      <w:pPr>
        <w:ind w:left="960" w:hanging="491"/>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undergo changes in priorities or become financially distressed; or</w:t>
      </w:r>
    </w:p>
    <w:p>
      <w:pPr>
        <w:spacing w:after="0" w:line="198" w:lineRule="exact"/>
        <w:rPr>
          <w:rFonts w:ascii="Times New Roman" w:cs="Times New Roman" w:eastAsia="Times New Roman" w:hAnsi="Times New Roman"/>
          <w:sz w:val="14"/>
          <w:szCs w:val="14"/>
          <w:color w:val="auto"/>
        </w:rPr>
      </w:pPr>
    </w:p>
    <w:p>
      <w:pPr>
        <w:ind w:left="960" w:hanging="491"/>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relationships with other entities, some of which may be our competitors.</w:t>
      </w:r>
    </w:p>
    <w:p>
      <w:pPr>
        <w:spacing w:after="0" w:line="198" w:lineRule="exact"/>
        <w:rPr>
          <w:sz w:val="20"/>
          <w:szCs w:val="20"/>
          <w:color w:val="auto"/>
        </w:rPr>
      </w:pPr>
    </w:p>
    <w:p>
      <w:pPr>
        <w:jc w:val="both"/>
        <w:ind w:firstLine="507"/>
        <w:spacing w:after="0" w:line="255" w:lineRule="auto"/>
        <w:rPr>
          <w:sz w:val="20"/>
          <w:szCs w:val="20"/>
          <w:color w:val="auto"/>
        </w:rPr>
      </w:pPr>
      <w:r>
        <w:rPr>
          <w:rFonts w:ascii="Times New Roman" w:cs="Times New Roman" w:eastAsia="Times New Roman" w:hAnsi="Times New Roman"/>
          <w:sz w:val="14"/>
          <w:szCs w:val="14"/>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NIH are required to comply with regulations and guidelines, including current Good Clinical Practices, or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146"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Although we design our clinical trials for our product candidates, we plan to have CROs, and in the case of our initial AV-101 Phase 2A study in MDD, the NIH, conduct the AV-101 Phase 2 and Phase 3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44" w:name="page45"/>
    <w:bookmarkEnd w:id="44"/>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4"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6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44"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60"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165"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We do not have long-term supply agreements in place with our contract manufacturers and each batch of our product candidates is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AV-101 and other product candidates, if approved. Our current scale of manufacturing for AV-101 is adequate to support our currently planned needs for additional pre-clinical studies and clinical trial supplies.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200"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200"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We do not currently have an infrastructure for the sales, marketing and distribution of pharmaceutical products, nor do we intend to create such capabilities. Therefore, in order to market our product candidates globally,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45" w:name="page46"/>
    <w:bookmarkEnd w:id="45"/>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5"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37" w:lineRule="exact"/>
        <w:rPr>
          <w:sz w:val="20"/>
          <w:szCs w:val="20"/>
          <w:color w:val="auto"/>
        </w:rPr>
      </w:pPr>
    </w:p>
    <w:p>
      <w:pPr>
        <w:ind w:left="940" w:right="580" w:hanging="471"/>
        <w:spacing w:after="0" w:line="285" w:lineRule="auto"/>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of our product candidates as demonstrated in clinical trials, and, if required by any applicable regulatory authority in connection with the approval for the applicable indications, to provide patients with incremental health benefits, as compared with other available CNS therapies;</w:t>
      </w:r>
    </w:p>
    <w:p>
      <w:pPr>
        <w:spacing w:after="0" w:line="124"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or warnings contained in the labeling approved for our product candidates by the FDA or other applicable regulatory authorities;</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indications for which our product candidates are approved;</w:t>
      </w:r>
    </w:p>
    <w:p>
      <w:pPr>
        <w:spacing w:after="0" w:line="176"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alternative treatments already approved or expected to be commercially launched in the near future;</w:t>
      </w:r>
    </w:p>
    <w:p>
      <w:pPr>
        <w:spacing w:after="0" w:line="176"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and perceived advantages of our product candidates over current treatment options or alternative treatments, including future alternative treatments;</w:t>
      </w:r>
    </w:p>
    <w:p>
      <w:pPr>
        <w:spacing w:after="0" w:line="176"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new therapies and of physicians to prescribe these therapies;</w:t>
      </w:r>
    </w:p>
    <w:p>
      <w:pPr>
        <w:spacing w:after="0" w:line="198"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marketing and distribution support and timing of market introduction of competitive products;</w:t>
      </w:r>
    </w:p>
    <w:p>
      <w:pPr>
        <w:spacing w:after="0" w:line="176"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publicity concerning our products or competing products and treatments;</w:t>
      </w:r>
    </w:p>
    <w:p>
      <w:pPr>
        <w:spacing w:after="0" w:line="176"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and cost effectiveness;</w:t>
      </w:r>
    </w:p>
    <w:p>
      <w:pPr>
        <w:spacing w:after="0" w:line="176"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sales and marketing strategies;</w:t>
      </w:r>
    </w:p>
    <w:p>
      <w:pPr>
        <w:spacing w:after="0" w:line="176"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increase awareness of our product candidates through marketing efforts;</w:t>
      </w:r>
    </w:p>
    <w:p>
      <w:pPr>
        <w:spacing w:after="0" w:line="176"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sufficient third-party coverage or reimbursement; or</w:t>
      </w:r>
    </w:p>
    <w:p>
      <w:pPr>
        <w:spacing w:after="0" w:line="176" w:lineRule="exact"/>
        <w:rPr>
          <w:rFonts w:ascii="Times New Roman" w:cs="Times New Roman" w:eastAsia="Times New Roman" w:hAnsi="Times New Roman"/>
          <w:sz w:val="14"/>
          <w:szCs w:val="14"/>
          <w:color w:val="auto"/>
        </w:rPr>
      </w:pPr>
    </w:p>
    <w:p>
      <w:pPr>
        <w:ind w:left="940" w:hanging="471"/>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patients to pay out-of-pocket in the absence of third-party coverage.</w:t>
      </w:r>
    </w:p>
    <w:p>
      <w:pPr>
        <w:spacing w:after="0" w:line="177" w:lineRule="exact"/>
        <w:rPr>
          <w:sz w:val="20"/>
          <w:szCs w:val="20"/>
          <w:color w:val="auto"/>
        </w:rPr>
      </w:pPr>
    </w:p>
    <w:p>
      <w:pPr>
        <w:jc w:val="both"/>
        <w:ind w:firstLine="90"/>
        <w:spacing w:after="0" w:line="263" w:lineRule="auto"/>
        <w:rPr>
          <w:sz w:val="20"/>
          <w:szCs w:val="20"/>
          <w:color w:val="auto"/>
        </w:rPr>
      </w:pPr>
      <w:r>
        <w:rPr>
          <w:rFonts w:ascii="Times New Roman" w:cs="Times New Roman" w:eastAsia="Times New Roman" w:hAnsi="Times New Roman"/>
          <w:sz w:val="14"/>
          <w:szCs w:val="14"/>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46" w:name="page47"/>
    <w:bookmarkEnd w:id="46"/>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44"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46"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37" w:lineRule="exact"/>
        <w:rPr>
          <w:sz w:val="20"/>
          <w:szCs w:val="20"/>
          <w:color w:val="auto"/>
        </w:rPr>
      </w:pPr>
    </w:p>
    <w:p>
      <w:pPr>
        <w:ind w:left="1240" w:hanging="639"/>
        <w:spacing w:after="0"/>
        <w:tabs>
          <w:tab w:leader="none" w:pos="1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or limit their approval of such product candidates;</w:t>
      </w:r>
    </w:p>
    <w:p>
      <w:pPr>
        <w:spacing w:after="0" w:line="198" w:lineRule="exact"/>
        <w:rPr>
          <w:rFonts w:ascii="Times New Roman" w:cs="Times New Roman" w:eastAsia="Times New Roman" w:hAnsi="Times New Roman"/>
          <w:sz w:val="14"/>
          <w:szCs w:val="14"/>
          <w:color w:val="auto"/>
        </w:rPr>
      </w:pPr>
    </w:p>
    <w:p>
      <w:pPr>
        <w:ind w:left="1240" w:hanging="639"/>
        <w:spacing w:after="0"/>
        <w:tabs>
          <w:tab w:leader="none" w:pos="1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the addition of labeling statements, such as a “black box” warning or a contraindication;</w:t>
      </w:r>
    </w:p>
    <w:p>
      <w:pPr>
        <w:spacing w:after="0" w:line="198" w:lineRule="exact"/>
        <w:rPr>
          <w:rFonts w:ascii="Times New Roman" w:cs="Times New Roman" w:eastAsia="Times New Roman" w:hAnsi="Times New Roman"/>
          <w:sz w:val="14"/>
          <w:szCs w:val="14"/>
          <w:color w:val="auto"/>
        </w:rPr>
      </w:pPr>
    </w:p>
    <w:p>
      <w:pPr>
        <w:ind w:left="1240" w:hanging="639"/>
        <w:spacing w:after="0"/>
        <w:tabs>
          <w:tab w:leader="none" w:pos="1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such product candidates are distributed or administered, conduct additional clinical trials or change the labeling of the product candidates;</w:t>
      </w:r>
    </w:p>
    <w:p>
      <w:pPr>
        <w:spacing w:after="0" w:line="198" w:lineRule="exact"/>
        <w:rPr>
          <w:rFonts w:ascii="Times New Roman" w:cs="Times New Roman" w:eastAsia="Times New Roman" w:hAnsi="Times New Roman"/>
          <w:sz w:val="14"/>
          <w:szCs w:val="14"/>
          <w:color w:val="auto"/>
        </w:rPr>
      </w:pPr>
    </w:p>
    <w:p>
      <w:pPr>
        <w:ind w:left="1240" w:hanging="639"/>
        <w:spacing w:after="0"/>
        <w:tabs>
          <w:tab w:leader="none" w:pos="1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regulatory investigations and government enforcement actions;</w:t>
      </w:r>
    </w:p>
    <w:p>
      <w:pPr>
        <w:spacing w:after="0" w:line="198" w:lineRule="exact"/>
        <w:rPr>
          <w:rFonts w:ascii="Times New Roman" w:cs="Times New Roman" w:eastAsia="Times New Roman" w:hAnsi="Times New Roman"/>
          <w:sz w:val="14"/>
          <w:szCs w:val="14"/>
          <w:color w:val="auto"/>
        </w:rPr>
      </w:pPr>
    </w:p>
    <w:p>
      <w:pPr>
        <w:ind w:left="1240" w:hanging="639"/>
        <w:spacing w:after="0"/>
        <w:tabs>
          <w:tab w:leader="none" w:pos="1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decide to remove such product candidates from the marketplace;</w:t>
      </w:r>
    </w:p>
    <w:p>
      <w:pPr>
        <w:spacing w:after="0" w:line="198" w:lineRule="exact"/>
        <w:rPr>
          <w:rFonts w:ascii="Times New Roman" w:cs="Times New Roman" w:eastAsia="Times New Roman" w:hAnsi="Times New Roman"/>
          <w:sz w:val="14"/>
          <w:szCs w:val="14"/>
          <w:color w:val="auto"/>
        </w:rPr>
      </w:pPr>
    </w:p>
    <w:p>
      <w:pPr>
        <w:ind w:left="1240" w:hanging="639"/>
        <w:spacing w:after="0"/>
        <w:tabs>
          <w:tab w:leader="none" w:pos="1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sued and held liable for injury caused to individuals exposed to or taking our product candidates; and</w:t>
      </w:r>
    </w:p>
    <w:p>
      <w:pPr>
        <w:spacing w:after="0" w:line="198" w:lineRule="exact"/>
        <w:rPr>
          <w:rFonts w:ascii="Times New Roman" w:cs="Times New Roman" w:eastAsia="Times New Roman" w:hAnsi="Times New Roman"/>
          <w:sz w:val="14"/>
          <w:szCs w:val="14"/>
          <w:color w:val="auto"/>
        </w:rPr>
      </w:pPr>
    </w:p>
    <w:p>
      <w:pPr>
        <w:ind w:left="1240" w:hanging="639"/>
        <w:spacing w:after="0"/>
        <w:tabs>
          <w:tab w:leader="none" w:pos="1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w:t>
      </w:r>
    </w:p>
    <w:p>
      <w:pPr>
        <w:spacing w:after="0" w:line="177" w:lineRule="exact"/>
        <w:rPr>
          <w:sz w:val="20"/>
          <w:szCs w:val="20"/>
          <w:color w:val="auto"/>
        </w:rPr>
      </w:pPr>
    </w:p>
    <w:p>
      <w:pPr>
        <w:ind w:firstLine="120"/>
        <w:spacing w:after="0" w:line="285" w:lineRule="auto"/>
        <w:rPr>
          <w:sz w:val="20"/>
          <w:szCs w:val="20"/>
          <w:color w:val="auto"/>
        </w:rPr>
      </w:pPr>
      <w:r>
        <w:rPr>
          <w:rFonts w:ascii="Times New Roman" w:cs="Times New Roman" w:eastAsia="Times New Roman" w:hAnsi="Times New Roman"/>
          <w:sz w:val="14"/>
          <w:szCs w:val="14"/>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47" w:name="page48"/>
    <w:bookmarkEnd w:id="47"/>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Even if we receive marketing approval for our product candidates, we may still face future development and regulatory difficulties.</w:t>
      </w:r>
    </w:p>
    <w:p>
      <w:pPr>
        <w:spacing w:after="0" w:line="200"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66"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42" w:lineRule="exact"/>
        <w:rPr>
          <w:sz w:val="20"/>
          <w:szCs w:val="20"/>
          <w:color w:val="auto"/>
        </w:rPr>
      </w:pPr>
    </w:p>
    <w:p>
      <w:pPr>
        <w:ind w:left="1240" w:hanging="639"/>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warning letters or untitled letters;</w:t>
      </w:r>
    </w:p>
    <w:p>
      <w:pPr>
        <w:spacing w:after="0" w:line="198" w:lineRule="exact"/>
        <w:rPr>
          <w:rFonts w:ascii="Times New Roman" w:cs="Times New Roman" w:eastAsia="Times New Roman" w:hAnsi="Times New Roman"/>
          <w:sz w:val="14"/>
          <w:szCs w:val="14"/>
          <w:color w:val="auto"/>
        </w:rPr>
      </w:pPr>
    </w:p>
    <w:p>
      <w:pPr>
        <w:ind w:left="1240" w:hanging="639"/>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an injunction or impose civil or criminal penalties or monetary fines;</w:t>
      </w:r>
    </w:p>
    <w:p>
      <w:pPr>
        <w:spacing w:after="0" w:line="198" w:lineRule="exact"/>
        <w:rPr>
          <w:rFonts w:ascii="Times New Roman" w:cs="Times New Roman" w:eastAsia="Times New Roman" w:hAnsi="Times New Roman"/>
          <w:sz w:val="14"/>
          <w:szCs w:val="14"/>
          <w:color w:val="auto"/>
        </w:rPr>
      </w:pPr>
    </w:p>
    <w:p>
      <w:pPr>
        <w:ind w:left="1240" w:hanging="639"/>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or withdraw marketing approval;</w:t>
      </w:r>
    </w:p>
    <w:p>
      <w:pPr>
        <w:spacing w:after="0" w:line="198" w:lineRule="exact"/>
        <w:rPr>
          <w:rFonts w:ascii="Times New Roman" w:cs="Times New Roman" w:eastAsia="Times New Roman" w:hAnsi="Times New Roman"/>
          <w:sz w:val="14"/>
          <w:szCs w:val="14"/>
          <w:color w:val="auto"/>
        </w:rPr>
      </w:pPr>
    </w:p>
    <w:p>
      <w:pPr>
        <w:ind w:left="1240" w:hanging="639"/>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any ongoing clinical trials;</w:t>
      </w:r>
    </w:p>
    <w:p>
      <w:pPr>
        <w:spacing w:after="0" w:line="198" w:lineRule="exact"/>
        <w:rPr>
          <w:rFonts w:ascii="Times New Roman" w:cs="Times New Roman" w:eastAsia="Times New Roman" w:hAnsi="Times New Roman"/>
          <w:sz w:val="14"/>
          <w:szCs w:val="14"/>
          <w:color w:val="auto"/>
        </w:rPr>
      </w:pPr>
    </w:p>
    <w:p>
      <w:pPr>
        <w:ind w:left="1240" w:hanging="639"/>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refuse to approve pending applications or supplements to applications submitted by us;</w:t>
      </w:r>
    </w:p>
    <w:p>
      <w:pPr>
        <w:spacing w:after="0" w:line="198" w:lineRule="exact"/>
        <w:rPr>
          <w:rFonts w:ascii="Times New Roman" w:cs="Times New Roman" w:eastAsia="Times New Roman" w:hAnsi="Times New Roman"/>
          <w:sz w:val="14"/>
          <w:szCs w:val="14"/>
          <w:color w:val="auto"/>
        </w:rPr>
      </w:pPr>
    </w:p>
    <w:p>
      <w:pPr>
        <w:ind w:left="1240" w:hanging="639"/>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or impose restrictions on operations, including costly new manufacturing requirements; or</w:t>
      </w:r>
    </w:p>
    <w:p>
      <w:pPr>
        <w:spacing w:after="0" w:line="198" w:lineRule="exact"/>
        <w:rPr>
          <w:rFonts w:ascii="Times New Roman" w:cs="Times New Roman" w:eastAsia="Times New Roman" w:hAnsi="Times New Roman"/>
          <w:sz w:val="14"/>
          <w:szCs w:val="14"/>
          <w:color w:val="auto"/>
        </w:rPr>
      </w:pPr>
    </w:p>
    <w:p>
      <w:pPr>
        <w:ind w:left="1240" w:hanging="639"/>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seize or detain products, refuse to permit the import or export of products, or require that we initiate a product recall.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Competing therapies could emerge adversely affecting our opportunity to generate revenue from the sale of our product candidates.</w:t>
      </w:r>
    </w:p>
    <w:p>
      <w:pPr>
        <w:spacing w:after="0" w:line="200"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The pharmaceuticals industry is highly competitive. There are many public and private 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58"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Currently, management is unaware of any FDA-approved adjunctive therapy for treatment-resistant MDD with the same mechanism of action as AV-101. However, new antidepressant products with other mechanisms of action or products approved for other indications, including the anesthetic ketamine, are being or may be used off-label for treatment of MDD, as well as other CNS indications for which AV-101 may have therapeutic potential. Additionally, other non-pharmaceutical treatment options, such psychotherapy and electroconvulsive therapy, or ECT, are sometimes used before or instead of standard antidepressants to treat patients with MDD.</w:t>
      </w:r>
    </w:p>
    <w:p>
      <w:pPr>
        <w:spacing w:after="0" w:line="160"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In the field of new generation antidepressants focused on modulation of the NMDA receptor at the glycine binding co-agonist site, we believe our principal competitor is Allergan, which recently acquired from and is now developing both rapastinel (formerly GLYX-13) and NRX-1074 for treatment-resistant MDD.</w:t>
      </w:r>
    </w:p>
    <w:p>
      <w:pPr>
        <w:spacing w:after="0" w:line="146"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Allergan, Alkermes, Astra Zeneca, Eli Lilly, GlaxoSmithKline, Johnson &amp; Johnson, Lundbeck, Merck, Novartis, Otsuka, Pfizer, Roche, Sumitomo Dainippon, Teva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48" w:name="page49"/>
    <w:bookmarkEnd w:id="48"/>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200"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46"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66"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58"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3" w:lineRule="exact"/>
        <w:rPr>
          <w:sz w:val="20"/>
          <w:szCs w:val="20"/>
          <w:color w:val="auto"/>
        </w:rPr>
      </w:pPr>
    </w:p>
    <w:p>
      <w:pPr>
        <w:jc w:val="both"/>
        <w:ind w:firstLine="507"/>
        <w:spacing w:after="0" w:line="259" w:lineRule="auto"/>
        <w:rPr>
          <w:sz w:val="20"/>
          <w:szCs w:val="20"/>
          <w:color w:val="auto"/>
        </w:rPr>
      </w:pPr>
      <w:r>
        <w:rPr>
          <w:rFonts w:ascii="Times New Roman" w:cs="Times New Roman" w:eastAsia="Times New Roman" w:hAnsi="Times New Roman"/>
          <w:sz w:val="14"/>
          <w:szCs w:val="14"/>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33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44"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The success of our business depends primarily upon our ability to identify, develop and commercialize product candidates with commercial and therapeutic potential. Although AV-101 is in Phase 2 clinical development, we may fail to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60"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Because we have limited financial and management resources, we focus on a limited number of research programs and product candidates and are currently focused primarily on our AV-101, with additional limited focus on NCE drug rescue and RM.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45"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49" w:name="page50"/>
    <w:bookmarkEnd w:id="49"/>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200"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42" w:lineRule="exact"/>
        <w:rPr>
          <w:sz w:val="20"/>
          <w:szCs w:val="20"/>
          <w:color w:val="auto"/>
        </w:rPr>
      </w:pPr>
    </w:p>
    <w:p>
      <w:pPr>
        <w:jc w:val="both"/>
        <w:ind w:left="920" w:hanging="324"/>
        <w:spacing w:after="0" w:line="268" w:lineRule="auto"/>
        <w:tabs>
          <w:tab w:leader="none" w:pos="9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57" w:lineRule="exact"/>
        <w:rPr>
          <w:rFonts w:ascii="Times New Roman" w:cs="Times New Roman" w:eastAsia="Times New Roman" w:hAnsi="Times New Roman"/>
          <w:sz w:val="14"/>
          <w:szCs w:val="14"/>
          <w:color w:val="auto"/>
        </w:rPr>
      </w:pPr>
    </w:p>
    <w:p>
      <w:pPr>
        <w:jc w:val="both"/>
        <w:ind w:left="900" w:hanging="315"/>
        <w:spacing w:after="0" w:line="268" w:lineRule="auto"/>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57" w:lineRule="exact"/>
        <w:rPr>
          <w:rFonts w:ascii="Times New Roman" w:cs="Times New Roman" w:eastAsia="Times New Roman" w:hAnsi="Times New Roman"/>
          <w:sz w:val="14"/>
          <w:szCs w:val="14"/>
          <w:color w:val="auto"/>
        </w:rPr>
      </w:pPr>
    </w:p>
    <w:p>
      <w:pPr>
        <w:jc w:val="both"/>
        <w:ind w:left="900" w:hanging="315"/>
        <w:spacing w:after="0" w:line="268" w:lineRule="auto"/>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57" w:lineRule="exact"/>
        <w:rPr>
          <w:rFonts w:ascii="Times New Roman" w:cs="Times New Roman" w:eastAsia="Times New Roman" w:hAnsi="Times New Roman"/>
          <w:sz w:val="14"/>
          <w:szCs w:val="14"/>
          <w:color w:val="auto"/>
        </w:rPr>
      </w:pPr>
    </w:p>
    <w:p>
      <w:pPr>
        <w:ind w:left="900" w:hanging="315"/>
        <w:spacing w:after="0" w:line="285" w:lineRule="auto"/>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45" w:lineRule="exact"/>
        <w:rPr>
          <w:rFonts w:ascii="Times New Roman" w:cs="Times New Roman" w:eastAsia="Times New Roman" w:hAnsi="Times New Roman"/>
          <w:sz w:val="14"/>
          <w:szCs w:val="14"/>
          <w:color w:val="auto"/>
        </w:rPr>
      </w:pPr>
    </w:p>
    <w:p>
      <w:pPr>
        <w:jc w:val="both"/>
        <w:ind w:left="900" w:hanging="315"/>
        <w:spacing w:after="0" w:line="268" w:lineRule="auto"/>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57" w:lineRule="exact"/>
        <w:rPr>
          <w:rFonts w:ascii="Times New Roman" w:cs="Times New Roman" w:eastAsia="Times New Roman" w:hAnsi="Times New Roman"/>
          <w:sz w:val="14"/>
          <w:szCs w:val="14"/>
          <w:color w:val="auto"/>
        </w:rPr>
      </w:pPr>
    </w:p>
    <w:p>
      <w:pPr>
        <w:jc w:val="both"/>
        <w:ind w:left="900" w:hanging="315"/>
        <w:spacing w:after="0" w:line="268" w:lineRule="auto"/>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57" w:lineRule="exact"/>
        <w:rPr>
          <w:rFonts w:ascii="Times New Roman" w:cs="Times New Roman" w:eastAsia="Times New Roman" w:hAnsi="Times New Roman"/>
          <w:sz w:val="14"/>
          <w:szCs w:val="14"/>
          <w:color w:val="auto"/>
        </w:rPr>
      </w:pPr>
    </w:p>
    <w:p>
      <w:pPr>
        <w:ind w:left="900" w:hanging="315"/>
        <w:spacing w:after="0" w:line="285" w:lineRule="auto"/>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25"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4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44"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augmentation therapy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50" w:name="page51"/>
    <w:bookmarkEnd w:id="50"/>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Even if approved, reimbursement policies could limit our ability to sell our product candidates.</w:t>
      </w:r>
    </w:p>
    <w:p>
      <w:pPr>
        <w:spacing w:after="0" w:line="200" w:lineRule="exact"/>
        <w:rPr>
          <w:sz w:val="20"/>
          <w:szCs w:val="20"/>
          <w:color w:val="auto"/>
        </w:rPr>
      </w:pPr>
    </w:p>
    <w:p>
      <w:pPr>
        <w:jc w:val="both"/>
        <w:ind w:firstLine="507"/>
        <w:spacing w:after="0" w:line="259" w:lineRule="auto"/>
        <w:rPr>
          <w:sz w:val="20"/>
          <w:szCs w:val="20"/>
          <w:color w:val="auto"/>
        </w:rPr>
      </w:pPr>
      <w:r>
        <w:rPr>
          <w:rFonts w:ascii="Times New Roman" w:cs="Times New Roman" w:eastAsia="Times New Roman" w:hAnsi="Times New Roman"/>
          <w:sz w:val="14"/>
          <w:szCs w:val="14"/>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314"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Even if we have obtained FDA Orphan Drug designation for one or more of our product candidates, there may be limits to the regulatory exclusivity afforded by such designation.</w:t>
      </w:r>
    </w:p>
    <w:p>
      <w:pPr>
        <w:spacing w:after="0" w:line="200"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Even if we obtain Orphan Drug designation from the FDA for one or more of our product candidates, there are limitations to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growth may depend, in part, on our ability to penetrate foreign markets, where we would be subject to additional regulatory burdens and other risks and uncertainties.</w:t>
      </w:r>
    </w:p>
    <w:p>
      <w:pPr>
        <w:spacing w:after="0" w:line="200"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46" w:lineRule="exact"/>
        <w:rPr>
          <w:sz w:val="20"/>
          <w:szCs w:val="20"/>
          <w:color w:val="auto"/>
        </w:rPr>
      </w:pPr>
    </w:p>
    <w:p>
      <w:pPr>
        <w:ind w:left="920" w:hanging="324"/>
        <w:spacing w:after="0"/>
        <w:tabs>
          <w:tab w:leader="none" w:pos="9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ability to obtain reimbursement for our product candidates in foreign markets;</w:t>
      </w:r>
    </w:p>
    <w:p>
      <w:pPr>
        <w:spacing w:after="0" w:line="176"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directly control commercial activities because we are relying on third parties;</w:t>
      </w:r>
    </w:p>
    <w:p>
      <w:pPr>
        <w:spacing w:after="0" w:line="176"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burden of complying with complex and changing foreign regulatory, tax, accounting and legal requirements;</w:t>
      </w:r>
    </w:p>
    <w:p>
      <w:pPr>
        <w:spacing w:after="0" w:line="176"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medical practices and customs in foreign countries affecting acceptance in the marketplace;</w:t>
      </w:r>
    </w:p>
    <w:p>
      <w:pPr>
        <w:spacing w:after="0" w:line="176"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 or export licensing requirements;</w:t>
      </w:r>
    </w:p>
    <w:p>
      <w:pPr>
        <w:spacing w:after="0" w:line="176"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accounts receivable collection times;</w:t>
      </w:r>
    </w:p>
    <w:p>
      <w:pPr>
        <w:spacing w:after="0" w:line="176"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lead times for shipping;</w:t>
      </w:r>
    </w:p>
    <w:p>
      <w:pPr>
        <w:spacing w:after="0" w:line="176"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language barriers for technical training;</w:t>
      </w:r>
    </w:p>
    <w:p>
      <w:pPr>
        <w:spacing w:after="0" w:line="176"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protection of intellectual property rights in some foreign countries;</w:t>
      </w:r>
    </w:p>
    <w:p>
      <w:pPr>
        <w:spacing w:after="0" w:line="176"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of additional potentially relevant third party intellectual property rights;</w:t>
      </w:r>
    </w:p>
    <w:p>
      <w:pPr>
        <w:spacing w:after="0" w:line="176"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exchange rate fluctuations; and</w:t>
      </w:r>
    </w:p>
    <w:p>
      <w:pPr>
        <w:spacing w:after="0" w:line="176"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interpretation of contractual provisions governed by foreign laws in the event of a contract dispute.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Foreign sales of our product candidates could also be adversely affected by the imposition of governmental controls, political and economic instability, trade restrictions and changes in tariffs.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51" w:name="page52"/>
    <w:bookmarkEnd w:id="51"/>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35"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We are a development stage biopharmaceutical company. Although our lead drug candidate is in Phase 2 development,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37" w:lineRule="exact"/>
        <w:rPr>
          <w:sz w:val="20"/>
          <w:szCs w:val="20"/>
          <w:color w:val="auto"/>
        </w:rPr>
      </w:pPr>
    </w:p>
    <w:p>
      <w:pPr>
        <w:ind w:left="960" w:hanging="417"/>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produce product candidates;</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obtain required regulatory approvals for commercialization of products we produce;</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leverage and expand our intellectual property portfolio;</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and maintain sales, distribution and marketing capabilities, and/or enter into strategic partnering arrangements to access such capabilities;</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market acceptance for our products; and</w:t>
      </w:r>
    </w:p>
    <w:p>
      <w:pPr>
        <w:spacing w:after="0" w:line="176" w:lineRule="exact"/>
        <w:rPr>
          <w:rFonts w:ascii="Times New Roman" w:cs="Times New Roman" w:eastAsia="Times New Roman" w:hAnsi="Times New Roman"/>
          <w:sz w:val="14"/>
          <w:szCs w:val="14"/>
          <w:color w:val="auto"/>
        </w:rPr>
      </w:pPr>
    </w:p>
    <w:p>
      <w:pPr>
        <w:ind w:left="960" w:hanging="417"/>
        <w:spacing w:after="0" w:line="285" w:lineRule="auto"/>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adequate capital resources and manage our spending as costs and expenses increase due to research, production, development, regulatory approval and commercialization of product candidates.</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35"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37" w:lineRule="exact"/>
        <w:rPr>
          <w:sz w:val="20"/>
          <w:szCs w:val="20"/>
          <w:color w:val="auto"/>
        </w:rPr>
      </w:pPr>
    </w:p>
    <w:p>
      <w:pPr>
        <w:ind w:left="920" w:hanging="398"/>
        <w:spacing w:after="0"/>
        <w:tabs>
          <w:tab w:leader="none" w:pos="9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drug rescue research methodology may not be successful in identifying potential drug rescue NCEs;</w:t>
      </w:r>
    </w:p>
    <w:p>
      <w:pPr>
        <w:spacing w:after="0" w:line="176" w:lineRule="exact"/>
        <w:rPr>
          <w:rFonts w:ascii="Times New Roman" w:cs="Times New Roman" w:eastAsia="Times New Roman" w:hAnsi="Times New Roman"/>
          <w:sz w:val="14"/>
          <w:szCs w:val="14"/>
          <w:color w:val="auto"/>
        </w:rPr>
      </w:pPr>
    </w:p>
    <w:p>
      <w:pPr>
        <w:ind w:left="1000" w:hanging="436"/>
        <w:spacing w:after="0"/>
        <w:tabs>
          <w:tab w:leader="none" w:pos="100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competitors may develop alternatives that render our drug rescue NCEs obsolete;</w:t>
      </w:r>
    </w:p>
    <w:p>
      <w:pPr>
        <w:spacing w:after="0" w:line="176" w:lineRule="exact"/>
        <w:rPr>
          <w:rFonts w:ascii="Times New Roman" w:cs="Times New Roman" w:eastAsia="Times New Roman" w:hAnsi="Times New Roman"/>
          <w:sz w:val="14"/>
          <w:szCs w:val="14"/>
          <w:color w:val="auto"/>
        </w:rPr>
      </w:pPr>
    </w:p>
    <w:p>
      <w:pPr>
        <w:ind w:left="900" w:hanging="383"/>
        <w:spacing w:after="0" w:line="285" w:lineRule="auto"/>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drug rescue NCE may, on further study, be shown to have harmful side effects or other characteristics that indicate it is unlikely to be effective or otherwise does not meet applicable regulatory criteria;</w:t>
      </w:r>
    </w:p>
    <w:p>
      <w:pPr>
        <w:spacing w:after="0" w:line="124" w:lineRule="exact"/>
        <w:rPr>
          <w:rFonts w:ascii="Times New Roman" w:cs="Times New Roman" w:eastAsia="Times New Roman" w:hAnsi="Times New Roman"/>
          <w:sz w:val="14"/>
          <w:szCs w:val="14"/>
          <w:color w:val="auto"/>
        </w:rPr>
      </w:pPr>
    </w:p>
    <w:p>
      <w:pPr>
        <w:ind w:left="900" w:hanging="383"/>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drug rescue NCE may not be capable of being produced in commercial quantities at an acceptable cost, or at all; or</w:t>
      </w:r>
    </w:p>
    <w:p>
      <w:pPr>
        <w:spacing w:after="0" w:line="176" w:lineRule="exact"/>
        <w:rPr>
          <w:rFonts w:ascii="Times New Roman" w:cs="Times New Roman" w:eastAsia="Times New Roman" w:hAnsi="Times New Roman"/>
          <w:sz w:val="14"/>
          <w:szCs w:val="14"/>
          <w:color w:val="auto"/>
        </w:rPr>
      </w:pPr>
    </w:p>
    <w:p>
      <w:pPr>
        <w:ind w:left="900" w:hanging="383"/>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drug rescue NCE may not be accepted as safe and effective by regulatory authorities, patients, the medical community or third-party payors.</w:t>
      </w:r>
    </w:p>
    <w:p>
      <w:pPr>
        <w:spacing w:after="0" w:line="177"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52" w:name="page53"/>
    <w:bookmarkEnd w:id="52"/>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23" w:lineRule="exact"/>
        <w:rPr>
          <w:sz w:val="20"/>
          <w:szCs w:val="20"/>
          <w:color w:val="auto"/>
        </w:rPr>
      </w:pPr>
    </w:p>
    <w:p>
      <w:pPr>
        <w:ind w:firstLine="507"/>
        <w:spacing w:after="0" w:line="285" w:lineRule="auto"/>
        <w:rPr>
          <w:sz w:val="20"/>
          <w:szCs w:val="20"/>
          <w:color w:val="auto"/>
        </w:rPr>
      </w:pPr>
      <w:r>
        <w:rPr>
          <w:rFonts w:ascii="Times New Roman" w:cs="Times New Roman" w:eastAsia="Times New Roman" w:hAnsi="Times New Roman"/>
          <w:sz w:val="14"/>
          <w:szCs w:val="14"/>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44" w:lineRule="exact"/>
        <w:rPr>
          <w:sz w:val="20"/>
          <w:szCs w:val="20"/>
          <w:color w:val="auto"/>
        </w:rPr>
      </w:pPr>
    </w:p>
    <w:p>
      <w:pPr>
        <w:ind w:firstLine="507"/>
        <w:spacing w:after="0" w:line="288" w:lineRule="auto"/>
        <w:rPr>
          <w:sz w:val="20"/>
          <w:szCs w:val="20"/>
          <w:color w:val="auto"/>
        </w:rPr>
      </w:pPr>
      <w:r>
        <w:rPr>
          <w:rFonts w:ascii="Times New Roman" w:cs="Times New Roman" w:eastAsia="Times New Roman" w:hAnsi="Times New Roman"/>
          <w:sz w:val="14"/>
          <w:szCs w:val="14"/>
          <w:color w:val="auto"/>
        </w:rPr>
        <w:t xml:space="preserve">There are a number of factors, in addition to the utility of </w:t>
      </w:r>
      <w:r>
        <w:rPr>
          <w:rFonts w:ascii="Times New Roman" w:cs="Times New Roman" w:eastAsia="Times New Roman" w:hAnsi="Times New Roman"/>
          <w:sz w:val="14"/>
          <w:szCs w:val="14"/>
          <w:i w:val="1"/>
          <w:iCs w:val="1"/>
          <w:color w:val="auto"/>
        </w:rPr>
        <w:t>CardioSafe</w:t>
      </w:r>
      <w:r>
        <w:rPr>
          <w:rFonts w:ascii="Times New Roman" w:cs="Times New Roman" w:eastAsia="Times New Roman" w:hAnsi="Times New Roman"/>
          <w:sz w:val="14"/>
          <w:szCs w:val="14"/>
          <w:color w:val="auto"/>
        </w:rPr>
        <w:t xml:space="preserve"> 3D, that may impact our ability to identify and produce, develop or out-license and commercialize drug rescue NCEs, independently or with strategic partners, including:</w:t>
      </w:r>
    </w:p>
    <w:p>
      <w:pPr>
        <w:spacing w:after="0" w:line="123" w:lineRule="exact"/>
        <w:rPr>
          <w:sz w:val="20"/>
          <w:szCs w:val="20"/>
          <w:color w:val="auto"/>
        </w:rPr>
      </w:pPr>
    </w:p>
    <w:p>
      <w:pPr>
        <w:ind w:left="960" w:hanging="417"/>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potential drug rescue candidates in the public domain, obtain sufficient quantities of them, and assess them using our bioassay systems;</w:t>
      </w:r>
    </w:p>
    <w:p>
      <w:pPr>
        <w:spacing w:after="0" w:line="176" w:lineRule="exact"/>
        <w:rPr>
          <w:rFonts w:ascii="Times New Roman" w:cs="Times New Roman" w:eastAsia="Times New Roman" w:hAnsi="Times New Roman"/>
          <w:sz w:val="14"/>
          <w:szCs w:val="14"/>
          <w:color w:val="auto"/>
        </w:rPr>
      </w:pPr>
    </w:p>
    <w:p>
      <w:pPr>
        <w:ind w:left="960" w:hanging="417"/>
        <w:spacing w:after="0" w:line="285" w:lineRule="auto"/>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22" w:lineRule="exact"/>
        <w:rPr>
          <w:rFonts w:ascii="Times New Roman" w:cs="Times New Roman" w:eastAsia="Times New Roman" w:hAnsi="Times New Roman"/>
          <w:sz w:val="14"/>
          <w:szCs w:val="14"/>
          <w:color w:val="auto"/>
        </w:rPr>
      </w:pPr>
    </w:p>
    <w:p>
      <w:pPr>
        <w:ind w:left="960" w:hanging="417"/>
        <w:spacing w:after="0" w:line="288" w:lineRule="auto"/>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medicinal chemistry collaborator’s ability to design and produce proprietary drug rescue NCEs based on the novel biology and structure-function insight we provide using </w:t>
      </w:r>
      <w:r>
        <w:rPr>
          <w:rFonts w:ascii="Times New Roman" w:cs="Times New Roman" w:eastAsia="Times New Roman" w:hAnsi="Times New Roman"/>
          <w:sz w:val="14"/>
          <w:szCs w:val="14"/>
          <w:i w:val="1"/>
          <w:iCs w:val="1"/>
          <w:color w:val="auto"/>
        </w:rPr>
        <w:t>CardioSafe</w:t>
      </w:r>
      <w:r>
        <w:rPr>
          <w:rFonts w:ascii="Times New Roman" w:cs="Times New Roman" w:eastAsia="Times New Roman" w:hAnsi="Times New Roman"/>
          <w:sz w:val="14"/>
          <w:szCs w:val="14"/>
          <w:color w:val="auto"/>
        </w:rPr>
        <w:t xml:space="preserve"> 3D; and</w:t>
      </w:r>
    </w:p>
    <w:p>
      <w:pPr>
        <w:spacing w:after="0" w:line="122" w:lineRule="exact"/>
        <w:rPr>
          <w:rFonts w:ascii="Times New Roman" w:cs="Times New Roman" w:eastAsia="Times New Roman" w:hAnsi="Times New Roman"/>
          <w:sz w:val="14"/>
          <w:szCs w:val="14"/>
          <w:color w:val="auto"/>
        </w:rPr>
      </w:pPr>
    </w:p>
    <w:p>
      <w:pPr>
        <w:ind w:left="960" w:hanging="417"/>
        <w:spacing w:after="0" w:line="285" w:lineRule="auto"/>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46" w:lineRule="exact"/>
        <w:rPr>
          <w:sz w:val="20"/>
          <w:szCs w:val="20"/>
          <w:color w:val="auto"/>
        </w:rPr>
      </w:pPr>
    </w:p>
    <w:p>
      <w:pPr>
        <w:jc w:val="both"/>
        <w:ind w:firstLine="108"/>
        <w:spacing w:after="0" w:line="258" w:lineRule="auto"/>
        <w:rPr>
          <w:sz w:val="20"/>
          <w:szCs w:val="20"/>
          <w:color w:val="auto"/>
        </w:rPr>
      </w:pPr>
      <w:r>
        <w:rPr>
          <w:rFonts w:ascii="Times New Roman" w:cs="Times New Roman" w:eastAsia="Times New Roman" w:hAnsi="Times New Roman"/>
          <w:sz w:val="14"/>
          <w:szCs w:val="14"/>
          <w:color w:val="auto"/>
        </w:rPr>
        <w:t>Even if we do produce proprietary drug rescue NCEs, we can give no assurance that we will be able to develop and commercialize them as a marketable drug, on our own or in a strategic collaboration. Before we generate any revenues from AV-101 and/or additional drug rescue NCEs we or our potential strategic collaborator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4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 xml:space="preserve">If CardioSafe </w:t>
      </w:r>
      <w:r>
        <w:rPr>
          <w:rFonts w:ascii="Times New Roman" w:cs="Times New Roman" w:eastAsia="Times New Roman" w:hAnsi="Times New Roman"/>
          <w:sz w:val="14"/>
          <w:szCs w:val="14"/>
          <w:b w:val="1"/>
          <w:bCs w:val="1"/>
          <w:color w:val="auto"/>
        </w:rPr>
        <w:t>3D</w:t>
      </w:r>
      <w:r>
        <w:rPr>
          <w:rFonts w:ascii="Times New Roman" w:cs="Times New Roman" w:eastAsia="Times New Roman" w:hAnsi="Times New Roman"/>
          <w:sz w:val="14"/>
          <w:szCs w:val="14"/>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21" w:lineRule="exact"/>
        <w:rPr>
          <w:sz w:val="20"/>
          <w:szCs w:val="20"/>
          <w:color w:val="auto"/>
        </w:rPr>
      </w:pPr>
    </w:p>
    <w:p>
      <w:pPr>
        <w:jc w:val="both"/>
        <w:ind w:firstLine="507"/>
        <w:spacing w:after="0" w:line="270" w:lineRule="auto"/>
        <w:rPr>
          <w:sz w:val="20"/>
          <w:szCs w:val="20"/>
          <w:color w:val="auto"/>
        </w:rPr>
      </w:pPr>
      <w:r>
        <w:rPr>
          <w:rFonts w:ascii="Times New Roman" w:cs="Times New Roman" w:eastAsia="Times New Roman" w:hAnsi="Times New Roman"/>
          <w:sz w:val="14"/>
          <w:szCs w:val="14"/>
          <w:color w:val="auto"/>
        </w:rPr>
        <w:t xml:space="preserve">Our success is highly dependent on our ability to use </w:t>
      </w:r>
      <w:r>
        <w:rPr>
          <w:rFonts w:ascii="Times New Roman" w:cs="Times New Roman" w:eastAsia="Times New Roman" w:hAnsi="Times New Roman"/>
          <w:sz w:val="14"/>
          <w:szCs w:val="14"/>
          <w:i w:val="1"/>
          <w:iCs w:val="1"/>
          <w:color w:val="auto"/>
        </w:rPr>
        <w:t>CardioSafe</w:t>
      </w:r>
      <w:r>
        <w:rPr>
          <w:rFonts w:ascii="Times New Roman" w:cs="Times New Roman" w:eastAsia="Times New Roman" w:hAnsi="Times New Roman"/>
          <w:sz w:val="14"/>
          <w:szCs w:val="14"/>
          <w:color w:val="auto"/>
        </w:rPr>
        <w:t xml:space="preserve"> 3D to identify and predict, accurately and efficiently, the potential toxic and nontoxic cardiac effects of drug rescue candidates and drug rescue NCEs. If </w:t>
      </w:r>
      <w:r>
        <w:rPr>
          <w:rFonts w:ascii="Times New Roman" w:cs="Times New Roman" w:eastAsia="Times New Roman" w:hAnsi="Times New Roman"/>
          <w:sz w:val="14"/>
          <w:szCs w:val="14"/>
          <w:i w:val="1"/>
          <w:iCs w:val="1"/>
          <w:color w:val="auto"/>
        </w:rPr>
        <w:t>CardioSafe</w:t>
      </w:r>
      <w:r>
        <w:rPr>
          <w:rFonts w:ascii="Times New Roman" w:cs="Times New Roman" w:eastAsia="Times New Roman" w:hAnsi="Times New Roman"/>
          <w:sz w:val="14"/>
          <w:szCs w:val="14"/>
          <w:color w:val="auto"/>
        </w:rPr>
        <w:t xml:space="preserve"> 3D is not capable of providing physiologically relevant and clinically predictive information regarding human cardiac biology, our drug rescue business will be adversely affected.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CardioSafe </w:t>
      </w:r>
      <w:r>
        <w:rPr>
          <w:rFonts w:ascii="Times New Roman" w:cs="Times New Roman" w:eastAsia="Times New Roman" w:hAnsi="Times New Roman"/>
          <w:sz w:val="14"/>
          <w:szCs w:val="14"/>
          <w:b w:val="1"/>
          <w:bCs w:val="1"/>
          <w:color w:val="auto"/>
        </w:rPr>
        <w:t>3D</w:t>
      </w:r>
      <w:r>
        <w:rPr>
          <w:rFonts w:ascii="Times New Roman" w:cs="Times New Roman" w:eastAsia="Times New Roman" w:hAnsi="Times New Roman"/>
          <w:sz w:val="14"/>
          <w:szCs w:val="14"/>
          <w:b w:val="1"/>
          <w:bCs w:val="1"/>
          <w:i w:val="1"/>
          <w:iCs w:val="1"/>
          <w:color w:val="auto"/>
        </w:rPr>
        <w:t>may not be meaningfully more predictive of the behavior of human cells than existing methods.</w:t>
      </w:r>
    </w:p>
    <w:p>
      <w:pPr>
        <w:spacing w:after="0" w:line="177" w:lineRule="exact"/>
        <w:rPr>
          <w:sz w:val="20"/>
          <w:szCs w:val="20"/>
          <w:color w:val="auto"/>
        </w:rPr>
      </w:pPr>
    </w:p>
    <w:p>
      <w:pPr>
        <w:jc w:val="both"/>
        <w:ind w:firstLine="507"/>
        <w:spacing w:after="0" w:line="264" w:lineRule="auto"/>
        <w:rPr>
          <w:sz w:val="20"/>
          <w:szCs w:val="20"/>
          <w:color w:val="auto"/>
        </w:rPr>
      </w:pPr>
      <w:r>
        <w:rPr>
          <w:rFonts w:ascii="Times New Roman" w:cs="Times New Roman" w:eastAsia="Times New Roman" w:hAnsi="Times New Roman"/>
          <w:sz w:val="14"/>
          <w:szCs w:val="14"/>
          <w:color w:val="auto"/>
        </w:rPr>
        <w:t xml:space="preserve">The success of our drug rescue business is highly dependent upon </w:t>
      </w:r>
      <w:r>
        <w:rPr>
          <w:rFonts w:ascii="Times New Roman" w:cs="Times New Roman" w:eastAsia="Times New Roman" w:hAnsi="Times New Roman"/>
          <w:sz w:val="14"/>
          <w:szCs w:val="14"/>
          <w:i w:val="1"/>
          <w:iCs w:val="1"/>
          <w:color w:val="auto"/>
        </w:rPr>
        <w:t>CardioSafe</w:t>
      </w:r>
      <w:r>
        <w:rPr>
          <w:rFonts w:ascii="Times New Roman" w:cs="Times New Roman" w:eastAsia="Times New Roman" w:hAnsi="Times New Roman"/>
          <w:sz w:val="14"/>
          <w:szCs w:val="14"/>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Times New Roman" w:cs="Times New Roman" w:eastAsia="Times New Roman" w:hAnsi="Times New Roman"/>
          <w:sz w:val="14"/>
          <w:szCs w:val="14"/>
          <w:i w:val="1"/>
          <w:iCs w:val="1"/>
          <w:color w:val="auto"/>
        </w:rPr>
        <w:t>CardioSafe</w:t>
      </w:r>
      <w:r>
        <w:rPr>
          <w:rFonts w:ascii="Times New Roman" w:cs="Times New Roman" w:eastAsia="Times New Roman" w:hAnsi="Times New Roman"/>
          <w:sz w:val="14"/>
          <w:szCs w:val="14"/>
          <w:color w:val="auto"/>
        </w:rPr>
        <w:t xml:space="preserve"> 3D will be more efficient or accurate at predicting the heart safety of new drug candidates than the testing models currently used. If </w:t>
      </w:r>
      <w:r>
        <w:rPr>
          <w:rFonts w:ascii="Times New Roman" w:cs="Times New Roman" w:eastAsia="Times New Roman" w:hAnsi="Times New Roman"/>
          <w:sz w:val="14"/>
          <w:szCs w:val="14"/>
          <w:i w:val="1"/>
          <w:iCs w:val="1"/>
          <w:color w:val="auto"/>
        </w:rPr>
        <w:t>CardioSafe</w:t>
      </w:r>
      <w:r>
        <w:rPr>
          <w:rFonts w:ascii="Times New Roman" w:cs="Times New Roman" w:eastAsia="Times New Roman" w:hAnsi="Times New Roman"/>
          <w:sz w:val="14"/>
          <w:szCs w:val="14"/>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invest in producing drug rescue NCEs for which there proves to be no demand.</w:t>
      </w:r>
    </w:p>
    <w:p>
      <w:pPr>
        <w:spacing w:after="0" w:line="179"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strategic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53" w:name="page54"/>
    <w:bookmarkEnd w:id="53"/>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79" w:lineRule="exact"/>
        <w:rPr>
          <w:sz w:val="20"/>
          <w:szCs w:val="20"/>
          <w:color w:val="auto"/>
        </w:rPr>
      </w:pPr>
    </w:p>
    <w:p>
      <w:pPr>
        <w:jc w:val="both"/>
        <w:ind w:firstLine="507"/>
        <w:spacing w:after="0" w:line="255" w:lineRule="auto"/>
        <w:rPr>
          <w:sz w:val="20"/>
          <w:szCs w:val="20"/>
          <w:color w:val="auto"/>
        </w:rPr>
      </w:pPr>
      <w:r>
        <w:rPr>
          <w:rFonts w:ascii="Times New Roman" w:cs="Times New Roman" w:eastAsia="Times New Roman" w:hAnsi="Times New Roman"/>
          <w:sz w:val="14"/>
          <w:szCs w:val="14"/>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regenerative medicine programs involving blood, bone, cartilage, heart, and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21"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Some of our research and development programs may involve the use of human cells derived from our controlled differentiation of human embryonic stem cells (</w:t>
      </w:r>
      <w:r>
        <w:rPr>
          <w:rFonts w:ascii="Times New Roman" w:cs="Times New Roman" w:eastAsia="Times New Roman" w:hAnsi="Times New Roman"/>
          <w:sz w:val="14"/>
          <w:szCs w:val="14"/>
          <w:i w:val="1"/>
          <w:iCs w:val="1"/>
          <w:color w:val="auto"/>
        </w:rPr>
        <w:t>hESC</w:t>
      </w:r>
      <w:r>
        <w:rPr>
          <w:rFonts w:ascii="Times New Roman" w:cs="Times New Roman" w:eastAsia="Times New Roman" w:hAnsi="Times New Roman"/>
          <w:sz w:val="14"/>
          <w:szCs w:val="14"/>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fertilization (</w:t>
      </w:r>
      <w:r>
        <w:rPr>
          <w:rFonts w:ascii="Times New Roman" w:cs="Times New Roman" w:eastAsia="Times New Roman" w:hAnsi="Times New Roman"/>
          <w:sz w:val="14"/>
          <w:szCs w:val="14"/>
          <w:i w:val="1"/>
          <w:iCs w:val="1"/>
          <w:color w:val="auto"/>
        </w:rPr>
        <w:t>IVF</w:t>
      </w:r>
      <w:r>
        <w:rPr>
          <w:rFonts w:ascii="Times New Roman" w:cs="Times New Roman" w:eastAsia="Times New Roman" w:hAnsi="Times New Roman"/>
          <w:sz w:val="14"/>
          <w:szCs w:val="14"/>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44"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The foregoing potential ethical concerns do not apply to our use of induced pluripotent stem cells </w:t>
      </w:r>
      <w:r>
        <w:rPr>
          <w:rFonts w:ascii="Times New Roman" w:cs="Times New Roman" w:eastAsia="Times New Roman" w:hAnsi="Times New Roman"/>
          <w:sz w:val="14"/>
          <w:szCs w:val="14"/>
          <w:i w:val="1"/>
          <w:iCs w:val="1"/>
          <w:color w:val="auto"/>
        </w:rPr>
        <w:t>(iPSC</w:t>
      </w:r>
      <w:r>
        <w:rPr>
          <w:rFonts w:ascii="Times New Roman" w:cs="Times New Roman" w:eastAsia="Times New Roman" w:hAnsi="Times New Roman"/>
          <w:sz w:val="14"/>
          <w:szCs w:val="14"/>
          <w:color w:val="auto"/>
        </w:rPr>
        <w:t>s) because their derivation does not involve the use of embryonic tissues.</w:t>
      </w:r>
    </w:p>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21" w:lineRule="exact"/>
        <w:rPr>
          <w:sz w:val="20"/>
          <w:szCs w:val="20"/>
          <w:color w:val="auto"/>
        </w:rPr>
      </w:pPr>
    </w:p>
    <w:p>
      <w:pPr>
        <w:jc w:val="both"/>
        <w:ind w:firstLine="507"/>
        <w:spacing w:after="0" w:line="261" w:lineRule="auto"/>
        <w:rPr>
          <w:sz w:val="20"/>
          <w:szCs w:val="20"/>
          <w:color w:val="auto"/>
        </w:rPr>
      </w:pPr>
      <w:r>
        <w:rPr>
          <w:rFonts w:ascii="Times New Roman" w:cs="Times New Roman" w:eastAsia="Times New Roman" w:hAnsi="Times New Roman"/>
          <w:sz w:val="14"/>
          <w:szCs w:val="14"/>
          <w:color w:val="auto"/>
        </w:rPr>
        <w:t xml:space="preserve">We may use both hESCs and iPSCs to produce human cells for our customized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54" w:name="page55"/>
    <w:bookmarkEnd w:id="54"/>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3"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2"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37"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35"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social and ethical concerns surrounding the use of iPSCs, biological materials and genetic information could impair our operations.</w:t>
      </w:r>
    </w:p>
    <w:p>
      <w:pPr>
        <w:spacing w:after="0" w:line="179"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16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21"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 xml:space="preserve">The human cells we produce from hPSCs and our customized bioassay systems using such cells, including </w:t>
      </w:r>
      <w:r>
        <w:rPr>
          <w:rFonts w:ascii="Times New Roman" w:cs="Times New Roman" w:eastAsia="Times New Roman" w:hAnsi="Times New Roman"/>
          <w:sz w:val="14"/>
          <w:szCs w:val="14"/>
          <w:i w:val="1"/>
          <w:iCs w:val="1"/>
          <w:color w:val="auto"/>
        </w:rPr>
        <w:t>CardioSafe</w:t>
      </w:r>
      <w:r>
        <w:rPr>
          <w:rFonts w:ascii="Times New Roman" w:cs="Times New Roman" w:eastAsia="Times New Roman" w:hAnsi="Times New Roman"/>
          <w:sz w:val="14"/>
          <w:szCs w:val="14"/>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55" w:name="page56"/>
    <w:bookmarkEnd w:id="55"/>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Company-Related Risks</w:t>
      </w:r>
    </w:p>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23"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Our success depends in part on our continued ability to attract, retain and motivate highly qualified management and scientific and technical personnel. We are highly dependent upon our Chief Executive Officer, President and Chief Scientific Officer and Chief Financial Officer, as well as other employees, consultants and scientific collaborators. As of the date of this Quarterly Report on Form 10-Q, we have eight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42"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37"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In addition, we rely on a diverse range of strategic consultants and advisors, including scientific and clinical development advisors, to assist us in designing and implementing our research and development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encounter difficulties in managing our growth and expanding our operations successfully.</w:t>
      </w:r>
    </w:p>
    <w:p>
      <w:pPr>
        <w:spacing w:after="0" w:line="179"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As we seek to advance development of AV-101 for MDD and other CNS-related conditions, as well drug rescue and stem cell technology-related regenerative medicine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56" w:name="page57"/>
    <w:bookmarkEnd w:id="56"/>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179"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If we develop AV-101, drug rescue NCEs, other product candidates, or regenerative medicine product candidates, either on our own or in collaboration with others, we will face an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5" w:lineRule="exact"/>
        <w:rPr>
          <w:sz w:val="20"/>
          <w:szCs w:val="20"/>
          <w:color w:val="auto"/>
        </w:rPr>
      </w:pPr>
    </w:p>
    <w:p>
      <w:pPr>
        <w:ind w:left="960" w:hanging="417"/>
        <w:spacing w:after="0"/>
        <w:tabs>
          <w:tab w:leader="none" w:pos="9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products that we may develop;</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to defend the related litigation;</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diversion of management's time and our resources;</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withdrawals or labeling, marketing or promotional restrictions;</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our product candidates; and</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decline in our stock price.</w:t>
      </w:r>
    </w:p>
    <w:p>
      <w:pPr>
        <w:spacing w:after="0" w:line="177"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we continue to grow, we will need to hire additional qualified accounting and financial personnel with appropriate public company experience.</w:t>
      </w:r>
    </w:p>
    <w:p>
      <w:pPr>
        <w:spacing w:after="0" w:line="200"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As we continue to grow our organization and seek to obtain listing of our common stock on a national securities market, we will need to establish and maintain more elaborate disclosure and financial controls and make changes in our corporate governance practices. We will need to hire additional accounting and financial personnel with appropriate public company experience and technical accounting knowledge, and it may be difficult to recruit and retain such personnel. Even if we are able to hire appropriate personnel, our existing operating expenses and operations will increase by the direct costs of their employment and the indirect consequences related to the diversion of management resources from product development efforts.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Unfavorable global economic conditions could adversely affect our business, financial condition or results of operations.</w:t>
      </w:r>
    </w:p>
    <w:p>
      <w:pPr>
        <w:spacing w:after="0" w:line="200"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Our results of operations could be adversely affected by general conditions in the global economy and in the global financial and stock markets. Global financial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57" w:name="page58"/>
    <w:bookmarkEnd w:id="57"/>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44"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44"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acquire businesses or products, or form strategic alliances, in the future, and we may not realize the benefits of such acquisitions.</w:t>
      </w:r>
    </w:p>
    <w:p>
      <w:pPr>
        <w:spacing w:after="0" w:line="200"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58" w:name="page59"/>
    <w:bookmarkEnd w:id="58"/>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Need for Capital</w:t>
      </w:r>
    </w:p>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44"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We have incurred significant net losses in each fiscal year since our inception in 1998, including net losses of $13.9 million and $3.0 million during the fiscal years ending March 31, 2015 and 2014, respectively. As of December 31, 2015, we had an accumulated deficit of approximately $123.2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65"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Our ability to become profitable depends upon our ability to generate revenues. To date, although we have generated approximately $16.4 million in revenues,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strategic development and commercialization agreements with respect to AV-101 or another product candidate. Our ability to generate revenue depends on a number of factors, including, but not limited to, our ability to:</w:t>
      </w:r>
    </w:p>
    <w:p>
      <w:pPr>
        <w:spacing w:after="0" w:line="160" w:lineRule="exact"/>
        <w:rPr>
          <w:sz w:val="20"/>
          <w:szCs w:val="20"/>
          <w:color w:val="auto"/>
        </w:rPr>
      </w:pPr>
    </w:p>
    <w:p>
      <w:pPr>
        <w:ind w:left="920" w:hanging="324"/>
        <w:spacing w:after="0"/>
        <w:tabs>
          <w:tab w:leader="none" w:pos="9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successfully complete clinical trials that meet their clinical endpoints;</w:t>
      </w:r>
    </w:p>
    <w:p>
      <w:pPr>
        <w:spacing w:after="0" w:line="198"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successfully complete all safety studies required to obtain U.S. and foreign marketing approval for our product candidates;</w:t>
      </w:r>
    </w:p>
    <w:p>
      <w:pPr>
        <w:spacing w:after="0" w:line="198"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commercialize our product candidates, if approved, by developing a sales force or entering into collaborations with third parties; and</w:t>
      </w:r>
    </w:p>
    <w:p>
      <w:pPr>
        <w:spacing w:after="0" w:line="198"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achieve market acceptance of our product candidates in the medical community and with third-party payors.</w:t>
      </w:r>
    </w:p>
    <w:p>
      <w:pPr>
        <w:spacing w:after="0" w:line="198"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Unless we enter into a strategic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independent auditors have expressed substantial doubt about our ability to continue as a going concern.</w:t>
      </w:r>
    </w:p>
    <w:p>
      <w:pPr>
        <w:spacing w:after="0" w:line="200"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Our consolidated financial statements for the year ended March 31, 2015 have been prepared assuming we will continue to operate as a going concern. However, due to our ongoing operating losses and our accumulated deficit, in their opinion on our audited financial statements for our fiscal year ended March 31, 2015, our auditors indicated that there is substantial doubt about our ability to continue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59" w:name="page60"/>
    <w:bookmarkEnd w:id="59"/>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jc w:val="both"/>
        <w:ind w:firstLine="46"/>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 or other operations.</w:t>
      </w:r>
    </w:p>
    <w:p>
      <w:pPr>
        <w:spacing w:after="0" w:line="144"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Times New Roman" w:cs="Times New Roman" w:eastAsia="Times New Roman" w:hAnsi="Times New Roman"/>
          <w:sz w:val="14"/>
          <w:szCs w:val="14"/>
          <w:i w:val="1"/>
          <w:iCs w:val="1"/>
          <w:color w:val="auto"/>
        </w:rPr>
        <w:t>CardioSafe</w:t>
      </w:r>
      <w:r>
        <w:rPr>
          <w:rFonts w:ascii="Times New Roman" w:cs="Times New Roman" w:eastAsia="Times New Roman" w:hAnsi="Times New Roman"/>
          <w:sz w:val="14"/>
          <w:szCs w:val="14"/>
          <w:color w:val="auto"/>
        </w:rPr>
        <w:t xml:space="preserve"> 3D for drug rescue applications, and we will continue to expend substantial resources for the foreseeable future developing and commercializing AV-101, and, potentially, developing drug rescue NCEs and RM therapies.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61" w:lineRule="exact"/>
        <w:rPr>
          <w:sz w:val="20"/>
          <w:szCs w:val="20"/>
          <w:color w:val="auto"/>
        </w:rPr>
      </w:pPr>
    </w:p>
    <w:p>
      <w:pPr>
        <w:jc w:val="both"/>
        <w:ind w:firstLine="507"/>
        <w:spacing w:after="0" w:line="254" w:lineRule="auto"/>
        <w:rPr>
          <w:sz w:val="20"/>
          <w:szCs w:val="20"/>
          <w:color w:val="auto"/>
        </w:rPr>
      </w:pPr>
      <w:r>
        <w:rPr>
          <w:rFonts w:ascii="Times New Roman" w:cs="Times New Roman" w:eastAsia="Times New Roman" w:hAnsi="Times New Roman"/>
          <w:sz w:val="14"/>
          <w:szCs w:val="14"/>
          <w:color w:val="auto"/>
        </w:rPr>
        <w:t xml:space="preserve">At December 31, 2015, our existing cash and cash equivalents were not sufficient to fund our current operations for the next 12 months. As described in Note 8, </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to the accompanying Condensed Consolidated Financial Statements in Part I of this Report, on August 3, 2015, we entered into an agreement with Platinum (</w:t>
      </w:r>
      <w:r>
        <w:rPr>
          <w:rFonts w:ascii="Times New Roman" w:cs="Times New Roman" w:eastAsia="Times New Roman" w:hAnsi="Times New Roman"/>
          <w:sz w:val="14"/>
          <w:szCs w:val="14"/>
          <w:i w:val="1"/>
          <w:iCs w:val="1"/>
          <w:color w:val="auto"/>
        </w:rPr>
        <w:t>August 2015 Agreement</w:t>
      </w:r>
      <w:r>
        <w:rPr>
          <w:rFonts w:ascii="Times New Roman" w:cs="Times New Roman" w:eastAsia="Times New Roman" w:hAnsi="Times New Roman"/>
          <w:sz w:val="14"/>
          <w:szCs w:val="14"/>
          <w:color w:val="auto"/>
        </w:rPr>
        <w:t xml:space="preserve">) pursuant to which we agreed to sell to Platinum an additional $3.0 million of our Series B Preferred and Series B Warrants (collectively, </w:t>
      </w:r>
      <w:r>
        <w:rPr>
          <w:rFonts w:ascii="Times New Roman" w:cs="Times New Roman" w:eastAsia="Times New Roman" w:hAnsi="Times New Roman"/>
          <w:sz w:val="14"/>
          <w:szCs w:val="14"/>
          <w:i w:val="1"/>
          <w:iCs w:val="1"/>
          <w:color w:val="auto"/>
        </w:rPr>
        <w:t>Series B Units</w:t>
      </w:r>
      <w:r>
        <w:rPr>
          <w:rFonts w:ascii="Times New Roman" w:cs="Times New Roman" w:eastAsia="Times New Roman" w:hAnsi="Times New Roman"/>
          <w:sz w:val="14"/>
          <w:szCs w:val="14"/>
          <w:color w:val="auto"/>
        </w:rPr>
        <w:t xml:space="preserve">). Through December 31, 2015, Platinum purchased an aggregate of $1.65 million of Series B Units under the August 2015 Agreement. Concurrently with its December 2015 purchase of $1.0 million of Series B Units and at our request, Platinum agreed to cancel its right to purchase the remaining $1.35 million of the Series B Units under the August 2015 Agreement. As disclosed in Note 10,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to the accompanying Condensed Consolidated Financial Statements in Part I of this Report, from January 1, 2016 through February 12, 2016, we sold to certain accredited investors other than Platinum $128,000 of our Series B Units in self-placed private placement transactions. In February 2015, we entered into a Cooperative Research and Development Agreement (</w:t>
      </w:r>
      <w:r>
        <w:rPr>
          <w:rFonts w:ascii="Times New Roman" w:cs="Times New Roman" w:eastAsia="Times New Roman" w:hAnsi="Times New Roman"/>
          <w:sz w:val="14"/>
          <w:szCs w:val="14"/>
          <w:i w:val="1"/>
          <w:iCs w:val="1"/>
          <w:color w:val="auto"/>
        </w:rPr>
        <w:t>CRADA</w:t>
      </w:r>
      <w:r>
        <w:rPr>
          <w:rFonts w:ascii="Times New Roman" w:cs="Times New Roman" w:eastAsia="Times New Roman" w:hAnsi="Times New Roman"/>
          <w:sz w:val="14"/>
          <w:szCs w:val="14"/>
          <w:color w:val="auto"/>
        </w:rPr>
        <w:t>) with the U.S. National Institutes of Health (</w:t>
      </w:r>
      <w:r>
        <w:rPr>
          <w:rFonts w:ascii="Times New Roman" w:cs="Times New Roman" w:eastAsia="Times New Roman" w:hAnsi="Times New Roman"/>
          <w:sz w:val="14"/>
          <w:szCs w:val="14"/>
          <w:i w:val="1"/>
          <w:iCs w:val="1"/>
          <w:color w:val="auto"/>
        </w:rPr>
        <w:t>NIH</w:t>
      </w:r>
      <w:r>
        <w:rPr>
          <w:rFonts w:ascii="Times New Roman" w:cs="Times New Roman" w:eastAsia="Times New Roman" w:hAnsi="Times New Roman"/>
          <w:sz w:val="14"/>
          <w:szCs w:val="14"/>
          <w:color w:val="auto"/>
        </w:rPr>
        <w:t>), under which the NIH is fully funding and conducting the initial Phase 2A clinical efficacy and safety of AV-101 in Major Depressive Disorder. However, we have no current source of revenue to sustain our present activities, and we do not expect to generate revenue until, and unless, we (i) out-license or sell AV-101, a drug rescue NCE,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 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intend to complete additional financing arrangements in 2016.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future capital requirements depend on many factors, including:</w:t>
      </w:r>
    </w:p>
    <w:p>
      <w:pPr>
        <w:spacing w:after="0" w:line="198"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characteristics of the product candidates we pursue, including AV-101 and drug rescue NCEs;</w:t>
      </w:r>
    </w:p>
    <w:p>
      <w:pPr>
        <w:spacing w:after="0" w:line="198" w:lineRule="exact"/>
        <w:rPr>
          <w:rFonts w:ascii="Times New Roman" w:cs="Times New Roman" w:eastAsia="Times New Roman" w:hAnsi="Times New Roman"/>
          <w:sz w:val="14"/>
          <w:szCs w:val="14"/>
          <w:color w:val="auto"/>
        </w:rPr>
      </w:pPr>
    </w:p>
    <w:p>
      <w:pPr>
        <w:ind w:left="900" w:hanging="383"/>
        <w:spacing w:after="0"/>
        <w:tabs>
          <w:tab w:leader="none" w:pos="9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researching and developing our product candidates, and conducting preclinical and clinical studies;</w:t>
      </w:r>
    </w:p>
    <w:p>
      <w:pPr>
        <w:spacing w:after="0" w:line="198"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the costs involved in, obtaining regulatory approvals for our product candidates;</w:t>
      </w:r>
    </w:p>
    <w:p>
      <w:pPr>
        <w:spacing w:after="0" w:line="198"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commercialization activities if any of our product candidates are approved for sale, including marketing, sales and distribution costs;</w:t>
      </w:r>
    </w:p>
    <w:p>
      <w:pPr>
        <w:spacing w:after="0" w:line="198"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our product candidates and any products we successfully commercialize;</w:t>
      </w:r>
    </w:p>
    <w:p>
      <w:pPr>
        <w:spacing w:after="0" w:line="198"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strategic partnerships, licensing or other arrangements and the financial terms of such agreements;</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our products;</w:t>
      </w:r>
    </w:p>
    <w:p>
      <w:pPr>
        <w:spacing w:after="0" w:line="176"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198"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government funding for our programs;</w:t>
      </w:r>
    </w:p>
    <w:p>
      <w:pPr>
        <w:spacing w:after="0" w:line="198" w:lineRule="exact"/>
        <w:rPr>
          <w:rFonts w:ascii="Times New Roman" w:cs="Times New Roman" w:eastAsia="Times New Roman" w:hAnsi="Times New Roman"/>
          <w:sz w:val="14"/>
          <w:szCs w:val="14"/>
          <w:color w:val="auto"/>
        </w:rPr>
      </w:pPr>
    </w:p>
    <w:p>
      <w:pPr>
        <w:ind w:left="960" w:hanging="417"/>
        <w:spacing w:after="0" w:line="285" w:lineRule="auto"/>
        <w:tabs>
          <w:tab w:leader="none" w:pos="9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145" w:lineRule="exact"/>
        <w:rPr>
          <w:rFonts w:ascii="Times New Roman" w:cs="Times New Roman" w:eastAsia="Times New Roman" w:hAnsi="Times New Roman"/>
          <w:sz w:val="14"/>
          <w:szCs w:val="14"/>
          <w:color w:val="auto"/>
        </w:rPr>
      </w:pPr>
    </w:p>
    <w:p>
      <w:pPr>
        <w:ind w:left="960" w:hanging="417"/>
        <w:spacing w:after="0"/>
        <w:tabs>
          <w:tab w:leader="none" w:pos="9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receipt and amount of potential future licensee fees, milestone payments, and sales of, or royalties on, our future products, if any; and</w:t>
      </w:r>
    </w:p>
    <w:p>
      <w:pPr>
        <w:spacing w:after="0" w:line="176" w:lineRule="exact"/>
        <w:rPr>
          <w:rFonts w:ascii="Times New Roman" w:cs="Times New Roman" w:eastAsia="Times New Roman" w:hAnsi="Times New Roman"/>
          <w:sz w:val="14"/>
          <w:szCs w:val="14"/>
          <w:color w:val="auto"/>
        </w:rPr>
      </w:pPr>
    </w:p>
    <w:p>
      <w:pPr>
        <w:ind w:left="960" w:hanging="417"/>
        <w:spacing w:after="0" w:line="262" w:lineRule="auto"/>
        <w:tabs>
          <w:tab w:leader="none" w:pos="9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 although we currently have no commitments or agreements relating to any of these types of transactions.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60" w:name="page61"/>
    <w:bookmarkEnd w:id="60"/>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4"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Any additional fundraising efforts will divert our management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68"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If we are unable to obtain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Raising additional capital will cause dilution to our existing stockholders, and may restrict our operations or require us to relinquish rights.</w:t>
      </w:r>
    </w:p>
    <w:p>
      <w:pPr>
        <w:spacing w:after="0" w:line="200"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We intend to seek additional capital in 2016 through a combination of private and public equity offerings, debt financings, collaborations and strategic and licensing arrangements.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Some of our programs have been partially supported by government grants, which may not be available to us in the future.</w:t>
      </w:r>
    </w:p>
    <w:p>
      <w:pPr>
        <w:spacing w:after="0" w:line="179"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net operating losses to offset future taxable income is subject to certain limitations.</w:t>
      </w:r>
    </w:p>
    <w:p>
      <w:pPr>
        <w:spacing w:after="0" w:line="179"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As of March 31, 2015, we had federal and state net operating loss carryforwards of $58.7 million and $53.1 million, respectively, which begin to expire in fiscal 2016. Under Section 382 of the Internal Revenue Code of 1986, as amended, or the Code,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61" w:name="page62"/>
    <w:bookmarkEnd w:id="61"/>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 Rights</w:t>
      </w:r>
    </w:p>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44"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58"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Our success will depend significantly on our ability to obtain and maintain patent and other proprietary protection for commercially important technology, inventions and know-how related to our business, defend and enforce our patents, should they issue, preserve the confidentiality of our trade secrets and operate without infringing the valid and enforceable patents and proprietary rights of third parties. We also rely on know-how, continuing technological innovation and in-licensing opportunities to develop, strengthen and maintain the proprietary position of our product candidates. Our owned and licensed patents and patent applications relate to AV-101 and, in general, human pluripotent stem cell technology.</w:t>
      </w:r>
    </w:p>
    <w:p>
      <w:pPr>
        <w:spacing w:after="0" w:line="160"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We currently have no issued patents covering AV-101. We cannot provide any assurances that any of our multiple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 for certain inventories.</w:t>
      </w:r>
    </w:p>
    <w:p>
      <w:pPr>
        <w:spacing w:after="0" w:line="163"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 xml:space="preserve">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Times New Roman" w:cs="Times New Roman" w:eastAsia="Times New Roman" w:hAnsi="Times New Roman"/>
          <w:sz w:val="14"/>
          <w:szCs w:val="14"/>
          <w:i w:val="1"/>
          <w:iCs w:val="1"/>
          <w:color w:val="auto"/>
        </w:rPr>
        <w:t>ex parte</w:t>
      </w:r>
      <w:r>
        <w:rPr>
          <w:rFonts w:ascii="Times New Roman" w:cs="Times New Roman" w:eastAsia="Times New Roman" w:hAnsi="Times New Roman"/>
          <w:sz w:val="14"/>
          <w:szCs w:val="14"/>
          <w:color w:val="auto"/>
        </w:rPr>
        <w:t xml:space="preserve"> reexamination, or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66"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66"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39"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62" w:name="page63"/>
    <w:bookmarkEnd w:id="62"/>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degree of future protection for our proprietary rights is uncertain, and we cannot ensure that:</w:t>
      </w:r>
    </w:p>
    <w:p>
      <w:pPr>
        <w:spacing w:after="0" w:line="198" w:lineRule="exact"/>
        <w:rPr>
          <w:sz w:val="20"/>
          <w:szCs w:val="20"/>
          <w:color w:val="auto"/>
        </w:rPr>
      </w:pPr>
    </w:p>
    <w:p>
      <w:pPr>
        <w:ind w:left="920" w:hanging="324"/>
        <w:spacing w:after="0"/>
        <w:tabs>
          <w:tab w:leader="none" w:pos="9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AV-101 or other pending patent applications, if issued, will include claims having a scope sufficient to protect AV-101 or any other products or product candidates;</w:t>
      </w:r>
    </w:p>
    <w:p>
      <w:pPr>
        <w:spacing w:after="0" w:line="176"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pending patent applications will issue as patents at all;</w:t>
      </w:r>
    </w:p>
    <w:p>
      <w:pPr>
        <w:spacing w:after="0" w:line="198"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able to successfully commercialize our product candidates, if approved, before our relevant patents expire;</w:t>
      </w:r>
    </w:p>
    <w:p>
      <w:pPr>
        <w:spacing w:after="0" w:line="198"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were the first to make the inventions covered by each of our patents and pending patent applications;</w:t>
      </w:r>
    </w:p>
    <w:p>
      <w:pPr>
        <w:spacing w:after="0" w:line="198"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were the first to file patent applications for these inventions;</w:t>
      </w:r>
    </w:p>
    <w:p>
      <w:pPr>
        <w:spacing w:after="0" w:line="198"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will not develop similar or alternative technologies that do not infringe our patents;</w:t>
      </w:r>
    </w:p>
    <w:p>
      <w:pPr>
        <w:spacing w:after="0" w:line="198"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will not use pre-existing technology to effectively compete against us;</w:t>
      </w:r>
    </w:p>
    <w:p>
      <w:pPr>
        <w:spacing w:after="0" w:line="198"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patents, if issued, will be found to ultimately be valid and enforceable;</w:t>
      </w:r>
    </w:p>
    <w:p>
      <w:pPr>
        <w:spacing w:after="0" w:line="198" w:lineRule="exact"/>
        <w:rPr>
          <w:rFonts w:ascii="Times New Roman" w:cs="Times New Roman" w:eastAsia="Times New Roman" w:hAnsi="Times New Roman"/>
          <w:sz w:val="14"/>
          <w:szCs w:val="14"/>
          <w:color w:val="auto"/>
        </w:rPr>
      </w:pPr>
    </w:p>
    <w:p>
      <w:pPr>
        <w:ind w:left="920" w:hanging="324"/>
        <w:spacing w:after="0" w:line="285" w:lineRule="auto"/>
        <w:tabs>
          <w:tab w:leader="none" w:pos="9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patents issued to us will provide a basis for an exclusive market for our commercially viable products, will provide us with any competitive advantages or will not be challenged by third parties;</w:t>
      </w:r>
    </w:p>
    <w:p>
      <w:pPr>
        <w:spacing w:after="0" w:line="145"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develop additional proprietary technologies or product candidates that are separately patentable; or</w:t>
      </w:r>
    </w:p>
    <w:p>
      <w:pPr>
        <w:spacing w:after="0" w:line="198"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our commercial activities or products will not infringe upon the patents or proprietary rights of others.</w:t>
      </w:r>
    </w:p>
    <w:p>
      <w:pPr>
        <w:spacing w:after="0" w:line="198" w:lineRule="exact"/>
        <w:rPr>
          <w:sz w:val="20"/>
          <w:szCs w:val="20"/>
          <w:color w:val="auto"/>
        </w:rPr>
      </w:pPr>
    </w:p>
    <w:p>
      <w:pPr>
        <w:jc w:val="both"/>
        <w:ind w:firstLine="507"/>
        <w:spacing w:after="0" w:line="261" w:lineRule="auto"/>
        <w:rPr>
          <w:sz w:val="20"/>
          <w:szCs w:val="20"/>
          <w:color w:val="auto"/>
        </w:rPr>
      </w:pPr>
      <w:r>
        <w:rPr>
          <w:rFonts w:ascii="Times New Roman" w:cs="Times New Roman" w:eastAsia="Times New Roman" w:hAnsi="Times New Roman"/>
          <w:sz w:val="14"/>
          <w:szCs w:val="14"/>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33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44"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46" w:lineRule="exact"/>
        <w:rPr>
          <w:sz w:val="20"/>
          <w:szCs w:val="20"/>
          <w:color w:val="auto"/>
        </w:rPr>
      </w:pPr>
    </w:p>
    <w:p>
      <w:pPr>
        <w:jc w:val="both"/>
        <w:ind w:firstLine="507"/>
        <w:spacing w:after="0" w:line="255" w:lineRule="auto"/>
        <w:rPr>
          <w:sz w:val="20"/>
          <w:szCs w:val="20"/>
          <w:color w:val="auto"/>
        </w:rPr>
      </w:pPr>
      <w:r>
        <w:rPr>
          <w:rFonts w:ascii="Times New Roman" w:cs="Times New Roman" w:eastAsia="Times New Roman" w:hAnsi="Times New Roman"/>
          <w:sz w:val="14"/>
          <w:szCs w:val="14"/>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which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63" w:name="page64"/>
    <w:bookmarkEnd w:id="63"/>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5"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our product candidates.</w:t>
      </w:r>
    </w:p>
    <w:p>
      <w:pPr>
        <w:spacing w:after="0" w:line="160"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60" w:lineRule="exact"/>
        <w:rPr>
          <w:sz w:val="20"/>
          <w:szCs w:val="20"/>
          <w:color w:val="auto"/>
        </w:rPr>
      </w:pPr>
    </w:p>
    <w:p>
      <w:pPr>
        <w:ind w:left="920" w:hanging="324"/>
        <w:spacing w:after="0"/>
        <w:tabs>
          <w:tab w:leader="none" w:pos="9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 developing, selling or otherwise commercializing our product candidates;</w:t>
      </w:r>
    </w:p>
    <w:p>
      <w:pPr>
        <w:spacing w:after="0" w:line="198"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substantial damages for past use of the asserted intellectual property;</w:t>
      </w:r>
    </w:p>
    <w:p>
      <w:pPr>
        <w:spacing w:after="0" w:line="198"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 license from the holder of the asserted intellectual property, which license may not be available on reasonable terms, if at all; and</w:t>
      </w:r>
    </w:p>
    <w:p>
      <w:pPr>
        <w:spacing w:after="0" w:line="198" w:lineRule="exact"/>
        <w:rPr>
          <w:rFonts w:ascii="Times New Roman" w:cs="Times New Roman" w:eastAsia="Times New Roman" w:hAnsi="Times New Roman"/>
          <w:sz w:val="14"/>
          <w:szCs w:val="14"/>
          <w:color w:val="auto"/>
        </w:rPr>
      </w:pPr>
    </w:p>
    <w:p>
      <w:pPr>
        <w:ind w:left="920" w:hanging="324"/>
        <w:spacing w:after="0" w:line="285" w:lineRule="auto"/>
        <w:tabs>
          <w:tab w:leader="none" w:pos="9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of these risks coming to fruition could have a material adverse effect on our business, results of operations, financial condition and prospects.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or ownership of our patents and other intellectual property.</w:t>
      </w:r>
    </w:p>
    <w:p>
      <w:pPr>
        <w:spacing w:after="0" w:line="200"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42"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4"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involved in lawsuits to protect or enforce our patents or the patents of our licensors, which could be expensive, time-consuming and unsuccessful.</w:t>
      </w:r>
    </w:p>
    <w:p>
      <w:pPr>
        <w:spacing w:after="0" w:line="200"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60"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63"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64" w:name="page65"/>
    <w:bookmarkEnd w:id="64"/>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Issued patents covering our product candidates could be found invalid or unenforceable if challenged in court.</w:t>
      </w:r>
    </w:p>
    <w:p>
      <w:pPr>
        <w:spacing w:after="0" w:line="200"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44"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66"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0"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66"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56"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“Business—Licenses” in our Annual Report on Form 10-K for our fiscal year ended March 31, 2015, filed with the SEC on June 29, 2015, for a description of our license agreements, which includes a description of the termination provisions of these agreements.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65" w:name="page66"/>
    <w:bookmarkEnd w:id="65"/>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5"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45"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46" w:lineRule="exact"/>
        <w:rPr>
          <w:sz w:val="20"/>
          <w:szCs w:val="20"/>
          <w:color w:val="auto"/>
        </w:rPr>
      </w:pPr>
    </w:p>
    <w:p>
      <w:pPr>
        <w:ind w:left="920" w:hanging="324"/>
        <w:spacing w:after="0"/>
        <w:tabs>
          <w:tab w:leader="none" w:pos="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198"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technology and processes infringe on intellectual property of the licensor that is not subject to the licensing agreement;</w:t>
      </w:r>
    </w:p>
    <w:p>
      <w:pPr>
        <w:spacing w:after="0" w:line="198"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sublicense patent and other rights to third parties under collaborative development relationships;</w:t>
      </w:r>
    </w:p>
    <w:p>
      <w:pPr>
        <w:spacing w:after="0" w:line="198" w:lineRule="exact"/>
        <w:rPr>
          <w:rFonts w:ascii="Times New Roman" w:cs="Times New Roman" w:eastAsia="Times New Roman" w:hAnsi="Times New Roman"/>
          <w:sz w:val="14"/>
          <w:szCs w:val="14"/>
          <w:color w:val="auto"/>
        </w:rPr>
      </w:pPr>
    </w:p>
    <w:p>
      <w:pPr>
        <w:ind w:left="920" w:hanging="324"/>
        <w:spacing w:after="0" w:line="285" w:lineRule="auto"/>
        <w:tabs>
          <w:tab w:leader="none" w:pos="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with respect to the use of the licensed technology in relation to our development and commercialization of our product candidates, and what activities satisfy those diligence obligations; and</w:t>
      </w:r>
    </w:p>
    <w:p>
      <w:pPr>
        <w:spacing w:after="0" w:line="145" w:lineRule="exact"/>
        <w:rPr>
          <w:rFonts w:ascii="Times New Roman" w:cs="Times New Roman" w:eastAsia="Times New Roman" w:hAnsi="Times New Roman"/>
          <w:sz w:val="14"/>
          <w:szCs w:val="14"/>
          <w:color w:val="auto"/>
        </w:rPr>
      </w:pPr>
    </w:p>
    <w:p>
      <w:pPr>
        <w:ind w:left="920" w:hanging="324"/>
        <w:spacing w:after="0"/>
        <w:tabs>
          <w:tab w:leader="none" w:pos="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inventions and know-how resulting from the joint creation or use of intellectual property by our licensors and us and our partners.</w:t>
      </w:r>
    </w:p>
    <w:p>
      <w:pPr>
        <w:spacing w:after="0" w:line="198"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46"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We have entered into several licenses to support our various programs. We may enter into additional license(s) to third-party intellectual property that are necessary or useful to our business. Our current licenses and any future licenses that we may enter into impose various royalty payment,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66"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56" w:lineRule="exact"/>
        <w:rPr>
          <w:sz w:val="20"/>
          <w:szCs w:val="20"/>
          <w:color w:val="auto"/>
        </w:rPr>
      </w:pPr>
    </w:p>
    <w:p>
      <w:pPr>
        <w:jc w:val="both"/>
        <w:ind w:firstLine="507"/>
        <w:spacing w:after="0" w:line="254" w:lineRule="auto"/>
        <w:rPr>
          <w:sz w:val="20"/>
          <w:szCs w:val="20"/>
          <w:color w:val="auto"/>
        </w:rPr>
      </w:pPr>
      <w:r>
        <w:rPr>
          <w:rFonts w:ascii="Times New Roman" w:cs="Times New Roman" w:eastAsia="Times New Roman" w:hAnsi="Times New Roman"/>
          <w:sz w:val="14"/>
          <w:szCs w:val="14"/>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72"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66" w:name="page67"/>
    <w:bookmarkEnd w:id="66"/>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44"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U.S. patent law could diminish the value of patents in general, thereby impairing our ability to protect our products.</w:t>
      </w:r>
    </w:p>
    <w:p>
      <w:pPr>
        <w:spacing w:after="0" w:line="200"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45"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However, on March 4, 2014, the U.S. 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w:t>
      </w:r>
    </w:p>
    <w:p>
      <w:pPr>
        <w:spacing w:after="0" w:line="168"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 PTO, the laws and regulations governing patents could change in unpredictable ways that would weaken our ability to obtain new patents or to enforce any patents that may issue in the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damages resulting from claims that we or our employees have wrongfully used or disclosed alleged trade secrets of their former employers.</w:t>
      </w:r>
    </w:p>
    <w:p>
      <w:pPr>
        <w:spacing w:after="0" w:line="200"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46"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67" w:name="page68"/>
    <w:bookmarkEnd w:id="67"/>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Numerous factors may limit any potential competitive advantage provided by our intellectual property rights.</w:t>
      </w:r>
    </w:p>
    <w:p>
      <w:pPr>
        <w:spacing w:after="0" w:line="200"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58" w:lineRule="exact"/>
        <w:rPr>
          <w:sz w:val="20"/>
          <w:szCs w:val="20"/>
          <w:color w:val="auto"/>
        </w:rPr>
      </w:pPr>
    </w:p>
    <w:p>
      <w:pPr>
        <w:ind w:left="1160" w:hanging="575"/>
        <w:spacing w:after="0" w:line="285" w:lineRule="auto"/>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24"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might not have been the first to make the inventions covered by a pending patent application that we own;</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might not have been the first to file patent applications covering an invention;</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without infringing our intellectual property rights;</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pending patent applications that we own or license may not lead to issued patents;</w:t>
      </w:r>
    </w:p>
    <w:p>
      <w:pPr>
        <w:spacing w:after="0" w:line="176" w:lineRule="exact"/>
        <w:rPr>
          <w:rFonts w:ascii="Times New Roman" w:cs="Times New Roman" w:eastAsia="Times New Roman" w:hAnsi="Times New Roman"/>
          <w:sz w:val="14"/>
          <w:szCs w:val="14"/>
          <w:color w:val="auto"/>
        </w:rPr>
      </w:pPr>
    </w:p>
    <w:p>
      <w:pPr>
        <w:ind w:left="1160" w:hanging="575"/>
        <w:spacing w:after="0" w:line="285" w:lineRule="auto"/>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patents, if issued, that we own or license may not provide us with any competitive advantages, or may be held invalid or unenforceable, as a result of legal challenges by our competitors;</w:t>
      </w:r>
    </w:p>
    <w:p>
      <w:pPr>
        <w:spacing w:after="0" w:line="124"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parties may compete with us in jurisdictions where we do not pursue and obtain patent protection;</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obtain and/or maintain necessary or useful licenses on reasonable terms or at all;</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may have an adverse effect on our business.</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Should any of these events occur, they could significantly harm our business and results of operations.</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NCEs we may produce or develop in connection with any such third-party licenses.</w:t>
      </w:r>
    </w:p>
    <w:p>
      <w:pPr>
        <w:spacing w:after="0" w:line="135"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42" w:lineRule="exact"/>
        <w:rPr>
          <w:sz w:val="20"/>
          <w:szCs w:val="20"/>
          <w:color w:val="auto"/>
        </w:rPr>
      </w:pPr>
    </w:p>
    <w:p>
      <w:pPr>
        <w:jc w:val="both"/>
        <w:ind w:firstLine="507"/>
        <w:spacing w:after="0" w:line="259" w:lineRule="auto"/>
        <w:rPr>
          <w:sz w:val="20"/>
          <w:szCs w:val="20"/>
          <w:color w:val="auto"/>
        </w:rPr>
      </w:pPr>
      <w:r>
        <w:rPr>
          <w:rFonts w:ascii="Times New Roman" w:cs="Times New Roman" w:eastAsia="Times New Roman" w:hAnsi="Times New Roman"/>
          <w:sz w:val="14"/>
          <w:szCs w:val="14"/>
          <w:color w:val="auto"/>
        </w:rPr>
        <w:t>Since we became a publicly-traded company in May 2011, there has been a limited public market for shares of our common stock on the OTC Markets’ OTCQB Marketplace (</w:t>
      </w:r>
      <w:r>
        <w:rPr>
          <w:rFonts w:ascii="Times New Roman" w:cs="Times New Roman" w:eastAsia="Times New Roman" w:hAnsi="Times New Roman"/>
          <w:sz w:val="14"/>
          <w:szCs w:val="14"/>
          <w:i w:val="1"/>
          <w:iCs w:val="1"/>
          <w:color w:val="auto"/>
        </w:rPr>
        <w:t>OTCQB</w:t>
      </w:r>
      <w:r>
        <w:rPr>
          <w:rFonts w:ascii="Times New Roman" w:cs="Times New Roman" w:eastAsia="Times New Roman" w:hAnsi="Times New Roman"/>
          <w:sz w:val="14"/>
          <w:szCs w:val="14"/>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OTCQB. In that venue,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42"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We cannot predict the extent to which investor interest in our company will lead to the development of a more active trading market on the OTCQB, whether we will meet the initial listing standards of the New York Stock Exchange, the NASDAQ Capital Market, or other similar national securities exchanges, or how liquid that market might become. If an active trading market does not develop, you may have difficulty selling any of the shares of our common stock that you buy.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68" w:name="page69"/>
    <w:bookmarkEnd w:id="68"/>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volatility may affect our stock price and the value of your investment.</w:t>
      </w:r>
    </w:p>
    <w:p>
      <w:pPr>
        <w:spacing w:after="0" w:line="200" w:lineRule="exact"/>
        <w:rPr>
          <w:sz w:val="20"/>
          <w:szCs w:val="20"/>
          <w:color w:val="auto"/>
        </w:rPr>
      </w:pPr>
    </w:p>
    <w:p>
      <w:pPr>
        <w:ind w:firstLine="507"/>
        <w:spacing w:after="0" w:line="285" w:lineRule="auto"/>
        <w:rPr>
          <w:sz w:val="20"/>
          <w:szCs w:val="20"/>
          <w:color w:val="auto"/>
        </w:rPr>
      </w:pPr>
      <w:r>
        <w:rPr>
          <w:rFonts w:ascii="Times New Roman" w:cs="Times New Roman" w:eastAsia="Times New Roman" w:hAnsi="Times New Roman"/>
          <w:sz w:val="14"/>
          <w:szCs w:val="14"/>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25" w:lineRule="exact"/>
        <w:rPr>
          <w:sz w:val="20"/>
          <w:szCs w:val="20"/>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plans for, progress of or results from non-clinical studies and clinical trials of our product candidates;</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FDA to approve our product candidates;</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new products, technologies, commercial relationships, acquisitions or other events by us or our competitors;</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or failure of other CNS therapies;</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United States and other countries;</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product candidates, if approved, to achieve commercial success;</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stock market prices and trading volumes of similar companies;</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conditions and overall fluctuations in U.S. equity markets;</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quarterly operating results;</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financial guidance or securities analysts’ estimates of our financial performance;</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additional capital and the terms on which we can raise it;</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large blocks of our common stock, including sales by our executive officers, directors and significant stockholders;</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discussion of us or our stock price by the press and by online investor communities; and</w:t>
      </w:r>
    </w:p>
    <w:p>
      <w:pPr>
        <w:spacing w:after="0" w:line="176" w:lineRule="exact"/>
        <w:rPr>
          <w:rFonts w:ascii="Times New Roman" w:cs="Times New Roman" w:eastAsia="Times New Roman" w:hAnsi="Times New Roman"/>
          <w:sz w:val="14"/>
          <w:szCs w:val="14"/>
          <w:color w:val="auto"/>
        </w:rPr>
      </w:pPr>
    </w:p>
    <w:p>
      <w:pPr>
        <w:ind w:left="1160" w:hanging="575"/>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described in these risk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common stock may cause our stock price to decline.</w:t>
      </w:r>
    </w:p>
    <w:p>
      <w:pPr>
        <w:spacing w:after="0" w:line="200" w:lineRule="exact"/>
        <w:rPr>
          <w:sz w:val="20"/>
          <w:szCs w:val="20"/>
          <w:color w:val="auto"/>
        </w:rPr>
      </w:pPr>
    </w:p>
    <w:p>
      <w:pPr>
        <w:jc w:val="both"/>
        <w:ind w:firstLine="507"/>
        <w:spacing w:after="0" w:line="285" w:lineRule="auto"/>
        <w:rPr>
          <w:sz w:val="20"/>
          <w:szCs w:val="20"/>
          <w:color w:val="auto"/>
        </w:rPr>
      </w:pPr>
      <w:r>
        <w:rPr>
          <w:rFonts w:ascii="Times New Roman" w:cs="Times New Roman" w:eastAsia="Times New Roman" w:hAnsi="Times New Roman"/>
          <w:sz w:val="14"/>
          <w:szCs w:val="14"/>
          <w:color w:val="auto"/>
        </w:rPr>
        <w:t>Sales or issuances of a substantial number of shares of our common stock in the public market, or the perception that these sales or issuances are occurring or might occur, could significantly reduce the market price of our common stock and impair our ability to raise adequate capital through the sale of additional equity securities.</w:t>
      </w:r>
    </w:p>
    <w:p>
      <w:pPr>
        <w:spacing w:after="0" w:line="146"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The stock market in general, and biotechnology-based companies like ours in particular, has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23"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Quarterly Report on Form 10-Q, there has been a highly limited public market for shares of our common stock on the OTCQB.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69" w:name="page70"/>
    <w:bookmarkEnd w:id="69"/>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200" w:lineRule="exact"/>
        <w:rPr>
          <w:sz w:val="20"/>
          <w:szCs w:val="20"/>
          <w:color w:val="auto"/>
        </w:rPr>
      </w:pPr>
    </w:p>
    <w:p>
      <w:pPr>
        <w:jc w:val="both"/>
        <w:ind w:firstLine="507"/>
        <w:spacing w:after="0" w:line="256" w:lineRule="auto"/>
        <w:rPr>
          <w:sz w:val="20"/>
          <w:szCs w:val="20"/>
          <w:color w:val="auto"/>
        </w:rPr>
      </w:pPr>
      <w:r>
        <w:rPr>
          <w:rFonts w:ascii="Times New Roman" w:cs="Times New Roman" w:eastAsia="Times New Roman" w:hAnsi="Times New Roman"/>
          <w:sz w:val="14"/>
          <w:szCs w:val="14"/>
          <w:color w:val="auto"/>
        </w:rPr>
        <w:t>Certain of our current institutional stockholders, including Platinum and its affiliate, own a substantial portion of our outstanding capital stock, including our common stock, all of our Series A Preferred, a substantial portion of our Series B Preferred, and all of our Series C Preferred, all of which preferred stock is convertible into a substantial number of shares of common stock. Accordingly, Platinum and other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6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44"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may be additional issuances of shares of preferred stock in the future.</w:t>
      </w:r>
    </w:p>
    <w:p>
      <w:pPr>
        <w:spacing w:after="0" w:line="179"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4"/>
          <w:szCs w:val="14"/>
          <w:color w:val="auto"/>
        </w:rPr>
        <w:t>Following approval by our stockholders in October 2011, our Articles of Incorporation permit us to issue up to 10.0 million shares of preferred stock. Our Board of Directors has authorized the issuance of (i) 500,000 shares of Series A Preferred, all of which shares are currently issued and outstanding; (ii) 4.0 million shares of Series B 10% Convertible Preferred stock, of which approximately 3.6 million shares are issued and outstanding as of December 31, 2015; and (iii) 3.0 million shares of Series C Convertible Preferred Stock.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4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44" w:lineRule="exact"/>
        <w:rPr>
          <w:sz w:val="20"/>
          <w:szCs w:val="20"/>
          <w:color w:val="auto"/>
        </w:rPr>
      </w:pPr>
    </w:p>
    <w:p>
      <w:pPr>
        <w:jc w:val="both"/>
        <w:ind w:firstLine="507"/>
        <w:spacing w:after="0" w:line="263" w:lineRule="auto"/>
        <w:rPr>
          <w:sz w:val="20"/>
          <w:szCs w:val="20"/>
          <w:color w:val="auto"/>
        </w:rPr>
      </w:pPr>
      <w:r>
        <w:rPr>
          <w:rFonts w:ascii="Times New Roman" w:cs="Times New Roman" w:eastAsia="Times New Roman" w:hAnsi="Times New Roman"/>
          <w:sz w:val="14"/>
          <w:szCs w:val="14"/>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 of Units in Series B Preferred Unit Private Placement</w:t>
      </w:r>
    </w:p>
    <w:p>
      <w:pPr>
        <w:spacing w:after="0" w:line="200"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Between November 23, 2015 and February 12, 2016, we entered into self-placed private placement transactions involving securities purchase agreements with accredited investors, pursuant to which we sold Series B Preferred Units consisting of an aggregate of (i) 136,143 shares of our Series B Preferred Stock; and (ii) five-year warrants to purchase an aggregate of 136,143 shares of our common stock at a fixed exercise price of $7.00 per share, subject to adjustment only for customary stock dividends, reclassifications, splits and similar transactions (</w:t>
      </w:r>
      <w:r>
        <w:rPr>
          <w:rFonts w:ascii="Times New Roman" w:cs="Times New Roman" w:eastAsia="Times New Roman" w:hAnsi="Times New Roman"/>
          <w:sz w:val="14"/>
          <w:szCs w:val="14"/>
          <w:i w:val="1"/>
          <w:iCs w:val="1"/>
          <w:color w:val="auto"/>
        </w:rPr>
        <w:t>Series B Warrants</w:t>
      </w:r>
      <w:r>
        <w:rPr>
          <w:rFonts w:ascii="Times New Roman" w:cs="Times New Roman" w:eastAsia="Times New Roman" w:hAnsi="Times New Roman"/>
          <w:sz w:val="14"/>
          <w:szCs w:val="14"/>
          <w:color w:val="auto"/>
        </w:rPr>
        <w:t xml:space="preserve">). We received cash proceeds of $1,653,000, which we expect to use for general corporate purposes. The figures reported above include 142,857 shares of Series B Preferred and Series B Warrants to purchase 142,857 shares of our Common Stock sold to Platinum for cash proceeds of $1,000,000 pursuant to the August 3, 2015 Agreement with Platinum. The Series B Preferred Units were offered and sold in a self-placed private placement transaction exempt from registration under the Securities Act of 1993 , as amended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 in reliance on Section 4(2) thereof and Rule 506 of Regulation D thereunder.</w:t>
      </w:r>
    </w:p>
    <w:p>
      <w:pPr>
        <w:spacing w:after="0" w:line="337" w:lineRule="exact"/>
        <w:rPr>
          <w:sz w:val="20"/>
          <w:szCs w:val="20"/>
          <w:color w:val="auto"/>
        </w:rPr>
      </w:pPr>
    </w:p>
    <w:p>
      <w:pPr>
        <w:jc w:val="both"/>
        <w:ind w:firstLine="507"/>
        <w:spacing w:after="0" w:line="257" w:lineRule="auto"/>
        <w:rPr>
          <w:sz w:val="20"/>
          <w:szCs w:val="20"/>
          <w:color w:val="auto"/>
        </w:rPr>
      </w:pPr>
      <w:r>
        <w:rPr>
          <w:rFonts w:ascii="Times New Roman" w:cs="Times New Roman" w:eastAsia="Times New Roman" w:hAnsi="Times New Roman"/>
          <w:sz w:val="14"/>
          <w:szCs w:val="14"/>
          <w:color w:val="auto"/>
        </w:rPr>
        <w:t>Each share of Series B Preferred is convertible, at the option of the Holder (</w:t>
      </w:r>
      <w:r>
        <w:rPr>
          <w:rFonts w:ascii="Times New Roman" w:cs="Times New Roman" w:eastAsia="Times New Roman" w:hAnsi="Times New Roman"/>
          <w:sz w:val="14"/>
          <w:szCs w:val="14"/>
          <w:i w:val="1"/>
          <w:iCs w:val="1"/>
          <w:color w:val="auto"/>
        </w:rPr>
        <w:t>Voluntary Conversion</w:t>
      </w:r>
      <w:r>
        <w:rPr>
          <w:rFonts w:ascii="Times New Roman" w:cs="Times New Roman" w:eastAsia="Times New Roman" w:hAnsi="Times New Roman"/>
          <w:sz w:val="14"/>
          <w:szCs w:val="14"/>
          <w:color w:val="auto"/>
        </w:rPr>
        <w:t>), into one (1) share of our common stock, subject to adjustment only for customary stock dividends, reclassifications, splits and similar transactions (</w:t>
      </w:r>
      <w:r>
        <w:rPr>
          <w:rFonts w:ascii="Times New Roman" w:cs="Times New Roman" w:eastAsia="Times New Roman" w:hAnsi="Times New Roman"/>
          <w:sz w:val="14"/>
          <w:szCs w:val="14"/>
          <w:i w:val="1"/>
          <w:iCs w:val="1"/>
          <w:color w:val="auto"/>
        </w:rPr>
        <w:t>Fixed Conversion Price</w:t>
      </w:r>
      <w:r>
        <w:rPr>
          <w:rFonts w:ascii="Times New Roman" w:cs="Times New Roman" w:eastAsia="Times New Roman" w:hAnsi="Times New Roman"/>
          <w:sz w:val="14"/>
          <w:szCs w:val="14"/>
          <w:color w:val="auto"/>
        </w:rPr>
        <w:t>). All shares of Series B Preferred are also convertible automatically into common stock (</w:t>
      </w:r>
      <w:r>
        <w:rPr>
          <w:rFonts w:ascii="Times New Roman" w:cs="Times New Roman" w:eastAsia="Times New Roman" w:hAnsi="Times New Roman"/>
          <w:sz w:val="14"/>
          <w:szCs w:val="14"/>
          <w:i w:val="1"/>
          <w:iCs w:val="1"/>
          <w:color w:val="auto"/>
        </w:rPr>
        <w:t>Automatic Conversion</w:t>
      </w:r>
      <w:r>
        <w:rPr>
          <w:rFonts w:ascii="Times New Roman" w:cs="Times New Roman" w:eastAsia="Times New Roman" w:hAnsi="Times New Roman"/>
          <w:sz w:val="14"/>
          <w:szCs w:val="14"/>
          <w:color w:val="auto"/>
        </w:rPr>
        <w:t xml:space="preserve">) upon the closing or effective date of any of the following transactions or events: (i) a strategic transaction involving AV-101 with an initial up-front cash payment to us of at least $10.0 million; (ii) a registered public offering of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Times New Roman" w:cs="Times New Roman" w:eastAsia="Times New Roman" w:hAnsi="Times New Roman"/>
          <w:sz w:val="14"/>
          <w:szCs w:val="14"/>
          <w:i w:val="1"/>
          <w:iCs w:val="1"/>
          <w:color w:val="auto"/>
        </w:rPr>
        <w:t>Conversion</w:t>
      </w:r>
      <w:r>
        <w:rPr>
          <w:rFonts w:ascii="Times New Roman" w:cs="Times New Roman" w:eastAsia="Times New Roman" w:hAnsi="Times New Roman"/>
          <w:sz w:val="14"/>
          <w:szCs w:val="14"/>
          <w:color w:val="auto"/>
        </w:rPr>
        <w:t xml:space="preserve">) are subject to customary beneficial ownership blockers. Prior to Conversion, shares of Series B Preferred will accrue dividends, payable only in unregistered shares of Common Stock, at a rate of 10% per annum (the </w:t>
      </w:r>
      <w:r>
        <w:rPr>
          <w:rFonts w:ascii="Times New Roman" w:cs="Times New Roman" w:eastAsia="Times New Roman" w:hAnsi="Times New Roman"/>
          <w:sz w:val="14"/>
          <w:szCs w:val="14"/>
          <w:i w:val="1"/>
          <w:iCs w:val="1"/>
          <w:color w:val="auto"/>
        </w:rPr>
        <w:t>Accrued Dividend</w:t>
      </w:r>
      <w:r>
        <w:rPr>
          <w:rFonts w:ascii="Times New Roman" w:cs="Times New Roman" w:eastAsia="Times New Roman" w:hAnsi="Times New Roman"/>
          <w:sz w:val="14"/>
          <w:szCs w:val="14"/>
          <w:color w:val="auto"/>
        </w:rPr>
        <w:t>). The Accrued Dividend will be payable only on the date of Conversion solely in that number of shares of Common Stock equal to the Accrued Dividend.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70" w:name="page71"/>
    <w:bookmarkEnd w:id="70"/>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Grants of Warrants and Common Stock</w:t>
      </w:r>
    </w:p>
    <w:p>
      <w:pPr>
        <w:spacing w:after="0" w:line="200" w:lineRule="exact"/>
        <w:rPr>
          <w:sz w:val="20"/>
          <w:szCs w:val="20"/>
          <w:color w:val="auto"/>
        </w:rPr>
      </w:pPr>
    </w:p>
    <w:p>
      <w:pPr>
        <w:jc w:val="both"/>
        <w:ind w:firstLine="507"/>
        <w:spacing w:after="0" w:line="260" w:lineRule="auto"/>
        <w:rPr>
          <w:sz w:val="20"/>
          <w:szCs w:val="20"/>
          <w:color w:val="auto"/>
        </w:rPr>
      </w:pPr>
      <w:r>
        <w:rPr>
          <w:rFonts w:ascii="Times New Roman" w:cs="Times New Roman" w:eastAsia="Times New Roman" w:hAnsi="Times New Roman"/>
          <w:sz w:val="14"/>
          <w:szCs w:val="14"/>
          <w:color w:val="auto"/>
        </w:rPr>
        <w:t>On November 11, 2015, we granted 15,750 unregistered shares of our common stock and warrants to purchase 7,500 shares of our unregistered common stock at an exercise price of $7.00 per share to an accredited investor as compensation for investment banking services. On December 11, 2015 we granted warrants to purchase an aggregate of 37,500 unregistered shares of our common stock to three accredited investors pursuant to an investment banking arrangement. On January 15, 2016, we granted 10,000 shares of our unregistered common stock to an accredited investor as compensation for legal services. We will receive all proceeds from the exercise of the warrants granted; however, there can be no assurance that we will receive any proceeds therefrom. The common stock and the warrants were issued in private placement transactions exempt from registration under the Securities Act, in reliance on Section 4(2) thereof and Rule 506 of Regulation D thereunder.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 Exchanged for Common Stock</w:t>
      </w:r>
    </w:p>
    <w:p>
      <w:pPr>
        <w:spacing w:after="0" w:line="200"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4"/>
          <w:szCs w:val="14"/>
          <w:color w:val="auto"/>
        </w:rPr>
        <w:t>Between January 29, 2016 and February 12, 2016, we entered into Warrant Exchange Agreements with certain holders of outstanding warrants to purchase an aggregate of 824,887 shares of our common stock pursuant to which the holders agreed to the cancellation of such warrants in exchange for our issuance to them of an aggregate of 618,685 shares of our unregistered common stock. The common stock was issued in private placement transactions exempt from registration under the Securities Act, in reliance on Section 3(a)(9) and/or 4(2) thereof.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4"/>
                <w:szCs w:val="14"/>
                <w:color w:val="auto"/>
              </w:rPr>
            </w:pPr>
          </w:p>
        </w:tc>
        <w:tc>
          <w:tcPr>
            <w:tcW w:w="10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320" w:type="dxa"/>
            <w:vAlign w:val="bottom"/>
            <w:tcBorders>
              <w:bottom w:val="single" w:sz="8" w:color="auto"/>
            </w:tcBorders>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3"/>
                <w:szCs w:val="13"/>
                <w:color w:val="auto"/>
              </w:rPr>
            </w:pPr>
          </w:p>
        </w:tc>
        <w:tc>
          <w:tcPr>
            <w:tcW w:w="103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Certificate of Designation of the Relative Rights and Preferences of the Series C Convertible Preferred Stock of VistaGen Therapeutics, Inc., dated January 25, 2016, incorporated by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reference from Exhibit 3.1 to the Companys Current Report on Form 8-K filed on January 29, 2016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10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13"/>
                <w:szCs w:val="13"/>
                <w:color w:val="auto"/>
              </w:rPr>
            </w:pPr>
          </w:p>
        </w:tc>
        <w:tc>
          <w:tcPr>
            <w:tcW w:w="103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Exchange Agreement, by and between VistaGen Therapeutics, Inc., and Platinum Long Term Growth VII, LLC and Montsant Partners, LLC, dated January 25, 2016, incorporated by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reference from Exhibit 10.1 to the Companys Current Report on Form 8-K filed on January 29, 2016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14"/>
                <w:szCs w:val="14"/>
                <w:color w:val="auto"/>
              </w:rPr>
            </w:pPr>
          </w:p>
        </w:tc>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 of Warrant Exchange Agreement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10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31.1</w:t>
            </w:r>
          </w:p>
        </w:tc>
        <w:tc>
          <w:tcPr>
            <w:tcW w:w="120" w:type="dxa"/>
            <w:vAlign w:val="bottom"/>
            <w:shd w:val="clear" w:color="auto" w:fill="CCEEFF"/>
          </w:tcPr>
          <w:p>
            <w:pPr>
              <w:spacing w:after="0"/>
              <w:rPr>
                <w:sz w:val="13"/>
                <w:szCs w:val="13"/>
                <w:color w:val="auto"/>
              </w:rPr>
            </w:pPr>
          </w:p>
        </w:tc>
        <w:tc>
          <w:tcPr>
            <w:tcW w:w="103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Certification of the Principal Executive Officer required by Rule 13a-14(a) under the Securities Exchange Act of 1934, as amended, as adopted pursuant to Section 302 of the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Sarbanes-Oxley Act of 2002</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10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31.2</w:t>
            </w:r>
          </w:p>
        </w:tc>
        <w:tc>
          <w:tcPr>
            <w:tcW w:w="120" w:type="dxa"/>
            <w:vAlign w:val="bottom"/>
            <w:shd w:val="clear" w:color="auto" w:fill="CCEEFF"/>
          </w:tcPr>
          <w:p>
            <w:pPr>
              <w:spacing w:after="0"/>
              <w:rPr>
                <w:sz w:val="13"/>
                <w:szCs w:val="13"/>
                <w:color w:val="auto"/>
              </w:rPr>
            </w:pPr>
          </w:p>
        </w:tc>
        <w:tc>
          <w:tcPr>
            <w:tcW w:w="103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Certification of the Principal Financial Officer required by Rule 13a-14(a) under the Securities Exchange Act of 1934, as amended, as adopted pursuant to Section 302 of the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Sarbanes-Oxley Act of 2002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140" w:hanging="1136"/>
        <w:spacing w:after="0" w:line="285" w:lineRule="auto"/>
        <w:tabs>
          <w:tab w:leader="none" w:pos="1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76465"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6465" cy="214630"/>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101.INS</w:t>
            </w:r>
          </w:p>
        </w:tc>
        <w:tc>
          <w:tcPr>
            <w:tcW w:w="10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XBRL Instance Document</w:t>
            </w:r>
          </w:p>
        </w:tc>
      </w:tr>
      <w:tr>
        <w:trPr>
          <w:trHeight w:val="16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XBRL Taxonomy Extension Schema</w:t>
            </w:r>
          </w:p>
        </w:tc>
      </w:tr>
      <w:tr>
        <w:trPr>
          <w:trHeight w:val="169"/>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101.CAL</w:t>
            </w:r>
          </w:p>
        </w:tc>
        <w:tc>
          <w:tcPr>
            <w:tcW w:w="10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XBRL Taxonomy Extension Calculation Linkbase</w:t>
            </w:r>
          </w:p>
        </w:tc>
      </w:tr>
      <w:tr>
        <w:trPr>
          <w:trHeight w:val="16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XBRL Taxonomy Extension Definition Linkbase</w:t>
            </w:r>
          </w:p>
        </w:tc>
      </w:tr>
      <w:tr>
        <w:trPr>
          <w:trHeight w:val="169"/>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101.LAB</w:t>
            </w:r>
          </w:p>
        </w:tc>
        <w:tc>
          <w:tcPr>
            <w:tcW w:w="10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XBRL Taxonomy Extension Label Linkbase</w:t>
            </w:r>
          </w:p>
        </w:tc>
      </w:tr>
      <w:tr>
        <w:trPr>
          <w:trHeight w:val="18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XBRL Taxonomy Extension Presentation Linkbase</w:t>
            </w: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2180"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71" w:name="page72"/>
    <w:bookmarkEnd w:id="71"/>
    <w:p>
      <w:pPr>
        <w:spacing w:after="0"/>
        <w:rPr>
          <w:rFonts w:ascii="Times New Roman" w:cs="Times New Roman" w:eastAsia="Times New Roman" w:hAnsi="Times New Roman"/>
          <w:sz w:val="11"/>
          <w:szCs w:val="11"/>
          <w:b w:val="1"/>
          <w:bCs w:val="1"/>
          <w:i w:val="1"/>
          <w:iCs w:val="1"/>
          <w:u w:val="single" w:color="auto"/>
          <w:color w:val="0000EE"/>
        </w:rPr>
      </w:pPr>
      <w:hyperlink w:anchor="page2">
        <w:r>
          <w:rPr>
            <w:rFonts w:ascii="Times New Roman" w:cs="Times New Roman" w:eastAsia="Times New Roman" w:hAnsi="Times New Roman"/>
            <w:sz w:val="11"/>
            <w:szCs w:val="11"/>
            <w:b w:val="1"/>
            <w:bCs w:val="1"/>
            <w:i w:val="1"/>
            <w:iCs w:val="1"/>
            <w:u w:val="single" w:color="auto"/>
            <w:color w:val="0000EE"/>
          </w:rPr>
          <w:t>Table of Contents</w:t>
        </w:r>
      </w:hyperlink>
    </w:p>
    <w:p>
      <w:pPr>
        <w:spacing w:after="0" w:line="18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36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VISTAGEN THERAPEUTICS, INC.</w:t>
      </w:r>
    </w:p>
    <w:p>
      <w:pPr>
        <w:spacing w:after="0" w:line="17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u w:val="single" w:color="auto"/>
          <w:color w:val="auto"/>
        </w:rPr>
        <w:t>/s/ Shawn K. Singh</w:t>
      </w:r>
    </w:p>
    <w:p>
      <w:pPr>
        <w:spacing w:after="0" w:line="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Shawn K. Singh</w:t>
      </w:r>
    </w:p>
    <w:p>
      <w:pPr>
        <w:spacing w:after="0" w:line="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Chief Executive Officer (Principal Executive Officer)</w:t>
      </w:r>
    </w:p>
    <w:p>
      <w:pPr>
        <w:spacing w:after="0" w:line="17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u w:val="single" w:color="auto"/>
          <w:color w:val="auto"/>
        </w:rPr>
        <w:t>/s/ Jerrold D. Dotson</w:t>
      </w:r>
    </w:p>
    <w:p>
      <w:pPr>
        <w:spacing w:after="0" w:line="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Jerrold D. Dotson</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Chief Financial Officer (Principal Financial and Accounting Officer)</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February 16, 2016</w:t>
      </w:r>
    </w:p>
    <w:p>
      <w:pPr>
        <w:sectPr>
          <w:pgSz w:w="11900" w:h="16838" w:orient="portrait"/>
          <w:cols w:equalWidth="0" w:num="1">
            <w:col w:w="10460"/>
          </w:cols>
          <w:pgMar w:left="220" w:top="120" w:right="12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WARRANT EXCHANGE AGREEMENT</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Warrant Exchange Agreement (this “</w:t>
      </w:r>
      <w:r>
        <w:rPr>
          <w:rFonts w:ascii="Times New Roman" w:cs="Times New Roman" w:eastAsia="Times New Roman" w:hAnsi="Times New Roman"/>
          <w:sz w:val="14"/>
          <w:szCs w:val="14"/>
          <w:i w:val="1"/>
          <w:iCs w:val="1"/>
          <w:color w:val="auto"/>
        </w:rPr>
        <w:t>Agreement</w:t>
      </w:r>
      <w:r>
        <w:rPr>
          <w:rFonts w:ascii="Times New Roman" w:cs="Times New Roman" w:eastAsia="Times New Roman" w:hAnsi="Times New Roman"/>
          <w:sz w:val="14"/>
          <w:szCs w:val="14"/>
          <w:color w:val="auto"/>
        </w:rPr>
        <w:t>”) is dated as of _______ ___, 2016, by and between VistaGen Therapeutics, Inc., a Nevada corporation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 (the “</w:t>
      </w:r>
      <w:r>
        <w:rPr>
          <w:rFonts w:ascii="Times New Roman" w:cs="Times New Roman" w:eastAsia="Times New Roman" w:hAnsi="Times New Roman"/>
          <w:sz w:val="14"/>
          <w:szCs w:val="14"/>
          <w:i w:val="1"/>
          <w:iCs w:val="1"/>
          <w:color w:val="auto"/>
        </w:rPr>
        <w:t>Holder</w:t>
      </w:r>
      <w:r>
        <w:rPr>
          <w:rFonts w:ascii="Times New Roman" w:cs="Times New Roman" w:eastAsia="Times New Roman" w:hAnsi="Times New Roman"/>
          <w:sz w:val="14"/>
          <w:szCs w:val="14"/>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RECITALS</w:t>
      </w:r>
    </w:p>
    <w:p>
      <w:pPr>
        <w:spacing w:after="0" w:line="198" w:lineRule="exact"/>
        <w:rPr>
          <w:sz w:val="20"/>
          <w:szCs w:val="20"/>
          <w:color w:val="auto"/>
        </w:rPr>
      </w:pPr>
    </w:p>
    <w:p>
      <w:pPr>
        <w:ind w:left="520"/>
        <w:spacing w:after="0"/>
        <w:tabs>
          <w:tab w:leader="none" w:pos="5940" w:val="left"/>
        </w:tabs>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Holder currently hold warrants to purchase an aggregate total of______</w:t>
      </w:r>
      <w:r>
        <w:rPr>
          <w:sz w:val="20"/>
          <w:szCs w:val="20"/>
          <w:color w:val="auto"/>
        </w:rPr>
        <w:tab/>
      </w:r>
      <w:r>
        <w:rPr>
          <w:rFonts w:ascii="Times New Roman" w:cs="Times New Roman" w:eastAsia="Times New Roman" w:hAnsi="Times New Roman"/>
          <w:sz w:val="14"/>
          <w:szCs w:val="14"/>
          <w:color w:val="auto"/>
        </w:rPr>
        <w:t>shares of the Company’s common stock, par value $0.001 per share (“</w:t>
      </w:r>
      <w:r>
        <w:rPr>
          <w:rFonts w:ascii="Times New Roman" w:cs="Times New Roman" w:eastAsia="Times New Roman" w:hAnsi="Times New Roman"/>
          <w:sz w:val="14"/>
          <w:szCs w:val="14"/>
          <w:i w:val="1"/>
          <w:iCs w:val="1"/>
          <w:color w:val="auto"/>
        </w:rPr>
        <w:t>Common Stock</w:t>
      </w:r>
      <w:r>
        <w:rPr>
          <w:rFonts w:ascii="Times New Roman" w:cs="Times New Roman" w:eastAsia="Times New Roman" w:hAnsi="Times New Roman"/>
          <w:sz w:val="14"/>
          <w:szCs w:val="14"/>
          <w:color w:val="auto"/>
        </w:rPr>
        <w:t>”)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 xml:space="preserve">”), which Warrants are more particularly identified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attached hereto; and</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subject to the terms and conditions set forth herein, the Company and the Holder desire to cancel and retire the Warrants, in exchange for a total of up to ______ unregistered</w:t>
      </w:r>
    </w:p>
    <w:p>
      <w:pPr>
        <w:spacing w:after="0" w:line="2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shares, or such number of unregistered shares as is equal to (0.75 x number of warrant shares to be exchanged), of the Company’s Common Stock (the “</w:t>
      </w:r>
      <w:r>
        <w:rPr>
          <w:rFonts w:ascii="Times New Roman" w:cs="Times New Roman" w:eastAsia="Times New Roman" w:hAnsi="Times New Roman"/>
          <w:sz w:val="14"/>
          <w:szCs w:val="14"/>
          <w:i w:val="1"/>
          <w:iCs w:val="1"/>
          <w:color w:val="auto"/>
        </w:rPr>
        <w:t>Exchange</w:t>
      </w:r>
      <w:r>
        <w:rPr>
          <w:rFonts w:ascii="Times New Roman" w:cs="Times New Roman" w:eastAsia="Times New Roman" w:hAnsi="Times New Roman"/>
          <w:sz w:val="14"/>
          <w:szCs w:val="14"/>
          <w:color w:val="auto"/>
        </w:rPr>
        <w:t>”) in reliance on the exemption from registration provided by Section 3(a)(9) and/or 4(2) of the Securities Act of 1933, as amended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for good and valuable consideration, the receipt and sufficiency of which are hereby agreed and acknowledged, the parties hereby agree as follows: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AGREEMENT</w:t>
      </w:r>
    </w:p>
    <w:p>
      <w:pPr>
        <w:spacing w:after="0" w:line="200" w:lineRule="exact"/>
        <w:rPr>
          <w:sz w:val="20"/>
          <w:szCs w:val="20"/>
          <w:color w:val="auto"/>
        </w:rPr>
      </w:pPr>
    </w:p>
    <w:p>
      <w:pPr>
        <w:ind w:left="1000" w:hanging="489"/>
        <w:spacing w:after="0"/>
        <w:tabs>
          <w:tab w:leader="none" w:pos="1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Securities Exchange</w:t>
      </w:r>
      <w:r>
        <w:rPr>
          <w:rFonts w:ascii="Times New Roman" w:cs="Times New Roman" w:eastAsia="Times New Roman" w:hAnsi="Times New Roman"/>
          <w:sz w:val="14"/>
          <w:szCs w:val="14"/>
          <w:color w:val="auto"/>
        </w:rPr>
        <w:t>.</w:t>
      </w:r>
    </w:p>
    <w:p>
      <w:pPr>
        <w:spacing w:after="0" w:line="198" w:lineRule="exact"/>
        <w:rPr>
          <w:rFonts w:ascii="Times New Roman" w:cs="Times New Roman" w:eastAsia="Times New Roman" w:hAnsi="Times New Roman"/>
          <w:sz w:val="14"/>
          <w:szCs w:val="14"/>
          <w:color w:val="auto"/>
        </w:rPr>
      </w:pPr>
    </w:p>
    <w:p>
      <w:pPr>
        <w:jc w:val="both"/>
        <w:ind w:firstLine="1018"/>
        <w:spacing w:after="0" w:line="268" w:lineRule="auto"/>
        <w:tabs>
          <w:tab w:leader="none" w:pos="1581"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consideration of and in express reliance upon the representations, warranties, covenants, terms and conditions of this Agreement, the Holder agrees to deliver and surrender to the Company for cancellation the Warrants identified on Schedule A hereto, in exchange for a total of up to ______ unregistered shares, or such number of unregistered shares as is equal to (0.75 x number of warrant shares to be exchanged), of the Company’s Common Stock (the “</w:t>
      </w:r>
      <w:r>
        <w:rPr>
          <w:rFonts w:ascii="Times New Roman" w:cs="Times New Roman" w:eastAsia="Times New Roman" w:hAnsi="Times New Roman"/>
          <w:sz w:val="14"/>
          <w:szCs w:val="14"/>
          <w:i w:val="1"/>
          <w:iCs w:val="1"/>
          <w:color w:val="auto"/>
        </w:rPr>
        <w:t>Exchange Shares</w:t>
      </w:r>
      <w:r>
        <w:rPr>
          <w:rFonts w:ascii="Times New Roman" w:cs="Times New Roman" w:eastAsia="Times New Roman" w:hAnsi="Times New Roman"/>
          <w:sz w:val="14"/>
          <w:szCs w:val="14"/>
          <w:color w:val="auto"/>
        </w:rPr>
        <w:t>”) and the Company agrees to issue and deliver the Exchange Shares to the Holder.</w:t>
      </w:r>
    </w:p>
    <w:p>
      <w:pPr>
        <w:spacing w:after="0" w:line="155" w:lineRule="exact"/>
        <w:rPr>
          <w:rFonts w:ascii="Times New Roman" w:cs="Times New Roman" w:eastAsia="Times New Roman" w:hAnsi="Times New Roman"/>
          <w:sz w:val="14"/>
          <w:szCs w:val="14"/>
          <w:color w:val="auto"/>
        </w:rPr>
      </w:pPr>
    </w:p>
    <w:p>
      <w:pPr>
        <w:ind w:left="1560" w:hanging="542"/>
        <w:spacing w:after="0"/>
        <w:tabs>
          <w:tab w:leader="none" w:pos="15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under this Agreement (the “</w:t>
      </w:r>
      <w:r>
        <w:rPr>
          <w:rFonts w:ascii="Times New Roman" w:cs="Times New Roman" w:eastAsia="Times New Roman" w:hAnsi="Times New Roman"/>
          <w:sz w:val="14"/>
          <w:szCs w:val="14"/>
          <w:i w:val="1"/>
          <w:iCs w:val="1"/>
          <w:u w:val="single" w:color="auto"/>
          <w:color w:val="auto"/>
        </w:rPr>
        <w:t>Closing</w:t>
      </w:r>
      <w:r>
        <w:rPr>
          <w:rFonts w:ascii="Times New Roman" w:cs="Times New Roman" w:eastAsia="Times New Roman" w:hAnsi="Times New Roman"/>
          <w:sz w:val="14"/>
          <w:szCs w:val="14"/>
          <w:color w:val="auto"/>
        </w:rPr>
        <w:t>”) shall take place upon the satisfaction of each of the conditions set forth in Sections 4 and 5 hereof (the “</w:t>
      </w:r>
      <w:r>
        <w:rPr>
          <w:rFonts w:ascii="Times New Roman" w:cs="Times New Roman" w:eastAsia="Times New Roman" w:hAnsi="Times New Roman"/>
          <w:sz w:val="14"/>
          <w:szCs w:val="14"/>
          <w:i w:val="1"/>
          <w:iCs w:val="1"/>
          <w:u w:val="single" w:color="auto"/>
          <w:color w:val="auto"/>
        </w:rPr>
        <w:t>Closing Date</w:t>
      </w:r>
      <w:r>
        <w:rPr>
          <w:rFonts w:ascii="Times New Roman" w:cs="Times New Roman" w:eastAsia="Times New Roman" w:hAnsi="Times New Roman"/>
          <w:sz w:val="14"/>
          <w:szCs w:val="14"/>
          <w:color w:val="auto"/>
        </w:rPr>
        <w:t>”).</w:t>
      </w:r>
    </w:p>
    <w:p>
      <w:pPr>
        <w:spacing w:after="0" w:line="200" w:lineRule="exact"/>
        <w:rPr>
          <w:rFonts w:ascii="Times New Roman" w:cs="Times New Roman" w:eastAsia="Times New Roman" w:hAnsi="Times New Roman"/>
          <w:sz w:val="14"/>
          <w:szCs w:val="14"/>
          <w:color w:val="auto"/>
        </w:rPr>
      </w:pPr>
    </w:p>
    <w:p>
      <w:pPr>
        <w:ind w:firstLine="1018"/>
        <w:spacing w:after="0" w:line="285" w:lineRule="auto"/>
        <w:tabs>
          <w:tab w:leader="none" w:pos="1593"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Closing, the Holder shall deliver to the Company for cancellation the Warrants, provided, however, that the Company may require the Holder to deliver such Warrants after the Closing, at its discretion. Within ten (10) business days of the Closing, the Company shall issue the Exchange Shares to the Holders.</w:t>
      </w:r>
    </w:p>
    <w:p>
      <w:pPr>
        <w:spacing w:after="0" w:line="145" w:lineRule="exact"/>
        <w:rPr>
          <w:rFonts w:ascii="Times New Roman" w:cs="Times New Roman" w:eastAsia="Times New Roman" w:hAnsi="Times New Roman"/>
          <w:sz w:val="14"/>
          <w:szCs w:val="14"/>
          <w:color w:val="auto"/>
        </w:rPr>
      </w:pPr>
    </w:p>
    <w:p>
      <w:pPr>
        <w:ind w:left="1060" w:hanging="549"/>
        <w:spacing w:after="0"/>
        <w:tabs>
          <w:tab w:leader="none" w:pos="10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Warranties and Covenants of the Holder</w:t>
      </w:r>
      <w:r>
        <w:rPr>
          <w:rFonts w:ascii="Times New Roman" w:cs="Times New Roman" w:eastAsia="Times New Roman" w:hAnsi="Times New Roman"/>
          <w:sz w:val="14"/>
          <w:szCs w:val="14"/>
          <w:color w:val="auto"/>
        </w:rPr>
        <w:t>. The Holder hereby makes the following representations and warranties to the Company, and covenants for the benefit of the</w:t>
      </w:r>
    </w:p>
    <w:p>
      <w:pPr>
        <w:spacing w:after="0" w:line="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w:t>
      </w:r>
    </w:p>
    <w:p>
      <w:pPr>
        <w:spacing w:after="0" w:line="183" w:lineRule="exact"/>
        <w:rPr>
          <w:rFonts w:ascii="Times New Roman" w:cs="Times New Roman" w:eastAsia="Times New Roman" w:hAnsi="Times New Roman"/>
          <w:sz w:val="14"/>
          <w:szCs w:val="14"/>
          <w:color w:val="auto"/>
        </w:rPr>
      </w:pPr>
    </w:p>
    <w:p>
      <w:pPr>
        <w:ind w:left="1560" w:hanging="542"/>
        <w:spacing w:after="0"/>
        <w:tabs>
          <w:tab w:leader="none" w:pos="15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is a limited liability company validly existing and in good standing under the laws of the jurisdiction of its organization.</w:t>
      </w:r>
    </w:p>
    <w:p>
      <w:pPr>
        <w:spacing w:after="0" w:line="198" w:lineRule="exact"/>
        <w:rPr>
          <w:rFonts w:ascii="Times New Roman" w:cs="Times New Roman" w:eastAsia="Times New Roman" w:hAnsi="Times New Roman"/>
          <w:sz w:val="14"/>
          <w:szCs w:val="14"/>
          <w:color w:val="auto"/>
        </w:rPr>
      </w:pPr>
    </w:p>
    <w:p>
      <w:pPr>
        <w:jc w:val="both"/>
        <w:ind w:firstLine="1018"/>
        <w:spacing w:after="0" w:line="268" w:lineRule="auto"/>
        <w:tabs>
          <w:tab w:leader="none" w:pos="1575"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has been duly authorized, validly executed and delivered by the Holder and is a valid and binding agreement and obligation of the Holder, enforceable against the Holder in accordance with its terms, subject to limitations on enforcement by general principles of equity and by bankruptcy or other laws affecting the enforcement of creditors’ rights generally, and the Holder has full power and authority to execute and deliver the Agreement and the other agreements and documents contemplated hereby and to perform its obligations hereunder and thereunder.</w:t>
      </w:r>
    </w:p>
    <w:p>
      <w:pPr>
        <w:spacing w:after="0" w:line="157" w:lineRule="exact"/>
        <w:rPr>
          <w:rFonts w:ascii="Times New Roman" w:cs="Times New Roman" w:eastAsia="Times New Roman" w:hAnsi="Times New Roman"/>
          <w:sz w:val="14"/>
          <w:szCs w:val="14"/>
          <w:color w:val="auto"/>
        </w:rPr>
      </w:pPr>
    </w:p>
    <w:p>
      <w:pPr>
        <w:jc w:val="both"/>
        <w:ind w:firstLine="1018"/>
        <w:spacing w:after="0" w:line="268" w:lineRule="auto"/>
        <w:tabs>
          <w:tab w:leader="none" w:pos="1595"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understands that the Exchange Shares are being offered and issued in reliance on specific provisions of Federal and state securities laws, and that the Company is relying upon the truth and accuracy of the representations, warranties, agreements, acknowledgments and understandings of the Holder set forth in this Agreement to qualify for exemptions from registration under the Securities Act and applicable state securities laws.</w:t>
      </w:r>
    </w:p>
    <w:p>
      <w:pPr>
        <w:spacing w:after="0" w:line="157" w:lineRule="exact"/>
        <w:rPr>
          <w:rFonts w:ascii="Times New Roman" w:cs="Times New Roman" w:eastAsia="Times New Roman" w:hAnsi="Times New Roman"/>
          <w:sz w:val="14"/>
          <w:szCs w:val="14"/>
          <w:color w:val="auto"/>
        </w:rPr>
      </w:pPr>
    </w:p>
    <w:p>
      <w:pPr>
        <w:ind w:left="1560" w:hanging="542"/>
        <w:spacing w:after="0"/>
        <w:tabs>
          <w:tab w:leader="none" w:pos="156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is an “accredited investor” as defined under Rule 501 of Regulation D, promulgated under the Securities Act.</w:t>
      </w:r>
    </w:p>
    <w:p>
      <w:pPr>
        <w:spacing w:after="0" w:line="198" w:lineRule="exact"/>
        <w:rPr>
          <w:rFonts w:ascii="Times New Roman" w:cs="Times New Roman" w:eastAsia="Times New Roman" w:hAnsi="Times New Roman"/>
          <w:sz w:val="14"/>
          <w:szCs w:val="14"/>
          <w:color w:val="auto"/>
        </w:rPr>
      </w:pPr>
    </w:p>
    <w:p>
      <w:pPr>
        <w:jc w:val="both"/>
        <w:ind w:firstLine="1018"/>
        <w:spacing w:after="0" w:line="268" w:lineRule="auto"/>
        <w:tabs>
          <w:tab w:leader="none" w:pos="1654"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Holder will be acquiring the Exchange Shares for their own account, for investment purposes, and not with a view to any resale or distribution in whole or in part, in violation of the Securities Act or any applicable securities laws;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notwithstanding the foregoing, the Holder does not covenant to hold the Exchange Shares for any minimum period of time.</w:t>
      </w:r>
    </w:p>
    <w:p>
      <w:pPr>
        <w:spacing w:after="0" w:line="157" w:lineRule="exact"/>
        <w:rPr>
          <w:rFonts w:ascii="Times New Roman" w:cs="Times New Roman" w:eastAsia="Times New Roman" w:hAnsi="Times New Roman"/>
          <w:sz w:val="14"/>
          <w:szCs w:val="14"/>
          <w:color w:val="auto"/>
        </w:rPr>
      </w:pPr>
    </w:p>
    <w:p>
      <w:pPr>
        <w:jc w:val="both"/>
        <w:ind w:firstLine="1018"/>
        <w:spacing w:after="0" w:line="260" w:lineRule="auto"/>
        <w:tabs>
          <w:tab w:leader="none" w:pos="1548"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and issuance of the Exchange Shares is intended to be exempt from registration under the Securities Act, by virtue of Section 3(a)(9) and/or 4(2) thereof. The Holder understands that the Securities purchased hereunder are “restricted securities,” as that term is defined in the Securities Act and the rules thereunder, have not been registered under the Securities Act, and that none of the Exchange Shares can be sold or transferred unless they are first registered under the Securities Act and such state and other securities laws as may be applicable or the Company receives an opinion of counsel reasonably acceptable to the Company that an exemption from registration under the Securities Act is available (and then the Exchange Shares may be sold or transferred only in compliance with such exemption and all applicable state and other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7282180"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73" w:name="page74"/>
    <w:bookmarkEnd w:id="73"/>
    <w:p>
      <w:pPr>
        <w:jc w:val="both"/>
        <w:ind w:left="-511" w:firstLine="1018"/>
        <w:spacing w:after="0" w:line="258" w:lineRule="auto"/>
        <w:tabs>
          <w:tab w:leader="none" w:pos="1156"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owns and holds, beneficially and of record, the entire right, title, and interest in and to the Warrants free and clear of all rights and Encumbrances (as defined below). The Holder has the full power and authority to vote, transfer and dispose of the Warrants free and clear of any right or Encumbrance other than restrictions under the Securities Act and applicable state securities laws. Other than the transactions contemplated by this Agreement, there is no outstanding vote, plan, pending proposal, or other right of any person to acquire all or any of the Warrants. As used herein, “</w:t>
      </w:r>
      <w:r>
        <w:rPr>
          <w:rFonts w:ascii="Times New Roman" w:cs="Times New Roman" w:eastAsia="Times New Roman" w:hAnsi="Times New Roman"/>
          <w:sz w:val="14"/>
          <w:szCs w:val="14"/>
          <w:i w:val="1"/>
          <w:iCs w:val="1"/>
          <w:color w:val="auto"/>
        </w:rPr>
        <w:t>Encumbrances</w:t>
      </w:r>
      <w:r>
        <w:rPr>
          <w:rFonts w:ascii="Times New Roman" w:cs="Times New Roman" w:eastAsia="Times New Roman" w:hAnsi="Times New Roman"/>
          <w:sz w:val="14"/>
          <w:szCs w:val="14"/>
          <w:color w:val="auto"/>
        </w:rPr>
        <w:t>” shall mean any security or other property interest or right, claim, lien, pledge, option, charge, security interest, contingent or conditional sale, or other title claim or retention agreement, interest or other right or claim of third parties, whether perfected or not perfected, voluntarily incurred or arising by operation of law, and including any agreement (other than this Agreement) to grant or submit to any of the foregoing in the future.</w:t>
      </w:r>
    </w:p>
    <w:p>
      <w:pPr>
        <w:spacing w:after="0" w:line="165" w:lineRule="exact"/>
        <w:rPr>
          <w:rFonts w:ascii="Times New Roman" w:cs="Times New Roman" w:eastAsia="Times New Roman" w:hAnsi="Times New Roman"/>
          <w:sz w:val="14"/>
          <w:szCs w:val="14"/>
          <w:color w:val="auto"/>
        </w:rPr>
      </w:pPr>
    </w:p>
    <w:p>
      <w:pPr>
        <w:jc w:val="both"/>
        <w:ind w:left="-511" w:firstLine="1018"/>
        <w:spacing w:after="0" w:line="263" w:lineRule="auto"/>
        <w:tabs>
          <w:tab w:leader="none" w:pos="1142"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Warrants include warrants issued to the Holder as consideration for the Holder’s purchase of shares of the Company’s Series B 10% Convertible Preferred Stock, the shares of common stock issuable upon exercise thereof were registered under the Securities Act by the Company, on the Holder’s behalf, by the Registration Statement on Form S-1 (file no. 333-205782), first filed by the Company on July 21, 2015 (the “</w:t>
      </w:r>
      <w:r>
        <w:rPr>
          <w:rFonts w:ascii="Times New Roman" w:cs="Times New Roman" w:eastAsia="Times New Roman" w:hAnsi="Times New Roman"/>
          <w:sz w:val="14"/>
          <w:szCs w:val="14"/>
          <w:i w:val="1"/>
          <w:iCs w:val="1"/>
          <w:color w:val="auto"/>
        </w:rPr>
        <w:t>Registered Warrant Shares</w:t>
      </w:r>
      <w:r>
        <w:rPr>
          <w:rFonts w:ascii="Times New Roman" w:cs="Times New Roman" w:eastAsia="Times New Roman" w:hAnsi="Times New Roman"/>
          <w:sz w:val="14"/>
          <w:szCs w:val="14"/>
          <w:color w:val="auto"/>
        </w:rPr>
        <w:t xml:space="preserve">”), the Holder acknowledges and agrees that the Exchange Shares are </w:t>
      </w:r>
      <w:r>
        <w:rPr>
          <w:rFonts w:ascii="Times New Roman" w:cs="Times New Roman" w:eastAsia="Times New Roman" w:hAnsi="Times New Roman"/>
          <w:sz w:val="14"/>
          <w:szCs w:val="14"/>
          <w:u w:val="single" w:color="auto"/>
          <w:color w:val="auto"/>
        </w:rPr>
        <w:t>not</w:t>
      </w:r>
      <w:r>
        <w:rPr>
          <w:rFonts w:ascii="Times New Roman" w:cs="Times New Roman" w:eastAsia="Times New Roman" w:hAnsi="Times New Roman"/>
          <w:sz w:val="14"/>
          <w:szCs w:val="14"/>
          <w:color w:val="auto"/>
        </w:rPr>
        <w:t xml:space="preserve"> registered under Securities Act, and, by exchanging any such Warrants for Exchange Shares, the Holder shall not receive Registered Warrant Shares that otherwise may have been issued upon exercise thereof.</w:t>
      </w:r>
    </w:p>
    <w:p>
      <w:pPr>
        <w:spacing w:after="0" w:line="158" w:lineRule="exact"/>
        <w:rPr>
          <w:rFonts w:ascii="Times New Roman" w:cs="Times New Roman" w:eastAsia="Times New Roman" w:hAnsi="Times New Roman"/>
          <w:sz w:val="14"/>
          <w:szCs w:val="14"/>
          <w:color w:val="auto"/>
        </w:rPr>
      </w:pPr>
    </w:p>
    <w:p>
      <w:pPr>
        <w:ind w:left="489" w:hanging="489"/>
        <w:spacing w:after="0"/>
        <w:tabs>
          <w:tab w:leader="none" w:pos="489"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Warranties and Covenants of the Company</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The Company represents and warrants to the Holder, and covenants for the benefit of the Holder, as follows:</w:t>
      </w:r>
    </w:p>
    <w:p>
      <w:pPr>
        <w:spacing w:after="0" w:line="200" w:lineRule="exact"/>
        <w:rPr>
          <w:rFonts w:ascii="Times New Roman" w:cs="Times New Roman" w:eastAsia="Times New Roman" w:hAnsi="Times New Roman"/>
          <w:sz w:val="14"/>
          <w:szCs w:val="14"/>
          <w:color w:val="auto"/>
        </w:rPr>
      </w:pPr>
    </w:p>
    <w:p>
      <w:pPr>
        <w:jc w:val="both"/>
        <w:ind w:left="-511" w:firstLine="1018"/>
        <w:spacing w:after="0" w:line="259" w:lineRule="auto"/>
        <w:tabs>
          <w:tab w:leader="none" w:pos="1096"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been duly incorporated and is validly existing and in good standing under the laws of the state of Nevada, with full corporate power and authority to own, lease and operate its properties and to conduct its business as currently conducted, and is duly registered and qualified to conduct its business and is in good standing in each jurisdiction or place where the nature of its properties or the conduct of its business requires such registration or qualification, except where the failure to register or qualify would not have a Material Adverse Effect. For purposes of this Agreement, “</w:t>
      </w:r>
      <w:r>
        <w:rPr>
          <w:rFonts w:ascii="Times New Roman" w:cs="Times New Roman" w:eastAsia="Times New Roman" w:hAnsi="Times New Roman"/>
          <w:sz w:val="14"/>
          <w:szCs w:val="14"/>
          <w:i w:val="1"/>
          <w:iCs w:val="1"/>
          <w:color w:val="auto"/>
        </w:rPr>
        <w:t>Material Adverse Effect</w:t>
      </w:r>
      <w:r>
        <w:rPr>
          <w:rFonts w:ascii="Times New Roman" w:cs="Times New Roman" w:eastAsia="Times New Roman" w:hAnsi="Times New Roman"/>
          <w:sz w:val="14"/>
          <w:szCs w:val="14"/>
          <w:color w:val="auto"/>
        </w:rPr>
        <w:t>” shall mean any material adverse effect on the business, operations, properties, prospects, or financial condition of the Company and its subsidiaries and/or any condition, circumstance, or situation that would prohibit or otherwise materially interfere with the ability of the Company to perform any of its obligations under this Agreement in any material respect.</w:t>
      </w:r>
    </w:p>
    <w:p>
      <w:pPr>
        <w:spacing w:after="0" w:line="335" w:lineRule="exact"/>
        <w:rPr>
          <w:rFonts w:ascii="Times New Roman" w:cs="Times New Roman" w:eastAsia="Times New Roman" w:hAnsi="Times New Roman"/>
          <w:sz w:val="14"/>
          <w:szCs w:val="14"/>
          <w:color w:val="auto"/>
        </w:rPr>
      </w:pPr>
    </w:p>
    <w:p>
      <w:pPr>
        <w:ind w:left="-511" w:firstLine="1018"/>
        <w:spacing w:after="0" w:line="285" w:lineRule="auto"/>
        <w:tabs>
          <w:tab w:leader="none" w:pos="1067"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Shares have been duly authorized by all necessary corporate action and, when paid for or issued in accordance with the terms hereof, the Exchange Shares shall be validly issued and outstanding, fully paid and nonassessable, free and clear of all liens, encumbrances and rights of refusal of any kind.</w:t>
      </w:r>
    </w:p>
    <w:p>
      <w:pPr>
        <w:spacing w:after="0" w:line="145" w:lineRule="exact"/>
        <w:rPr>
          <w:rFonts w:ascii="Times New Roman" w:cs="Times New Roman" w:eastAsia="Times New Roman" w:hAnsi="Times New Roman"/>
          <w:sz w:val="14"/>
          <w:szCs w:val="14"/>
          <w:color w:val="auto"/>
        </w:rPr>
      </w:pPr>
    </w:p>
    <w:p>
      <w:pPr>
        <w:jc w:val="both"/>
        <w:ind w:left="-511" w:firstLine="1018"/>
        <w:spacing w:after="0" w:line="263" w:lineRule="auto"/>
        <w:tabs>
          <w:tab w:leader="none" w:pos="115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has been duly authorized, validly executed and delivered on behalf of the Company and is a valid and binding agreement and obligation of the Company enforceable against the Company in accordance with its terms, subject to limitations on enforcement by general principles of equity and by bankruptcy or other laws affecting the enforcement of creditors’ rights generally, and the Company has full power and authority to execute and deliver the Agreement and the other agreements and documents contemplated hereby and to perform its obligations hereunder and thereunder.</w:t>
      </w:r>
    </w:p>
    <w:p>
      <w:pPr>
        <w:spacing w:after="0" w:line="160" w:lineRule="exact"/>
        <w:rPr>
          <w:rFonts w:ascii="Times New Roman" w:cs="Times New Roman" w:eastAsia="Times New Roman" w:hAnsi="Times New Roman"/>
          <w:sz w:val="14"/>
          <w:szCs w:val="14"/>
          <w:color w:val="auto"/>
        </w:rPr>
      </w:pPr>
    </w:p>
    <w:p>
      <w:pPr>
        <w:jc w:val="both"/>
        <w:ind w:left="-511" w:firstLine="1018"/>
        <w:spacing w:after="0" w:line="257" w:lineRule="auto"/>
        <w:tabs>
          <w:tab w:leader="none" w:pos="107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the Agreement and the consummation of the transactions contemplated by this Agreement by the Company, will not (i) conflict with or result in a breach of or a default under any of the terms or provisions of, (A) the Company’s certificate of incorporation or by-laws, or (B) of any material provision of any indenture, mortgage, deed of trust or other material agreement or instrument to which the Company is a party or by which it or any of its material properties or assets is bound, (ii) result in a violation of any provision of any law, statute, rule, regulation, or any existing applicable decree, judgment or order by any court, Federal or state regulatory body, administrative agency, or other governmental body having jurisdiction over the Company, or any of its material properties or assets or (iii) result in the creation or imposition of any material lien, charge or encumbrance upon any material property or assets of the Company or any of its subsidiaries pursuant to the terms of any agreement or instrument to which any of them is a party or by which any of them may be bound or to which any of their property or any of them is subject except in the case of clauses (i)(B), (ii) or (iii) for any such conflicts, breaches, or defaults or any liens, charges, or encumbrances which would not have a Material Adverse Effect.</w:t>
      </w:r>
    </w:p>
    <w:p>
      <w:pPr>
        <w:spacing w:after="0" w:line="166" w:lineRule="exact"/>
        <w:rPr>
          <w:rFonts w:ascii="Times New Roman" w:cs="Times New Roman" w:eastAsia="Times New Roman" w:hAnsi="Times New Roman"/>
          <w:sz w:val="14"/>
          <w:szCs w:val="14"/>
          <w:color w:val="auto"/>
        </w:rPr>
      </w:pPr>
    </w:p>
    <w:p>
      <w:pPr>
        <w:ind w:left="-511" w:firstLine="1018"/>
        <w:spacing w:after="0" w:line="285" w:lineRule="auto"/>
        <w:tabs>
          <w:tab w:leader="none" w:pos="1103"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delivery and issuance of the Exchange Shares in accordance with the terms of and in reliance on the accuracy of the Holder’s representations and warranties set forth in this Agreement will be exempt from the registration requirements of the Securities Act.</w:t>
      </w:r>
    </w:p>
    <w:p>
      <w:pPr>
        <w:spacing w:after="0" w:line="145" w:lineRule="exact"/>
        <w:rPr>
          <w:rFonts w:ascii="Times New Roman" w:cs="Times New Roman" w:eastAsia="Times New Roman" w:hAnsi="Times New Roman"/>
          <w:sz w:val="14"/>
          <w:szCs w:val="14"/>
          <w:color w:val="auto"/>
        </w:rPr>
      </w:pPr>
    </w:p>
    <w:p>
      <w:pPr>
        <w:ind w:left="-511" w:firstLine="1018"/>
        <w:spacing w:after="0" w:line="285" w:lineRule="auto"/>
        <w:tabs>
          <w:tab w:leader="none" w:pos="1096"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consent, approval or authorization of or designation, declaration or filing with any governmental authority on the part of the Company is required in connection with the valid execution and delivery of this Agreement or the offer, sale or issuance of the Exchange Shares or the consummation of any other transaction contemplated by this Agreement.</w:t>
      </w:r>
    </w:p>
    <w:p>
      <w:pPr>
        <w:spacing w:after="0" w:line="145" w:lineRule="exact"/>
        <w:rPr>
          <w:rFonts w:ascii="Times New Roman" w:cs="Times New Roman" w:eastAsia="Times New Roman" w:hAnsi="Times New Roman"/>
          <w:sz w:val="14"/>
          <w:szCs w:val="14"/>
          <w:color w:val="auto"/>
        </w:rPr>
      </w:pPr>
    </w:p>
    <w:p>
      <w:pPr>
        <w:jc w:val="both"/>
        <w:ind w:left="-511" w:firstLine="1018"/>
        <w:spacing w:after="0" w:line="259" w:lineRule="auto"/>
        <w:tabs>
          <w:tab w:leader="none" w:pos="11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complied and will comply with all applicable federal and state securities laws in connection with the offer, issuance and delivery of the Exchange Shares hereunder. Neither the Company nor anyone acting on its behalf, directly or indirectly, has or will sell, offer to sell or solicit offers to buy any of the Exchange Shares, or similar securities to, or solicit offers with respect thereto from, or enter into any preliminary conversations or negotiations relating thereto with, any person, or has taken or will take any action so as to bring the issuance and sale of any of the Exchange Shares under the registration provisions of the Securities Act and applicable state securities laws. Neither the Company nor any of its affiliates, nor any person acting on its or their behalf, has engaged in any form of general solicitation or general advertising (within the meaning of Regulation D under the Securities Act) in connection with the offer or sale of any of the Exchange Shares.</w:t>
      </w:r>
    </w:p>
    <w:p>
      <w:pPr>
        <w:spacing w:after="0" w:line="335" w:lineRule="exact"/>
        <w:rPr>
          <w:rFonts w:ascii="Times New Roman" w:cs="Times New Roman" w:eastAsia="Times New Roman" w:hAnsi="Times New Roman"/>
          <w:sz w:val="14"/>
          <w:szCs w:val="14"/>
          <w:color w:val="auto"/>
        </w:rPr>
      </w:pPr>
    </w:p>
    <w:p>
      <w:pPr>
        <w:jc w:val="both"/>
        <w:ind w:left="-511" w:firstLine="1018"/>
        <w:spacing w:after="0" w:line="268" w:lineRule="auto"/>
        <w:tabs>
          <w:tab w:leader="none" w:pos="1161"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represents that it has not paid, and shall not pay, any commissions or other remuneration, directly or indirectly, to any third party for the solicitation of the Exchange. Other than the exchange of the Warrants, the Company has not received any consideration for the Exchange Shares. By virtue of such exchange, the holding period for the Exchange Shares under Rule 144 of the Securities Act shall begin no later than the holding period for the Warrants,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307975</wp:posOffset>
            </wp:positionV>
            <wp:extent cx="7282180"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0949"/>
          </w:cols>
          <w:pgMar w:left="731" w:top="431" w:right="219" w:bottom="1440" w:gutter="0" w:footer="0" w:header="0"/>
        </w:sectPr>
      </w:pPr>
    </w:p>
    <w:bookmarkStart w:id="74" w:name="page75"/>
    <w:bookmarkEnd w:id="74"/>
    <w:p>
      <w:pPr>
        <w:jc w:val="both"/>
        <w:ind w:left="-511" w:firstLine="1018"/>
        <w:spacing w:after="0" w:line="262" w:lineRule="auto"/>
        <w:tabs>
          <w:tab w:leader="none" w:pos="1078"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cause its Common Stock to continue to be registered under Section 12(b) or 12(g) of the Securities Exchange Act of 1934 (the “</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comply with all requirements related to any registration statement filed pursuant to this Agreement, and not take any action or file any document (whether or not permitted by the Securities Act or the rules promulgated thereunder) to terminate or suspend such registration or to terminate or suspend its reporting and filing obligations under the Exchange Act and the Securities Act, except as permitted herein. The Company will take all action necessary to continue the listing or trading of its Common Stock on the OTCQB Marketplace or other exchange or market on which the Common Stock is trading.</w:t>
      </w:r>
    </w:p>
    <w:p>
      <w:pPr>
        <w:spacing w:after="0" w:line="334" w:lineRule="exact"/>
        <w:rPr>
          <w:rFonts w:ascii="Times New Roman" w:cs="Times New Roman" w:eastAsia="Times New Roman" w:hAnsi="Times New Roman"/>
          <w:sz w:val="14"/>
          <w:szCs w:val="14"/>
          <w:color w:val="auto"/>
        </w:rPr>
      </w:pPr>
    </w:p>
    <w:p>
      <w:pPr>
        <w:jc w:val="both"/>
        <w:ind w:left="-511" w:firstLine="511"/>
        <w:spacing w:after="0" w:line="268" w:lineRule="auto"/>
        <w:tabs>
          <w:tab w:leader="none" w:pos="48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 Precedent to the Obligation of the Company to Consummate the Exchange</w:t>
      </w:r>
      <w:r>
        <w:rPr>
          <w:rFonts w:ascii="Times New Roman" w:cs="Times New Roman" w:eastAsia="Times New Roman" w:hAnsi="Times New Roman"/>
          <w:sz w:val="14"/>
          <w:szCs w:val="14"/>
          <w:color w:val="auto"/>
        </w:rPr>
        <w:t>. The obligation hereunder of the Company to issue and deliver the Exchange Shares to the Holder and consummate the Exchange is subject to the satisfaction or waiver, at or before the Closing Date, of each of the conditions set forth below. These conditions are for the Company’s sole benefit and may be waived by the Company at any time in its sole discretion.</w:t>
      </w:r>
    </w:p>
    <w:p>
      <w:pPr>
        <w:spacing w:after="0" w:line="157" w:lineRule="exact"/>
        <w:rPr>
          <w:rFonts w:ascii="Times New Roman" w:cs="Times New Roman" w:eastAsia="Times New Roman" w:hAnsi="Times New Roman"/>
          <w:sz w:val="14"/>
          <w:szCs w:val="14"/>
          <w:color w:val="auto"/>
        </w:rPr>
      </w:pPr>
    </w:p>
    <w:p>
      <w:pPr>
        <w:ind w:left="1049" w:hanging="542"/>
        <w:spacing w:after="0"/>
        <w:tabs>
          <w:tab w:leader="none" w:pos="1049"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shall have executed and delivered this Agreement.</w:t>
      </w:r>
    </w:p>
    <w:p>
      <w:pPr>
        <w:spacing w:after="0" w:line="198" w:lineRule="exact"/>
        <w:rPr>
          <w:rFonts w:ascii="Times New Roman" w:cs="Times New Roman" w:eastAsia="Times New Roman" w:hAnsi="Times New Roman"/>
          <w:sz w:val="14"/>
          <w:szCs w:val="14"/>
          <w:color w:val="auto"/>
        </w:rPr>
      </w:pPr>
    </w:p>
    <w:p>
      <w:pPr>
        <w:ind w:left="-511" w:firstLine="1018"/>
        <w:spacing w:after="0" w:line="285" w:lineRule="auto"/>
        <w:tabs>
          <w:tab w:leader="none" w:pos="1114"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shall have performed, satisfied and complied in all material respects with all covenants, agreements and conditions required by this Agreement to be performed, satisfied or complied with by the Holder at or prior to the Closing Date.</w:t>
      </w:r>
    </w:p>
    <w:p>
      <w:pPr>
        <w:spacing w:after="0" w:line="145" w:lineRule="exact"/>
        <w:rPr>
          <w:rFonts w:ascii="Times New Roman" w:cs="Times New Roman" w:eastAsia="Times New Roman" w:hAnsi="Times New Roman"/>
          <w:sz w:val="14"/>
          <w:szCs w:val="14"/>
          <w:color w:val="auto"/>
        </w:rPr>
      </w:pPr>
    </w:p>
    <w:p>
      <w:pPr>
        <w:ind w:left="-511" w:firstLine="1018"/>
        <w:spacing w:after="0" w:line="285" w:lineRule="auto"/>
        <w:tabs>
          <w:tab w:leader="none" w:pos="1087"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of the Holder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spacing w:after="0" w:line="145" w:lineRule="exact"/>
        <w:rPr>
          <w:rFonts w:ascii="Times New Roman" w:cs="Times New Roman" w:eastAsia="Times New Roman" w:hAnsi="Times New Roman"/>
          <w:sz w:val="14"/>
          <w:szCs w:val="14"/>
          <w:color w:val="auto"/>
        </w:rPr>
      </w:pPr>
    </w:p>
    <w:p>
      <w:pPr>
        <w:jc w:val="both"/>
        <w:ind w:left="-511" w:firstLine="511"/>
        <w:spacing w:after="0" w:line="268" w:lineRule="auto"/>
        <w:tabs>
          <w:tab w:leader="none" w:pos="53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 Precedent to the Obligation of the Holder to Consummate the Exchange</w:t>
      </w:r>
      <w:r>
        <w:rPr>
          <w:rFonts w:ascii="Times New Roman" w:cs="Times New Roman" w:eastAsia="Times New Roman" w:hAnsi="Times New Roman"/>
          <w:sz w:val="14"/>
          <w:szCs w:val="14"/>
          <w:color w:val="auto"/>
        </w:rPr>
        <w:t>. The obligation hereunder of the Holder to surrender the Warrants, accept the Exchange Shares and consummate the Exchange is subject to the satisfaction or waiver, at or before the Closing Date, of each of the conditions set forth below. These conditions are for the Holder’s sole benefit and may be waived by the Holder at any time in its sole discretion.</w:t>
      </w:r>
    </w:p>
    <w:p>
      <w:pPr>
        <w:spacing w:after="0" w:line="157" w:lineRule="exact"/>
        <w:rPr>
          <w:rFonts w:ascii="Times New Roman" w:cs="Times New Roman" w:eastAsia="Times New Roman" w:hAnsi="Times New Roman"/>
          <w:sz w:val="14"/>
          <w:szCs w:val="14"/>
          <w:color w:val="auto"/>
        </w:rPr>
      </w:pPr>
    </w:p>
    <w:p>
      <w:pPr>
        <w:ind w:left="1049" w:hanging="542"/>
        <w:spacing w:after="0"/>
        <w:tabs>
          <w:tab w:leader="none" w:pos="1049"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executed and delivered this Agreement.</w:t>
      </w:r>
    </w:p>
    <w:p>
      <w:pPr>
        <w:spacing w:after="0" w:line="198" w:lineRule="exact"/>
        <w:rPr>
          <w:rFonts w:ascii="Times New Roman" w:cs="Times New Roman" w:eastAsia="Times New Roman" w:hAnsi="Times New Roman"/>
          <w:sz w:val="14"/>
          <w:szCs w:val="14"/>
          <w:color w:val="auto"/>
        </w:rPr>
      </w:pPr>
    </w:p>
    <w:p>
      <w:pPr>
        <w:ind w:left="-511" w:firstLine="1018"/>
        <w:spacing w:after="0" w:line="285" w:lineRule="auto"/>
        <w:tabs>
          <w:tab w:leader="none" w:pos="1074"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performed, satisfied and complied in all material respects with all covenants, agreements and conditions required by the Agreement to be performed, satisfied or complied with by the Company at or prior to the Closing Date.</w:t>
      </w:r>
    </w:p>
    <w:p>
      <w:pPr>
        <w:spacing w:after="0" w:line="145" w:lineRule="exact"/>
        <w:rPr>
          <w:rFonts w:ascii="Times New Roman" w:cs="Times New Roman" w:eastAsia="Times New Roman" w:hAnsi="Times New Roman"/>
          <w:sz w:val="14"/>
          <w:szCs w:val="14"/>
          <w:color w:val="auto"/>
        </w:rPr>
      </w:pPr>
    </w:p>
    <w:p>
      <w:pPr>
        <w:ind w:left="-511" w:firstLine="1018"/>
        <w:spacing w:after="0" w:line="285" w:lineRule="auto"/>
        <w:tabs>
          <w:tab w:leader="none" w:pos="1126"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representations and warranties of the Company shall be true and correct in all material respects as of the date when made and as of the Closing Date as though made at that time, except for representations and warranties that speak as of a particular date, which shall be true and correct in all material respects as of such date.</w:t>
      </w:r>
    </w:p>
    <w:p>
      <w:pPr>
        <w:spacing w:after="0" w:line="145" w:lineRule="exact"/>
        <w:rPr>
          <w:rFonts w:ascii="Times New Roman" w:cs="Times New Roman" w:eastAsia="Times New Roman" w:hAnsi="Times New Roman"/>
          <w:sz w:val="14"/>
          <w:szCs w:val="14"/>
          <w:color w:val="auto"/>
        </w:rPr>
      </w:pPr>
    </w:p>
    <w:p>
      <w:pPr>
        <w:ind w:left="-511" w:firstLine="1018"/>
        <w:spacing w:after="0" w:line="285" w:lineRule="auto"/>
        <w:tabs>
          <w:tab w:leader="none" w:pos="1187"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statute, regulation, executive order, decree, ruling or injunction shall have been enacted, entered, promulgated or endorsed by any court or governmental authority of competent jurisdiction which prohibits the consummation of any of the transactions contemplated by this Agreement at or prior to the Closing Date.</w:t>
      </w:r>
    </w:p>
    <w:p>
      <w:pPr>
        <w:spacing w:after="0" w:line="145" w:lineRule="exact"/>
        <w:rPr>
          <w:rFonts w:ascii="Times New Roman" w:cs="Times New Roman" w:eastAsia="Times New Roman" w:hAnsi="Times New Roman"/>
          <w:sz w:val="14"/>
          <w:szCs w:val="14"/>
          <w:color w:val="auto"/>
        </w:rPr>
      </w:pPr>
    </w:p>
    <w:p>
      <w:pPr>
        <w:jc w:val="both"/>
        <w:ind w:left="-511" w:firstLine="1018"/>
        <w:spacing w:after="0" w:line="263" w:lineRule="auto"/>
        <w:tabs>
          <w:tab w:leader="none" w:pos="1122"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Closing Date, no action, suit or proceeding before or by any court or governmental agency or body, domestic or foreign, shall be pending against or affecting the Company, or any of its properties, which questions the validity of the Agreement or the transactions contemplated thereby or any action taken or to be taken pursuant thereto. As of the Closing Date, no action, suit, claim or proceeding before or by any court or governmental agency or body, domestic or foreign, shall be pending against or affecting the Company, or any of its properties, which, if adversely determined, is reasonably likely to result in a Material Adverse Effect.</w:t>
      </w:r>
    </w:p>
    <w:p>
      <w:pPr>
        <w:spacing w:after="0" w:line="158" w:lineRule="exact"/>
        <w:rPr>
          <w:rFonts w:ascii="Times New Roman" w:cs="Times New Roman" w:eastAsia="Times New Roman" w:hAnsi="Times New Roman"/>
          <w:sz w:val="14"/>
          <w:szCs w:val="14"/>
          <w:color w:val="auto"/>
        </w:rPr>
      </w:pPr>
    </w:p>
    <w:p>
      <w:pPr>
        <w:jc w:val="both"/>
        <w:ind w:left="-511" w:firstLine="511"/>
        <w:spacing w:after="0" w:line="259" w:lineRule="auto"/>
        <w:tabs>
          <w:tab w:leader="none" w:pos="53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Consent to Jurisdiction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This Agreement shall be governed by and interpreted in accordance with the laws of the State of New York without giving effect conflicts of law principles that would result in the application of the substantive laws of another jurisdiction. Each of the Parties consents to the exclusive jurisdiction of the Federal courts whose districts encompass any part of the State of New York in connection with any dispute arising under this Agreement and hereby waives, to the maximum extent permitted by law, any objection, including any objection based on </w:t>
      </w:r>
      <w:r>
        <w:rPr>
          <w:rFonts w:ascii="Times New Roman" w:cs="Times New Roman" w:eastAsia="Times New Roman" w:hAnsi="Times New Roman"/>
          <w:sz w:val="14"/>
          <w:szCs w:val="14"/>
          <w:i w:val="1"/>
          <w:iCs w:val="1"/>
          <w:color w:val="auto"/>
        </w:rPr>
        <w:t>forum non conveniens</w:t>
      </w:r>
      <w:r>
        <w:rPr>
          <w:rFonts w:ascii="Times New Roman" w:cs="Times New Roman" w:eastAsia="Times New Roman" w:hAnsi="Times New Roman"/>
          <w:sz w:val="14"/>
          <w:szCs w:val="14"/>
          <w:color w:val="auto"/>
        </w:rPr>
        <w:t>, to the bringing of any such proceeding in such jurisdictions. Each Party waives its right to a trial by jury. Each Party to this Agreement irrevocably consents to the service of process in any such proceeding by the mailing of copies thereof by registered or certified mail, postage prepaid, to such Party at its address set forth herein. Nothing herein shall affect the right of any Party to serve process in any other manner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311150</wp:posOffset>
            </wp:positionV>
            <wp:extent cx="7282180"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0949"/>
          </w:cols>
          <w:pgMar w:left="731" w:top="429" w:right="219" w:bottom="1440" w:gutter="0" w:footer="0" w:header="0"/>
        </w:sectPr>
      </w:pPr>
    </w:p>
    <w:bookmarkStart w:id="75" w:name="page76"/>
    <w:bookmarkEnd w:id="75"/>
    <w:p>
      <w:pPr>
        <w:jc w:val="both"/>
        <w:ind w:firstLine="511"/>
        <w:spacing w:after="0" w:line="268" w:lineRule="auto"/>
        <w:tabs>
          <w:tab w:leader="none" w:pos="1063"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provided for or permitted hereunder shall be made in writing by hand delivery, express overnight courier, registered first class mail, or telecopier (provided that any notice sent by telecopier shall be confirmed by other means pursuant to this Section 7), initially to the address set forth below, and thereafter at such other address, notice of which is given in accordance with the provisions of this Section.</w:t>
      </w:r>
    </w:p>
    <w:p>
      <w:pPr>
        <w:spacing w:after="0" w:line="157" w:lineRule="exact"/>
        <w:rPr>
          <w:rFonts w:ascii="Times New Roman" w:cs="Times New Roman" w:eastAsia="Times New Roman" w:hAnsi="Times New Roman"/>
          <w:sz w:val="14"/>
          <w:szCs w:val="14"/>
          <w:color w:val="auto"/>
        </w:rPr>
      </w:pPr>
    </w:p>
    <w:p>
      <w:pPr>
        <w:ind w:left="1560" w:hanging="542"/>
        <w:spacing w:after="0"/>
        <w:tabs>
          <w:tab w:leader="none" w:pos="156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VistaGen Therapeutics,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343 Allerton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South San Francisco, California 94080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Chief Executive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 No.: (650) 577-3600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Fax No.: (888) 482-2602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a copy to: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Disclosure Law Group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600 West Broadway, Suite 700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Diego, California 92101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Daniel W. Rumsey, Esquire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 No.: (619) 795-1134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Fax No.: (619) 330-2101</w:t>
      </w:r>
    </w:p>
    <w:p>
      <w:pPr>
        <w:spacing w:after="0" w:line="184" w:lineRule="exact"/>
        <w:rPr>
          <w:sz w:val="20"/>
          <w:szCs w:val="20"/>
          <w:color w:val="auto"/>
        </w:rPr>
      </w:pPr>
    </w:p>
    <w:p>
      <w:pPr>
        <w:ind w:left="1560" w:hanging="542"/>
        <w:spacing w:after="0"/>
        <w:tabs>
          <w:tab w:leader="none" w:pos="15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Holder: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 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 No.: 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Fax No.: _____________</w:t>
      </w:r>
    </w:p>
    <w:p>
      <w:pPr>
        <w:spacing w:after="0" w:line="184" w:lineRule="exact"/>
        <w:rPr>
          <w:sz w:val="20"/>
          <w:szCs w:val="20"/>
          <w:color w:val="auto"/>
        </w:rPr>
      </w:pPr>
    </w:p>
    <w:p>
      <w:pPr>
        <w:ind w:firstLine="507"/>
        <w:spacing w:after="0" w:line="285" w:lineRule="auto"/>
        <w:rPr>
          <w:sz w:val="20"/>
          <w:szCs w:val="20"/>
          <w:color w:val="auto"/>
        </w:rPr>
      </w:pPr>
      <w:r>
        <w:rPr>
          <w:rFonts w:ascii="Times New Roman" w:cs="Times New Roman" w:eastAsia="Times New Roman" w:hAnsi="Times New Roman"/>
          <w:sz w:val="14"/>
          <w:szCs w:val="14"/>
          <w:color w:val="auto"/>
        </w:rPr>
        <w:t>All such notices and communications shall be deemed to have been duly given: when delivered by hand, if personally delivered; when receipt is acknowledged, if telecopied; or when actually received or refused if sent by other means.</w:t>
      </w:r>
    </w:p>
    <w:p>
      <w:pPr>
        <w:spacing w:after="0" w:line="144" w:lineRule="exact"/>
        <w:rPr>
          <w:sz w:val="20"/>
          <w:szCs w:val="20"/>
          <w:color w:val="auto"/>
        </w:rPr>
      </w:pPr>
    </w:p>
    <w:p>
      <w:pPr>
        <w:jc w:val="both"/>
        <w:ind w:firstLine="511"/>
        <w:spacing w:after="0" w:line="270" w:lineRule="auto"/>
        <w:tabs>
          <w:tab w:leader="none" w:pos="121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This Agreement constitutes the entire understanding and agreement of the parties with respect to the subject matter hereof and supersedes all prior and/or contemporaneous oral or written proposals or agreements relating thereto all of which are merged herein. This Agreement may not be amended or any provision hereof waived in whole or in part, except by a written amendment signed by both of the parties.</w:t>
      </w:r>
    </w:p>
    <w:p>
      <w:pPr>
        <w:spacing w:after="0" w:line="153" w:lineRule="exact"/>
        <w:rPr>
          <w:rFonts w:ascii="Times New Roman" w:cs="Times New Roman" w:eastAsia="Times New Roman" w:hAnsi="Times New Roman"/>
          <w:sz w:val="14"/>
          <w:szCs w:val="14"/>
          <w:color w:val="auto"/>
        </w:rPr>
      </w:pPr>
    </w:p>
    <w:p>
      <w:pPr>
        <w:ind w:firstLine="511"/>
        <w:spacing w:after="0" w:line="288" w:lineRule="auto"/>
        <w:tabs>
          <w:tab w:leader="none" w:pos="102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This Agreement may be executed by facsimile signature and in counterparts, each of which shall be deemed an original, but all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282180"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431" w:right="2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color w:val="auto"/>
        </w:rPr>
        <w:t>IN WITNESS WHEREOF, this Agreement was duly executed on the date first written above.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_____________________________________</w:t>
      </w:r>
    </w:p>
    <w:p>
      <w:pPr>
        <w:spacing w:after="0" w:line="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Shawn K. Singh</w:t>
      </w:r>
    </w:p>
    <w:p>
      <w:pPr>
        <w:spacing w:after="0" w:line="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By:_____________________________________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SCHEDULE 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20" w:type="dxa"/>
            <w:vAlign w:val="bottom"/>
            <w:tcBorders>
              <w:top w:val="single" w:sz="8" w:color="auto"/>
            </w:tcBorders>
            <w:vMerge w:val="restart"/>
          </w:tcPr>
          <w:p>
            <w:pPr>
              <w:ind w:left="920"/>
              <w:spacing w:after="0"/>
              <w:rPr>
                <w:sz w:val="20"/>
                <w:szCs w:val="20"/>
                <w:color w:val="auto"/>
              </w:rPr>
            </w:pPr>
            <w:r>
              <w:rPr>
                <w:rFonts w:ascii="Times New Roman" w:cs="Times New Roman" w:eastAsia="Times New Roman" w:hAnsi="Times New Roman"/>
                <w:sz w:val="14"/>
                <w:szCs w:val="14"/>
                <w:color w:val="auto"/>
              </w:rPr>
              <w:t>Warrant Holder</w:t>
            </w:r>
          </w:p>
        </w:tc>
        <w:tc>
          <w:tcPr>
            <w:tcW w:w="1800" w:type="dxa"/>
            <w:vAlign w:val="bottom"/>
            <w:tcBorders>
              <w:top w:val="single" w:sz="8" w:color="auto"/>
            </w:tcBorders>
            <w:vMerge w:val="restart"/>
          </w:tcPr>
          <w:p>
            <w:pPr>
              <w:ind w:left="620"/>
              <w:spacing w:after="0"/>
              <w:rPr>
                <w:sz w:val="20"/>
                <w:szCs w:val="20"/>
                <w:color w:val="auto"/>
              </w:rPr>
            </w:pPr>
            <w:r>
              <w:rPr>
                <w:rFonts w:ascii="Times New Roman" w:cs="Times New Roman" w:eastAsia="Times New Roman" w:hAnsi="Times New Roman"/>
                <w:sz w:val="14"/>
                <w:szCs w:val="14"/>
                <w:color w:val="auto"/>
              </w:rPr>
              <w:t>Warrant Number</w:t>
            </w:r>
          </w:p>
        </w:tc>
        <w:tc>
          <w:tcPr>
            <w:tcW w:w="1380" w:type="dxa"/>
            <w:vAlign w:val="bottom"/>
            <w:tcBorders>
              <w:top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Date of Issuance</w:t>
            </w:r>
          </w:p>
        </w:tc>
        <w:tc>
          <w:tcPr>
            <w:tcW w:w="140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Date of Expiration</w:t>
            </w:r>
          </w:p>
        </w:tc>
        <w:tc>
          <w:tcPr>
            <w:tcW w:w="118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Warrant Shares</w:t>
            </w:r>
          </w:p>
        </w:tc>
        <w:tc>
          <w:tcPr>
            <w:tcW w:w="152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color w:val="auto"/>
              </w:rPr>
              <w:t>Exercise Price Post</w:t>
            </w:r>
          </w:p>
        </w:tc>
        <w:tc>
          <w:tcPr>
            <w:tcW w:w="1760" w:type="dxa"/>
            <w:vAlign w:val="bottom"/>
            <w:tcBorders>
              <w:top w:val="single" w:sz="8" w:color="auto"/>
            </w:tcBorders>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Exchange</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41"/>
        </w:trPr>
        <w:tc>
          <w:tcPr>
            <w:tcW w:w="2420" w:type="dxa"/>
            <w:vAlign w:val="bottom"/>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5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4"/>
                <w:szCs w:val="14"/>
                <w:color w:val="auto"/>
                <w:w w:val="98"/>
              </w:rPr>
              <w:t>Split</w:t>
            </w: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vMerge w:val="continue"/>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4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Yes</w:t>
            </w:r>
          </w:p>
        </w:tc>
        <w:tc>
          <w:tcPr>
            <w:tcW w:w="1000" w:type="dxa"/>
            <w:vAlign w:val="bottom"/>
            <w:tcBorders>
              <w:bottom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Yes</w:t>
            </w:r>
          </w:p>
        </w:tc>
        <w:tc>
          <w:tcPr>
            <w:tcW w:w="1000" w:type="dxa"/>
            <w:vAlign w:val="bottom"/>
            <w:tcBorders>
              <w:bottom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5500" w:firstLine="4"/>
        <w:spacing w:after="0" w:line="852" w:lineRule="auto"/>
        <w:tabs>
          <w:tab w:leader="none" w:pos="50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“Exchange” column, indicate warrants to be included in the Warrant Exchange Agreement Our transfer agent shows your currently held shares are issued as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Issue shares in the name of (if none currently held or different from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note, all shares will be held as Book Entry, therefore you will not receive a physical certificate.</w:t>
      </w:r>
    </w:p>
    <w:p>
      <w:pPr>
        <w:sectPr>
          <w:pgSz w:w="11900" w:h="16838" w:orient="portrait"/>
          <w:cols w:equalWidth="0" w:num="1">
            <w:col w:w="11460"/>
          </w:cols>
          <w:pgMar w:left="220" w:top="431" w:right="2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Shawn K. Singh, certify that;</w:t>
      </w:r>
    </w:p>
    <w:p>
      <w:pPr>
        <w:spacing w:after="0" w:line="198" w:lineRule="exact"/>
        <w:rPr>
          <w:sz w:val="20"/>
          <w:szCs w:val="20"/>
          <w:color w:val="auto"/>
        </w:rPr>
      </w:pPr>
    </w:p>
    <w:p>
      <w:pPr>
        <w:ind w:left="500" w:hanging="496"/>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VistaGen Therapeutics, Inc.;</w:t>
      </w:r>
    </w:p>
    <w:p>
      <w:pPr>
        <w:spacing w:after="0" w:line="198" w:lineRule="exact"/>
        <w:rPr>
          <w:rFonts w:ascii="Times New Roman" w:cs="Times New Roman" w:eastAsia="Times New Roman" w:hAnsi="Times New Roman"/>
          <w:sz w:val="14"/>
          <w:szCs w:val="14"/>
          <w:color w:val="auto"/>
        </w:rPr>
      </w:pPr>
    </w:p>
    <w:p>
      <w:pPr>
        <w:ind w:firstLine="4"/>
        <w:spacing w:after="0" w:line="285" w:lineRule="auto"/>
        <w:tabs>
          <w:tab w:leader="none" w:pos="519"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45" w:lineRule="exact"/>
        <w:rPr>
          <w:rFonts w:ascii="Times New Roman" w:cs="Times New Roman" w:eastAsia="Times New Roman" w:hAnsi="Times New Roman"/>
          <w:sz w:val="14"/>
          <w:szCs w:val="14"/>
          <w:color w:val="auto"/>
        </w:rPr>
      </w:pPr>
    </w:p>
    <w:p>
      <w:pPr>
        <w:ind w:firstLine="4"/>
        <w:spacing w:after="0" w:line="285" w:lineRule="auto"/>
        <w:tabs>
          <w:tab w:leader="none" w:pos="55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firstLine="4"/>
        <w:spacing w:after="0" w:line="285" w:lineRule="auto"/>
        <w:tabs>
          <w:tab w:leader="none" w:pos="57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firstLine="258"/>
        <w:spacing w:after="0" w:line="285" w:lineRule="auto"/>
        <w:tabs>
          <w:tab w:leader="none" w:pos="766"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firstLine="258"/>
        <w:spacing w:after="0" w:line="285" w:lineRule="auto"/>
        <w:tabs>
          <w:tab w:leader="none" w:pos="907"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firstLine="258"/>
        <w:spacing w:after="0" w:line="285" w:lineRule="auto"/>
        <w:tabs>
          <w:tab w:leader="none" w:pos="956"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firstLine="258"/>
        <w:spacing w:after="0" w:line="285" w:lineRule="auto"/>
        <w:tabs>
          <w:tab w:leader="none" w:pos="846"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firstLine="4"/>
        <w:spacing w:after="0" w:line="285" w:lineRule="auto"/>
        <w:tabs>
          <w:tab w:leader="none" w:pos="49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firstLine="258"/>
        <w:spacing w:after="0" w:line="285" w:lineRule="auto"/>
        <w:tabs>
          <w:tab w:leader="none" w:pos="849"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760" w:hanging="502"/>
        <w:spacing w:after="0"/>
        <w:tabs>
          <w:tab w:leader="none" w:pos="76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14"/>
          <w:szCs w:val="14"/>
          <w:color w:val="auto"/>
        </w:rPr>
        <w:t>February 16, 2016</w:t>
      </w:r>
      <w:r>
        <w:rPr>
          <w:sz w:val="20"/>
          <w:szCs w:val="20"/>
          <w:color w:val="auto"/>
        </w:rPr>
        <w:tab/>
      </w:r>
      <w:r>
        <w:rPr>
          <w:rFonts w:ascii="Times New Roman" w:cs="Times New Roman" w:eastAsia="Times New Roman" w:hAnsi="Times New Roman"/>
          <w:sz w:val="13"/>
          <w:szCs w:val="13"/>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14605</wp:posOffset>
            </wp:positionV>
            <wp:extent cx="1817370"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17370" cy="13335"/>
                    </a:xfrm>
                    <a:prstGeom prst="rect">
                      <a:avLst/>
                    </a:prstGeom>
                    <a:noFill/>
                  </pic:spPr>
                </pic:pic>
              </a:graphicData>
            </a:graphic>
          </wp:anchor>
        </w:drawing>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Shawn K. Singh</w:t>
      </w:r>
    </w:p>
    <w:p>
      <w:pPr>
        <w:spacing w:after="0" w:line="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460"/>
          </w:cols>
          <w:pgMar w:left="220" w:top="115" w:right="2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Jerrold D. Dotson, certify that:</w:t>
      </w:r>
    </w:p>
    <w:p>
      <w:pPr>
        <w:spacing w:after="0" w:line="198" w:lineRule="exact"/>
        <w:rPr>
          <w:sz w:val="20"/>
          <w:szCs w:val="20"/>
          <w:color w:val="auto"/>
        </w:rPr>
      </w:pPr>
    </w:p>
    <w:p>
      <w:pPr>
        <w:ind w:left="500" w:hanging="496"/>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VistaGen Therapeutics, Inc.;</w:t>
      </w:r>
    </w:p>
    <w:p>
      <w:pPr>
        <w:spacing w:after="0" w:line="198" w:lineRule="exact"/>
        <w:rPr>
          <w:rFonts w:ascii="Times New Roman" w:cs="Times New Roman" w:eastAsia="Times New Roman" w:hAnsi="Times New Roman"/>
          <w:sz w:val="14"/>
          <w:szCs w:val="14"/>
          <w:color w:val="auto"/>
        </w:rPr>
      </w:pPr>
    </w:p>
    <w:p>
      <w:pPr>
        <w:ind w:firstLine="4"/>
        <w:spacing w:after="0" w:line="285" w:lineRule="auto"/>
        <w:tabs>
          <w:tab w:leader="none" w:pos="51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45" w:lineRule="exact"/>
        <w:rPr>
          <w:rFonts w:ascii="Times New Roman" w:cs="Times New Roman" w:eastAsia="Times New Roman" w:hAnsi="Times New Roman"/>
          <w:sz w:val="14"/>
          <w:szCs w:val="14"/>
          <w:color w:val="auto"/>
        </w:rPr>
      </w:pPr>
    </w:p>
    <w:p>
      <w:pPr>
        <w:ind w:firstLine="4"/>
        <w:spacing w:after="0" w:line="285" w:lineRule="auto"/>
        <w:tabs>
          <w:tab w:leader="none" w:pos="55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firstLine="4"/>
        <w:spacing w:after="0" w:line="285" w:lineRule="auto"/>
        <w:tabs>
          <w:tab w:leader="none" w:pos="57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firstLine="258"/>
        <w:spacing w:after="0" w:line="285" w:lineRule="auto"/>
        <w:tabs>
          <w:tab w:leader="none" w:pos="766"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firstLine="258"/>
        <w:spacing w:after="0" w:line="285" w:lineRule="auto"/>
        <w:tabs>
          <w:tab w:leader="none" w:pos="907"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firstLine="258"/>
        <w:spacing w:after="0" w:line="285" w:lineRule="auto"/>
        <w:tabs>
          <w:tab w:leader="none" w:pos="956"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firstLine="258"/>
        <w:spacing w:after="0" w:line="285" w:lineRule="auto"/>
        <w:tabs>
          <w:tab w:leader="none" w:pos="846"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firstLine="4"/>
        <w:spacing w:after="0" w:line="285" w:lineRule="auto"/>
        <w:tabs>
          <w:tab w:leader="none" w:pos="49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firstLine="258"/>
        <w:spacing w:after="0" w:line="285" w:lineRule="auto"/>
        <w:tabs>
          <w:tab w:leader="none" w:pos="849"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760" w:hanging="502"/>
        <w:spacing w:after="0"/>
        <w:tabs>
          <w:tab w:leader="none" w:pos="76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14"/>
          <w:szCs w:val="14"/>
          <w:color w:val="auto"/>
        </w:rPr>
        <w:t>February 16, 2016</w:t>
      </w:r>
      <w:r>
        <w:rPr>
          <w:sz w:val="20"/>
          <w:szCs w:val="20"/>
          <w:color w:val="auto"/>
        </w:rPr>
        <w:tab/>
      </w:r>
      <w:r>
        <w:rPr>
          <w:rFonts w:ascii="Times New Roman" w:cs="Times New Roman" w:eastAsia="Times New Roman" w:hAnsi="Times New Roman"/>
          <w:sz w:val="13"/>
          <w:szCs w:val="13"/>
          <w:color w:val="auto"/>
        </w:rPr>
        <w:t>/s/ Jerrold D. Dotson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14605</wp:posOffset>
            </wp:positionV>
            <wp:extent cx="1817370"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17370" cy="13335"/>
                    </a:xfrm>
                    <a:prstGeom prst="rect">
                      <a:avLst/>
                    </a:prstGeom>
                    <a:noFill/>
                  </pic:spPr>
                </pic:pic>
              </a:graphicData>
            </a:graphic>
          </wp:anchor>
        </w:drawing>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Jerrold D. Dotson</w:t>
      </w:r>
    </w:p>
    <w:p>
      <w:pPr>
        <w:spacing w:after="0" w:line="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460"/>
          </w:cols>
          <w:pgMar w:left="220" w:top="123" w:right="2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VistaGen Therapeutics, Inc.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for the quarter ended December 31, 2015 as filed with the Securities and Exchange Commission on the date hereof (the “</w:t>
      </w:r>
      <w:r>
        <w:rPr>
          <w:rFonts w:ascii="Times New Roman" w:cs="Times New Roman" w:eastAsia="Times New Roman" w:hAnsi="Times New Roman"/>
          <w:sz w:val="14"/>
          <w:szCs w:val="14"/>
          <w:i w:val="1"/>
          <w:iCs w:val="1"/>
          <w:color w:val="auto"/>
        </w:rPr>
        <w:t>Report</w:t>
      </w:r>
      <w:r>
        <w:rPr>
          <w:rFonts w:ascii="Times New Roman" w:cs="Times New Roman" w:eastAsia="Times New Roman" w:hAnsi="Times New Roman"/>
          <w:sz w:val="14"/>
          <w:szCs w:val="14"/>
          <w:color w:val="auto"/>
        </w:rPr>
        <w:t>”), Shawn K. Singh, JD, the Company’s Principal Executive Officer, and Jerrold D. Dotson, the Company’s Principal Financial Officer, certify, pursuant to 18 U.S.C. Sec.1350, as adopted pursuant to Sec.906 of the Sarbanes-Oxley Act of 2002, that to the best of their knowledge:</w:t>
      </w:r>
    </w:p>
    <w:p>
      <w:pPr>
        <w:spacing w:after="0" w:line="156" w:lineRule="exact"/>
        <w:rPr>
          <w:sz w:val="20"/>
          <w:szCs w:val="20"/>
          <w:color w:val="auto"/>
        </w:rPr>
      </w:pPr>
    </w:p>
    <w:p>
      <w:pPr>
        <w:ind w:left="520" w:hanging="262"/>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 of Section 13(a) or Section 15 (d) of the Securities Exchange Act of 1934, and</w:t>
      </w:r>
    </w:p>
    <w:p>
      <w:pPr>
        <w:spacing w:after="0" w:line="198" w:lineRule="exact"/>
        <w:rPr>
          <w:rFonts w:ascii="Times New Roman" w:cs="Times New Roman" w:eastAsia="Times New Roman" w:hAnsi="Times New Roman"/>
          <w:sz w:val="14"/>
          <w:szCs w:val="14"/>
          <w:color w:val="auto"/>
        </w:rPr>
      </w:pPr>
    </w:p>
    <w:p>
      <w:pPr>
        <w:ind w:left="520" w:hanging="262"/>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16, 2016</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Shawn K. Singh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Shawn K. Singh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Jerrold D. Dotson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Jerrold D. Dotson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1289685</wp:posOffset>
            </wp:positionV>
            <wp:extent cx="7282180"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2)"/>
      <w:numFmt w:val="lowerRoman"/>
      <w:start w:val="2"/>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lvl w:ilvl="1">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lvl w:ilvl="1">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lvl w:ilvl="1">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decimal"/>
      <w:start w:val="32"/>
    </w:lvl>
  </w:abstractNum>
  <w:abstractNum w:abstractNumId="26">
    <w:nsid w:val="22221A70"/>
    <w:multiLevelType w:val="hybridMultilevel"/>
    <w:lvl w:ilvl="0">
      <w:lvlJc w:val="left"/>
      <w:lvlText w:val="%1."/>
      <w:numFmt w:val="decimal"/>
      <w:start w:val="1"/>
    </w:lvl>
    <w:lvl w:ilvl="1">
      <w:lvlJc w:val="left"/>
      <w:lvlText w:val="(%2)"/>
      <w:numFmt w:val="lowerLetter"/>
      <w:start w:val="1"/>
    </w:lvl>
  </w:abstractNum>
  <w:abstractNum w:abstractNumId="27">
    <w:nsid w:val="4516DDE9"/>
    <w:multiLevelType w:val="hybridMultilevel"/>
    <w:lvl w:ilvl="0">
      <w:lvlJc w:val="left"/>
      <w:lvlText w:val="%1"/>
      <w:numFmt w:val="decimal"/>
      <w:start w:val="1"/>
    </w:lvl>
    <w:lvl w:ilvl="1">
      <w:lvlJc w:val="left"/>
      <w:lvlText w:val="(%2)"/>
      <w:numFmt w:val="lowerLetter"/>
      <w:start w:val="7"/>
    </w:lvl>
  </w:abstractNum>
  <w:abstractNum w:abstractNumId="28">
    <w:nsid w:val="3006C83E"/>
    <w:multiLevelType w:val="hybridMultilevel"/>
    <w:lvl w:ilvl="0">
      <w:lvlJc w:val="left"/>
      <w:lvlText w:val="%1."/>
      <w:numFmt w:val="decimal"/>
      <w:start w:val="3"/>
    </w:lvl>
    <w:lvl w:ilvl="1">
      <w:lvlJc w:val="left"/>
      <w:lvlText w:val="(%2)"/>
      <w:numFmt w:val="lowerLetter"/>
      <w:start w:val="1"/>
    </w:lvl>
  </w:abstractNum>
  <w:abstractNum w:abstractNumId="29">
    <w:nsid w:val="614FD4A1"/>
    <w:multiLevelType w:val="hybridMultilevel"/>
    <w:lvl w:ilvl="0">
      <w:lvlJc w:val="left"/>
      <w:lvlText w:val="%1"/>
      <w:numFmt w:val="decimal"/>
      <w:start w:val="1"/>
    </w:lvl>
    <w:lvl w:ilvl="1">
      <w:lvlJc w:val="left"/>
      <w:lvlText w:val="(%2)"/>
      <w:numFmt w:val="lowerLetter"/>
      <w:start w:val="9"/>
    </w:lvl>
  </w:abstractNum>
  <w:abstractNum w:abstractNumId="30">
    <w:nsid w:val="419AC241"/>
    <w:multiLevelType w:val="hybridMultilevel"/>
    <w:lvl w:ilvl="0">
      <w:lvlJc w:val="left"/>
      <w:lvlText w:val="%1."/>
      <w:numFmt w:val="decimal"/>
      <w:start w:val="4"/>
    </w:lvl>
    <w:lvl w:ilvl="1">
      <w:lvlJc w:val="left"/>
      <w:lvlText w:val="(%2)"/>
      <w:numFmt w:val="lowerLetter"/>
      <w:start w:val="1"/>
    </w:lvl>
  </w:abstractNum>
  <w:abstractNum w:abstractNumId="31">
    <w:nsid w:val="5577F8E1"/>
    <w:multiLevelType w:val="hybridMultilevel"/>
    <w:lvl w:ilvl="0">
      <w:lvlJc w:val="left"/>
      <w:lvlText w:val="%1."/>
      <w:numFmt w:val="decimal"/>
      <w:start w:val="7"/>
    </w:lvl>
    <w:lvl w:ilvl="1">
      <w:lvlJc w:val="left"/>
      <w:lvlText w:val="(%2)"/>
      <w:numFmt w:val="lowerLetter"/>
      <w:start w:val="1"/>
    </w:lvl>
  </w:abstractNum>
  <w:abstractNum w:abstractNumId="32">
    <w:nsid w:val="440BADFC"/>
    <w:multiLevelType w:val="hybridMultilevel"/>
    <w:lvl w:ilvl="0">
      <w:lvlJc w:val="left"/>
      <w:lvlText w:val="(%1)"/>
      <w:numFmt w:val="lowerLetter"/>
      <w:start w:val="2"/>
    </w:lvl>
  </w:abstractNum>
  <w:abstractNum w:abstractNumId="33">
    <w:nsid w:val="5072367"/>
    <w:multiLevelType w:val="hybridMultilevel"/>
    <w:lvl w:ilvl="0">
      <w:lvlJc w:val="left"/>
      <w:lvlText w:val="%1."/>
      <w:numFmt w:val="decimal"/>
      <w:start w:val="8"/>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2020-01-19T15:13:02Z</dcterms:created>
  <dcterms:modified xsi:type="dcterms:W3CDTF">2020-01-19T15:13:02Z</dcterms:modified>
</cp:coreProperties>
</file>