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60"/>
        <w:spacing w:after="0"/>
        <w:rPr>
          <w:sz w:val="20"/>
          <w:szCs w:val="20"/>
          <w:color w:val="auto"/>
        </w:rPr>
      </w:pPr>
      <w:r>
        <w:rPr>
          <w:rFonts w:ascii="Arial" w:cs="Arial" w:eastAsia="Arial" w:hAnsi="Arial"/>
          <w:sz w:val="19"/>
          <w:szCs w:val="19"/>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-65405</wp:posOffset>
            </wp:positionV>
            <wp:extent cx="892175"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18"/>
          <w:szCs w:val="18"/>
          <w:color w:val="auto"/>
        </w:rPr>
        <w:t>343 Allerton Avenue</w:t>
      </w:r>
    </w:p>
    <w:p>
      <w:pPr>
        <w:ind w:left="6660"/>
        <w:spacing w:after="0" w:line="234" w:lineRule="auto"/>
        <w:rPr>
          <w:sz w:val="20"/>
          <w:szCs w:val="20"/>
          <w:color w:val="auto"/>
        </w:rPr>
      </w:pPr>
      <w:r>
        <w:rPr>
          <w:rFonts w:ascii="Arial" w:cs="Arial" w:eastAsia="Arial" w:hAnsi="Arial"/>
          <w:sz w:val="18"/>
          <w:szCs w:val="18"/>
          <w:color w:val="auto"/>
        </w:rPr>
        <w:t>South San Francisco, CA 94080</w:t>
      </w:r>
    </w:p>
    <w:p>
      <w:pPr>
        <w:spacing w:after="0" w:line="1" w:lineRule="exact"/>
        <w:rPr>
          <w:sz w:val="24"/>
          <w:szCs w:val="24"/>
          <w:color w:val="auto"/>
        </w:rPr>
      </w:pPr>
    </w:p>
    <w:p>
      <w:pPr>
        <w:ind w:left="6660"/>
        <w:spacing w:after="0"/>
        <w:rPr>
          <w:sz w:val="20"/>
          <w:szCs w:val="20"/>
          <w:color w:val="auto"/>
        </w:rPr>
      </w:pPr>
      <w:r>
        <w:rPr>
          <w:rFonts w:ascii="Arial" w:cs="Arial" w:eastAsia="Arial" w:hAnsi="Arial"/>
          <w:sz w:val="18"/>
          <w:szCs w:val="18"/>
          <w:color w:val="auto"/>
        </w:rPr>
        <w:t>650.577.3600 fax: 650.244.9991</w:t>
      </w:r>
    </w:p>
    <w:p>
      <w:pPr>
        <w:spacing w:after="0" w:line="90" w:lineRule="exact"/>
        <w:rPr>
          <w:sz w:val="24"/>
          <w:szCs w:val="24"/>
          <w:color w:val="auto"/>
        </w:rPr>
      </w:pPr>
    </w:p>
    <w:p>
      <w:pPr>
        <w:ind w:left="7960"/>
        <w:spacing w:after="0"/>
        <w:rPr>
          <w:sz w:val="20"/>
          <w:szCs w:val="20"/>
          <w:color w:val="auto"/>
        </w:rPr>
      </w:pPr>
      <w:r>
        <w:rPr>
          <w:rFonts w:ascii="Arial" w:cs="Arial" w:eastAsia="Arial" w:hAnsi="Arial"/>
          <w:sz w:val="18"/>
          <w:szCs w:val="18"/>
          <w:color w:val="auto"/>
        </w:rPr>
        <w:t>www.vistagen.com</w:t>
      </w:r>
    </w:p>
    <w:p>
      <w:pPr>
        <w:spacing w:after="0" w:line="198"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August 7,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333-195901)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79" w:lineRule="auto"/>
        <w:rPr>
          <w:sz w:val="20"/>
          <w:szCs w:val="20"/>
          <w:color w:val="auto"/>
        </w:rPr>
      </w:pPr>
      <w:r>
        <w:rPr>
          <w:rFonts w:ascii="Arial" w:cs="Arial" w:eastAsia="Arial" w:hAnsi="Arial"/>
          <w:sz w:val="17"/>
          <w:szCs w:val="17"/>
          <w:color w:val="auto"/>
        </w:rPr>
        <w:t>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hereby requests acceleration of the effectiveness of the Registration Statement on Form S-1 (File No. 333-195901)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to 1:00 PM, Washington D.C. time, on August 7, 2014, or as soon as is practicable thereafter. The undersigned confirms that it is aware of its responsibilities under the Securities Act of 1933, as amended, and the Securities Exchange Act of 1934, as amended, as they relate to the proposed public offering of the securities registered pursuant to the aforementioned Registration Statement.</w:t>
      </w:r>
    </w:p>
    <w:p>
      <w:pPr>
        <w:spacing w:after="0" w:line="17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Company acknowledges that the adequacy and accuracy of the disclosure in the Registration Statement is the responsibility of the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The Company further acknowledges that:</w:t>
      </w:r>
    </w:p>
    <w:p>
      <w:pPr>
        <w:spacing w:after="0" w:line="211" w:lineRule="exact"/>
        <w:rPr>
          <w:sz w:val="24"/>
          <w:szCs w:val="24"/>
          <w:color w:val="auto"/>
        </w:rPr>
      </w:pPr>
    </w:p>
    <w:p>
      <w:pPr>
        <w:jc w:val="both"/>
        <w:ind w:left="2620" w:right="1440" w:hanging="677"/>
        <w:spacing w:after="0" w:line="264" w:lineRule="auto"/>
        <w:tabs>
          <w:tab w:leader="none" w:pos="2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Registration Statement effective, it does not foreclose the Commission from taking any action with respect to the Registration Statement;</w:t>
      </w:r>
    </w:p>
    <w:p>
      <w:pPr>
        <w:spacing w:after="0" w:line="181" w:lineRule="exact"/>
        <w:rPr>
          <w:rFonts w:ascii="Arial" w:cs="Arial" w:eastAsia="Arial" w:hAnsi="Arial"/>
          <w:sz w:val="18"/>
          <w:szCs w:val="18"/>
          <w:color w:val="auto"/>
        </w:rPr>
      </w:pPr>
    </w:p>
    <w:p>
      <w:pPr>
        <w:jc w:val="both"/>
        <w:ind w:left="2620" w:right="1440" w:hanging="677"/>
        <w:spacing w:after="0" w:line="264" w:lineRule="auto"/>
        <w:tabs>
          <w:tab w:leader="none" w:pos="2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181" w:lineRule="exact"/>
        <w:rPr>
          <w:rFonts w:ascii="Arial" w:cs="Arial" w:eastAsia="Arial" w:hAnsi="Arial"/>
          <w:sz w:val="18"/>
          <w:szCs w:val="18"/>
          <w:color w:val="auto"/>
        </w:rPr>
      </w:pPr>
    </w:p>
    <w:p>
      <w:pPr>
        <w:jc w:val="both"/>
        <w:ind w:left="2620" w:right="1440" w:hanging="677"/>
        <w:spacing w:after="0" w:line="264" w:lineRule="auto"/>
        <w:tabs>
          <w:tab w:leader="none" w:pos="2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8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Upon grant of our request to accelerate effectiveness, we would appreciate your communicating with the Company’s counsel, Daniel W. Rumsey, via telephone at (619) 795-1134, to confirm the exact time at which the Registration Statement was declared effective.</w:t>
      </w:r>
    </w:p>
    <w:p>
      <w:pPr>
        <w:spacing w:after="0" w:line="387"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4"/>
          <w:szCs w:val="24"/>
          <w:color w:val="auto"/>
        </w:rPr>
      </w:pPr>
    </w:p>
    <w:p>
      <w:pPr>
        <w:ind w:left="390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Shawn K. Singh</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60" w:right="9120" w:hanging="652"/>
        <w:spacing w:after="0" w:line="312" w:lineRule="auto"/>
        <w:tabs>
          <w:tab w:leader="none" w:pos="633" w:val="left"/>
        </w:tabs>
        <w:numPr>
          <w:ilvl w:val="0"/>
          <w:numId w:val="2"/>
        </w:numPr>
        <w:rPr>
          <w:rFonts w:ascii="Arial" w:cs="Arial" w:eastAsia="Arial" w:hAnsi="Arial"/>
          <w:sz w:val="16"/>
          <w:szCs w:val="16"/>
          <w:color w:val="auto"/>
        </w:rPr>
      </w:pPr>
      <w:r>
        <w:rPr>
          <w:rFonts w:ascii="Arial" w:cs="Arial" w:eastAsia="Arial" w:hAnsi="Arial"/>
          <w:sz w:val="16"/>
          <w:szCs w:val="16"/>
          <w:color w:val="auto"/>
        </w:rPr>
        <w:t>Daniel W. Rumsey Managing Partner Disclosure Law Group</w:t>
      </w:r>
    </w:p>
    <w:sectPr>
      <w:pgSz w:w="11900" w:h="16838" w:orient="portrait"/>
      <w:cols w:equalWidth="0" w:num="1">
        <w:col w:w="11420"/>
      </w:cols>
      <w:pgMar w:left="240" w:top="6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2020-01-28T03:06:49Z</dcterms:created>
  <dcterms:modified xsi:type="dcterms:W3CDTF">2020-01-28T03:06:49Z</dcterms:modified>
</cp:coreProperties>
</file>